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STORM SHIELD ENTERPRISE</w:t>
      </w:r>
    </w:p>
    <w:p>
      <w:pPr>
        <w:spacing w:after="100"/>
        <w:jc w:val="center"/>
      </w:pPr>
      <w:r>
        <w:rPr>
          <w:rFonts w:ascii="Arial" w:cs="Arial" w:eastAsia="Arial" w:hAnsi="Arial"/>
          <w:color w:val="2E75B6"/>
          <w:sz w:val="36"/>
          <w:szCs w:val="36"/>
        </w:rPr>
        <w:t xml:space="preserve">ERP para Auto Repair</w:t>
      </w:r>
    </w:p>
    <w:p>
      <w:pPr>
        <w:spacing w:after="600"/>
        <w:jc w:val="center"/>
      </w:pPr>
      <w:r>
        <w:rPr>
          <w:rFonts w:ascii="Arial" w:cs="Arial" w:eastAsia="Arial" w:hAnsi="Arial"/>
          <w:color w:val="7F8C8D"/>
          <w:sz w:val="28"/>
          <w:szCs w:val="28"/>
        </w:rPr>
        <w:t xml:space="preserve">Missouri, EUA</w:t>
      </w:r>
    </w:p>
    <w:p>
      <w:pPr>
        <w:pBdr>
          <w:bottom w:val="single" w:color="1B4F72" w:sz="6" w:space="1"/>
        </w:pBdr>
        <w:spacing w:after="600"/>
        <w:jc w:val="center"/>
      </w:pPr>
    </w:p>
    <w:p>
      <w:pPr>
        <w:spacing w:after="200"/>
        <w:jc w:val="center"/>
      </w:pPr>
      <w:r>
        <w:rPr>
          <w:rFonts w:ascii="Arial" w:cs="Arial" w:eastAsia="Arial" w:hAnsi="Arial"/>
          <w:b/>
          <w:bCs/>
          <w:color w:val="1B4F72"/>
          <w:sz w:val="32"/>
          <w:szCs w:val="32"/>
        </w:rPr>
        <w:t xml:space="preserve">Documento de Requisitos Funcionais</w:t>
      </w:r>
    </w:p>
    <w:p>
      <w:pPr>
        <w:spacing w:after="100"/>
        <w:jc w:val="center"/>
      </w:pPr>
      <w:r>
        <w:rPr>
          <w:rFonts w:ascii="Arial" w:cs="Arial" w:eastAsia="Arial" w:hAnsi="Arial"/>
          <w:color w:val="7F8C8D"/>
          <w:sz w:val="24"/>
          <w:szCs w:val="24"/>
        </w:rPr>
        <w:t xml:space="preserve">Fase 1 — Visão Macro e Planejamento de Arquitetura</w:t>
      </w:r>
    </w:p>
    <w:p>
      <w:pPr>
        <w:spacing w:before="2000"/>
      </w:pPr>
    </w:p>
    <w:p>
      <w:pPr>
        <w:jc w:val="center"/>
      </w:pPr>
      <w:r>
        <w:rPr>
          <w:rFonts w:ascii="Arial" w:cs="Arial" w:eastAsia="Arial" w:hAnsi="Arial"/>
          <w:color w:val="95A5A6"/>
          <w:sz w:val="22"/>
          <w:szCs w:val="22"/>
        </w:rPr>
        <w:t xml:space="preserve">Versão 1.0 — Abril 2026</w:t>
      </w:r>
    </w:p>
    <w:p>
      <w:pPr>
        <w:spacing w:after="100"/>
        <w:jc w:val="center"/>
      </w:pPr>
      <w:r>
        <w:rPr>
          <w:rFonts w:ascii="Arial" w:cs="Arial" w:eastAsia="Arial" w:hAnsi="Arial"/>
          <w:b/>
          <w:bCs/>
          <w:color w:val="E74C3C"/>
          <w:sz w:val="20"/>
          <w:szCs w:val="20"/>
        </w:rPr>
        <w:t xml:space="preserve">CONFIDENCIAL</w:t>
      </w:r>
    </w:p>
    <w:p>
      <w:pPr>
        <w:sectPr>
          <w:pgSz w:w="12240" w:h="15840" w:orient="portrait"/>
          <w:pgMar w:top="1440" w:right="1200" w:bottom="1440" w:left="1200" w:header="708" w:footer="708" w:gutter="0"/>
          <w:pgNumType/>
          <w:docGrid w:linePitch="360"/>
        </w:sectPr>
      </w:pPr>
    </w:p>
    <w:p>
      <w:pPr>
        <w:pStyle w:val="Heading1"/>
        <w:spacing w:after="200" w:before="360"/>
      </w:pPr>
      <w:r>
        <w:rPr>
          <w:rFonts w:ascii="Arial" w:cs="Arial" w:eastAsia="Arial" w:hAnsi="Arial"/>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Introdução</w:t>
      </w:r>
    </w:p>
    <w:p>
      <w:pPr>
        <w:pStyle w:val="Heading2"/>
        <w:spacing w:after="160" w:before="280"/>
      </w:pPr>
      <w:r>
        <w:rPr>
          <w:rFonts w:ascii="Arial" w:cs="Arial" w:eastAsia="Arial" w:hAnsi="Arial"/>
        </w:rPr>
        <w:t xml:space="preserve">1.1 Propósito do Documento</w:t>
      </w:r>
    </w:p>
    <w:p>
      <w:pPr>
        <w:spacing w:after="120"/>
        <w:jc w:val="both"/>
      </w:pPr>
      <w:r>
        <w:rPr>
          <w:rFonts w:ascii="Arial" w:cs="Arial" w:eastAsia="Arial" w:hAnsi="Arial"/>
          <w:sz w:val="22"/>
          <w:szCs w:val="22"/>
        </w:rPr>
        <w:t xml:space="preserve">Este documento estabelece os requisitos funcionais macro para o sistema Storm Shield Enterprise, uma aplicação ERP 100% SaaS projetada especificamente para empresas de auto repair (funilaria e pintura / PDR - Paintless Dent Repair) no estado de Missouri, EUA. O objetivo é mapear as funcionalidades necessárias, definir a arquitetura tecnológica e identificar oportunidades de automação via inteligência artificial.</w:t>
      </w:r>
    </w:p>
    <w:p>
      <w:pPr>
        <w:pStyle w:val="Heading2"/>
        <w:spacing w:after="160" w:before="280"/>
      </w:pPr>
      <w:r>
        <w:rPr>
          <w:rFonts w:ascii="Arial" w:cs="Arial" w:eastAsia="Arial" w:hAnsi="Arial"/>
        </w:rPr>
        <w:t xml:space="preserve">1.2 Escopo do Projeto</w:t>
      </w:r>
    </w:p>
    <w:p>
      <w:pPr>
        <w:spacing w:after="120"/>
        <w:jc w:val="both"/>
      </w:pPr>
      <w:r>
        <w:rPr>
          <w:rFonts w:ascii="Arial" w:cs="Arial" w:eastAsia="Arial" w:hAnsi="Arial"/>
          <w:sz w:val="22"/>
          <w:szCs w:val="22"/>
        </w:rPr>
        <w:t xml:space="preserve">O Storm Shield Enterprise cobrirá todo o ciclo operacional de uma empresa de auto repair, desde a captação do cliente (via seguradora ou direto) até a devolução do veículo reparado e a reconciliação financeira. A solução será multi-tenant, acessível via web e app móvel, com integrações bancárias, automações via n8n e funcionalidades de IA.</w:t>
      </w:r>
    </w:p>
    <w:p>
      <w:pPr>
        <w:pStyle w:val="Heading2"/>
        <w:spacing w:after="160" w:before="280"/>
      </w:pPr>
      <w:r>
        <w:rPr>
          <w:rFonts w:ascii="Arial" w:cs="Arial" w:eastAsia="Arial" w:hAnsi="Arial"/>
        </w:rPr>
        <w:t xml:space="preserve">1.3 Contexto de Negócio</w:t>
      </w:r>
    </w:p>
    <w:p>
      <w:pPr>
        <w:spacing w:after="120"/>
        <w:jc w:val="both"/>
      </w:pPr>
      <w:r>
        <w:rPr>
          <w:rFonts w:ascii="Arial" w:cs="Arial" w:eastAsia="Arial" w:hAnsi="Arial"/>
          <w:sz w:val="22"/>
          <w:szCs w:val="22"/>
        </w:rPr>
        <w:t xml:space="preserve">Empresas de auto repair em Missouri operam com sazonalidade marcada (março a setembro, pico em junho), dependem fortemente de seguradoras como fonte de receita, e enfrentam desafios críticos de gestão financeira — especialmente no controle de fluxo de caixa quando pagamentos chegam via cheque pelo correio ou em mãos (dinheiro vivo). A terceirização de serviços (martelinho, desmontagem) e a falta de controle sobre despesas operacionais são dores recorrentes.</w:t>
      </w:r>
    </w:p>
    <w:p>
      <w:pPr>
        <w:pStyle w:val="Heading2"/>
        <w:spacing w:after="160" w:before="280"/>
      </w:pPr>
      <w:r>
        <w:rPr>
          <w:rFonts w:ascii="Arial" w:cs="Arial" w:eastAsia="Arial" w:hAnsi="Arial"/>
        </w:rPr>
        <w:t xml:space="preserve">1.4 Dores de Negócio Identificadas</w:t>
      </w:r>
    </w:p>
    <w:p>
      <w:pPr>
        <w:pStyle w:val="ListParagraph"/>
        <w:numPr>
          <w:ilvl w:val="0"/>
          <w:numId w:val="2"/>
        </w:numPr>
        <w:spacing w:after="60"/>
      </w:pPr>
      <w:r>
        <w:rPr>
          <w:rFonts w:ascii="Arial" w:cs="Arial" w:eastAsia="Arial" w:hAnsi="Arial"/>
          <w:sz w:val="22"/>
          <w:szCs w:val="22"/>
        </w:rPr>
        <w:t xml:space="preserve">Pagamentos de seguradoras via cheque pelo correio ou dinheiro vivo — risco de extravio</w:t>
      </w:r>
    </w:p>
    <w:p>
      <w:pPr>
        <w:pStyle w:val="ListParagraph"/>
        <w:numPr>
          <w:ilvl w:val="0"/>
          <w:numId w:val="2"/>
        </w:numPr>
        <w:spacing w:after="60"/>
      </w:pPr>
      <w:r>
        <w:rPr>
          <w:rFonts w:ascii="Arial" w:cs="Arial" w:eastAsia="Arial" w:hAnsi="Arial"/>
          <w:sz w:val="22"/>
          <w:szCs w:val="22"/>
        </w:rPr>
        <w:t xml:space="preserve">Despesas não registradas no sistema (notas fiscais em papel, WhatsApp)</w:t>
      </w:r>
    </w:p>
    <w:p>
      <w:pPr>
        <w:pStyle w:val="ListParagraph"/>
        <w:numPr>
          <w:ilvl w:val="0"/>
          <w:numId w:val="2"/>
        </w:numPr>
        <w:spacing w:after="60"/>
      </w:pPr>
      <w:r>
        <w:rPr>
          <w:rFonts w:ascii="Arial" w:cs="Arial" w:eastAsia="Arial" w:hAnsi="Arial"/>
          <w:sz w:val="22"/>
          <w:szCs w:val="22"/>
        </w:rPr>
        <w:t xml:space="preserve">Falta de controle sobre serviços terceirizados (martelinho/PDR, desmontador de carro)</w:t>
      </w:r>
    </w:p>
    <w:p>
      <w:pPr>
        <w:pStyle w:val="ListParagraph"/>
        <w:numPr>
          <w:ilvl w:val="0"/>
          <w:numId w:val="2"/>
        </w:numPr>
        <w:spacing w:after="60"/>
      </w:pPr>
      <w:r>
        <w:rPr>
          <w:rFonts w:ascii="Arial" w:cs="Arial" w:eastAsia="Arial" w:hAnsi="Arial"/>
          <w:sz w:val="22"/>
          <w:szCs w:val="22"/>
        </w:rPr>
        <w:t xml:space="preserve">Ausência de fluxo de caixa unificado (receitas vs. despesas por veículo)</w:t>
      </w:r>
    </w:p>
    <w:p>
      <w:pPr>
        <w:pStyle w:val="ListParagraph"/>
        <w:numPr>
          <w:ilvl w:val="0"/>
          <w:numId w:val="2"/>
        </w:numPr>
        <w:spacing w:after="60"/>
      </w:pPr>
      <w:r>
        <w:rPr>
          <w:rFonts w:ascii="Arial" w:cs="Arial" w:eastAsia="Arial" w:hAnsi="Arial"/>
          <w:sz w:val="22"/>
          <w:szCs w:val="22"/>
        </w:rPr>
        <w:t xml:space="preserve">Dificuldade na gestão de serviços externos (parabrisa, moldura de porta)</w:t>
      </w:r>
    </w:p>
    <w:p>
      <w:pPr>
        <w:pStyle w:val="ListParagraph"/>
        <w:numPr>
          <w:ilvl w:val="0"/>
          <w:numId w:val="2"/>
        </w:numPr>
        <w:spacing w:after="60"/>
      </w:pPr>
      <w:r>
        <w:rPr>
          <w:rFonts w:ascii="Arial" w:cs="Arial" w:eastAsia="Arial" w:hAnsi="Arial"/>
          <w:sz w:val="22"/>
          <w:szCs w:val="22"/>
        </w:rPr>
        <w:t xml:space="preserve">Controle fraco sobre estoque de uso e consumo (peças sob demanda)</w:t>
      </w:r>
    </w:p>
    <w:p>
      <w:pPr>
        <w:pStyle w:val="ListParagraph"/>
        <w:numPr>
          <w:ilvl w:val="0"/>
          <w:numId w:val="2"/>
        </w:numPr>
        <w:spacing w:after="60"/>
      </w:pPr>
      <w:r>
        <w:rPr>
          <w:rFonts w:ascii="Arial" w:cs="Arial" w:eastAsia="Arial" w:hAnsi="Arial"/>
          <w:sz w:val="22"/>
          <w:szCs w:val="22"/>
        </w:rPr>
        <w:t xml:space="preserve">Necessidade de CRM totalmente móvel e online para a força de vendas</w:t>
      </w:r>
    </w:p>
    <w:p>
      <w:pPr>
        <w:pStyle w:val="ListParagraph"/>
        <w:numPr>
          <w:ilvl w:val="0"/>
          <w:numId w:val="2"/>
        </w:numPr>
        <w:spacing w:after="60"/>
      </w:pPr>
      <w:r>
        <w:rPr>
          <w:rFonts w:ascii="Arial" w:cs="Arial" w:eastAsia="Arial" w:hAnsi="Arial"/>
          <w:sz w:val="22"/>
          <w:szCs w:val="22"/>
        </w:rPr>
        <w:t xml:space="preserve">Complexidade no preenchimento de documentos exigidos por seguradoras</w:t>
      </w:r>
    </w:p>
    <w:p>
      <w:pPr>
        <w:pStyle w:val="ListParagraph"/>
        <w:numPr>
          <w:ilvl w:val="0"/>
          <w:numId w:val="2"/>
        </w:numPr>
        <w:spacing w:after="60"/>
      </w:pPr>
      <w:r>
        <w:rPr>
          <w:rFonts w:ascii="Arial" w:cs="Arial" w:eastAsia="Arial" w:hAnsi="Arial"/>
          <w:sz w:val="22"/>
          <w:szCs w:val="22"/>
        </w:rPr>
        <w:t xml:space="preserve">Falta de vínculo entre dados bancários e transações do sistema</w:t>
      </w:r>
    </w:p>
    <w:p>
      <w:pPr>
        <w:pStyle w:val="ListParagraph"/>
        <w:numPr>
          <w:ilvl w:val="0"/>
          <w:numId w:val="2"/>
        </w:numPr>
        <w:spacing w:after="60"/>
      </w:pPr>
      <w:r>
        <w:rPr>
          <w:rFonts w:ascii="Arial" w:cs="Arial" w:eastAsia="Arial" w:hAnsi="Arial"/>
          <w:sz w:val="22"/>
          <w:szCs w:val="22"/>
        </w:rPr>
        <w:t xml:space="preserve">Rotatividade de prestadores de serviço (martelinhos trocam de empresa frequentemente)</w:t>
      </w:r>
    </w:p>
    <w:p>
      <w:pPr>
        <w:pStyle w:val="ListParagraph"/>
        <w:numPr>
          <w:ilvl w:val="0"/>
          <w:numId w:val="2"/>
        </w:numPr>
        <w:spacing w:after="60"/>
      </w:pPr>
      <w:r>
        <w:rPr>
          <w:rFonts w:ascii="Arial" w:cs="Arial" w:eastAsia="Arial" w:hAnsi="Arial"/>
          <w:sz w:val="22"/>
          <w:szCs w:val="22"/>
        </w:rPr>
        <w:t xml:space="preserve">Aluguel de carros como fonte de renda adicional sem gestão adequada</w:t>
      </w:r>
    </w:p>
    <w:p>
      <w:pPr>
        <w:pStyle w:val="ListParagraph"/>
        <w:numPr>
          <w:ilvl w:val="0"/>
          <w:numId w:val="2"/>
        </w:numPr>
        <w:spacing w:after="60"/>
      </w:pPr>
      <w:r>
        <w:rPr>
          <w:rFonts w:ascii="Arial" w:cs="Arial" w:eastAsia="Arial" w:hAnsi="Arial"/>
          <w:sz w:val="22"/>
          <w:szCs w:val="22"/>
        </w:rPr>
        <w:t xml:space="preserve">Gestão de comissões variáveis para vendedores (fixo + variável ou 100% variável)</w:t>
      </w:r>
    </w:p>
    <w:p>
      <w:r>
        <w:br w:type="page"/>
      </w:r>
    </w:p>
    <w:p>
      <w:pPr>
        <w:pStyle w:val="Heading1"/>
        <w:spacing w:after="200" w:before="360"/>
      </w:pPr>
      <w:r>
        <w:rPr>
          <w:rFonts w:ascii="Arial" w:cs="Arial" w:eastAsia="Arial" w:hAnsi="Arial"/>
        </w:rPr>
        <w:t xml:space="preserve">2. Perfis de Usuário</w:t>
      </w:r>
    </w:p>
    <w:p>
      <w:pPr>
        <w:spacing w:after="120"/>
        <w:jc w:val="both"/>
      </w:pPr>
      <w:r>
        <w:rPr>
          <w:rFonts w:ascii="Arial" w:cs="Arial" w:eastAsia="Arial" w:hAnsi="Arial"/>
          <w:sz w:val="22"/>
          <w:szCs w:val="22"/>
        </w:rPr>
        <w:t xml:space="preserve">A tabela a seguir define os perfis de usuário do sistema, seus papéis e principais responsabilidades dentro do Storm Shield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Perfil</w:t>
            </w:r>
          </w:p>
        </w:tc>
        <w:tc>
          <w:tcPr>
            <w:tcW w:type="dxa" w:w="4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Descrição</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Acesso Principal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Dono / Gestor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Proprietário da empresa. Visão consolidada de todas as operações, financeiro, KPIs e dashboards executivos.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 todos os módulos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Gerente Operacional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Responsável pelo dia a dia da operação: atribuição de veículos, acompanhamento de serviços e gestão de terceiros.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Operações, Veículos, Terceiros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Financeiro / Caixa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Controla fluxo de caixa, registra entradas/saídas, reconcilia pagamentos de seguradoras e gerencia despesas.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Financeiro, Contas a Receber/Pagar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Vendedor / Closer</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Força de vendas em campo. Capta clientes, registra veículos (foto da placa), gera estimates para seguradoras.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CRM, Estimates (app móvel)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Técnico / Martelinho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Prestador de serviço (interno ou terceiro). Registra andamento do reparo, peças utilizadas e horas trabalhadas.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Ordem de Serviço (visão limitada)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Contador Externo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Acesso restrito para exportação de relatórios fiscais e financeiros. Opera externamente à empresa.</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Relatórios Fiscais (somente leitura)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Administrador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Configuração do sistema, gestão de usuários, permissões e parâmetros gerais.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Configuração, Usuários, Auditoria</w:t>
            </w:r>
          </w:p>
        </w:tc>
      </w:tr>
    </w:tbl>
    <w:p>
      <w:r>
        <w:br w:type="page"/>
      </w:r>
    </w:p>
    <w:p>
      <w:pPr>
        <w:pStyle w:val="Heading1"/>
        <w:spacing w:after="200" w:before="360"/>
      </w:pPr>
      <w:r>
        <w:rPr>
          <w:rFonts w:ascii="Arial" w:cs="Arial" w:eastAsia="Arial" w:hAnsi="Arial"/>
        </w:rPr>
        <w:t xml:space="preserve">3. Módulos Funcionais</w:t>
      </w:r>
    </w:p>
    <w:p>
      <w:pPr>
        <w:pStyle w:val="Heading2"/>
        <w:spacing w:after="160" w:before="280"/>
      </w:pPr>
      <w:r>
        <w:rPr>
          <w:rFonts w:ascii="Arial" w:cs="Arial" w:eastAsia="Arial" w:hAnsi="Arial"/>
        </w:rPr>
        <w:t xml:space="preserve">3.1 CRM e Gestão Comercial</w:t>
      </w:r>
    </w:p>
    <w:p>
      <w:pPr>
        <w:spacing w:after="120"/>
        <w:jc w:val="both"/>
      </w:pPr>
      <w:r>
        <w:rPr>
          <w:rFonts w:ascii="Arial" w:cs="Arial" w:eastAsia="Arial" w:hAnsi="Arial"/>
          <w:sz w:val="22"/>
          <w:szCs w:val="22"/>
        </w:rPr>
        <w:t xml:space="preserve">Módulo responsável pela captação de clientes, gestão de leads e acompanhamento da força de vendas. Deve ser 100% mobile-first, permitindo que vendedores em campo registrem novos clientes apenas com a foto da placa do veículo.</w:t>
      </w:r>
    </w:p>
    <w:p>
      <w:pPr>
        <w:pStyle w:val="Heading3"/>
        <w:spacing w:after="120" w:before="200"/>
      </w:pPr>
      <w:r>
        <w:rPr>
          <w:rFonts w:ascii="Arial" w:cs="Arial" w:eastAsia="Arial" w:hAnsi="Arial"/>
        </w:rPr>
        <w:t xml:space="preserve">3.1.1 Funcionalidades Principais</w:t>
      </w:r>
    </w:p>
    <w:p>
      <w:pPr>
        <w:pStyle w:val="ListParagraph"/>
        <w:numPr>
          <w:ilvl w:val="0"/>
          <w:numId w:val="2"/>
        </w:numPr>
        <w:spacing w:after="60"/>
      </w:pPr>
      <w:r>
        <w:rPr>
          <w:rFonts w:ascii="Arial" w:cs="Arial" w:eastAsia="Arial" w:hAnsi="Arial"/>
          <w:sz w:val="22"/>
          <w:szCs w:val="22"/>
        </w:rPr>
        <w:t xml:space="preserve">Cadastro de clientes via app móvel (foto da placa do carro, OCR automático)</w:t>
      </w:r>
    </w:p>
    <w:p>
      <w:pPr>
        <w:pStyle w:val="ListParagraph"/>
        <w:numPr>
          <w:ilvl w:val="0"/>
          <w:numId w:val="2"/>
        </w:numPr>
        <w:spacing w:after="60"/>
      </w:pPr>
      <w:r>
        <w:rPr>
          <w:rFonts w:ascii="Arial" w:cs="Arial" w:eastAsia="Arial" w:hAnsi="Arial"/>
          <w:sz w:val="22"/>
          <w:szCs w:val="22"/>
        </w:rPr>
        <w:t xml:space="preserve">Pipeline de vendas com estágios configuráveis (Lead → Prospect → Estimate → Aprovado → Em Reparo → Entregue)</w:t>
      </w:r>
    </w:p>
    <w:p>
      <w:pPr>
        <w:pStyle w:val="ListParagraph"/>
        <w:numPr>
          <w:ilvl w:val="0"/>
          <w:numId w:val="2"/>
        </w:numPr>
        <w:spacing w:after="60"/>
      </w:pPr>
      <w:r>
        <w:rPr>
          <w:rFonts w:ascii="Arial" w:cs="Arial" w:eastAsia="Arial" w:hAnsi="Arial"/>
          <w:sz w:val="22"/>
          <w:szCs w:val="22"/>
        </w:rPr>
        <w:t xml:space="preserve">Gestão de vendedores com comissionamento flexível (fixo + variável, ou 100% variável por veículo)</w:t>
      </w:r>
    </w:p>
    <w:p>
      <w:pPr>
        <w:pStyle w:val="ListParagraph"/>
        <w:numPr>
          <w:ilvl w:val="0"/>
          <w:numId w:val="2"/>
        </w:numPr>
        <w:spacing w:after="60"/>
      </w:pPr>
      <w:r>
        <w:rPr>
          <w:rFonts w:ascii="Arial" w:cs="Arial" w:eastAsia="Arial" w:hAnsi="Arial"/>
          <w:sz w:val="22"/>
          <w:szCs w:val="22"/>
        </w:rPr>
        <w:t xml:space="preserve">Registro de despesas de marketing (MKT) por campanha e vendedor</w:t>
      </w:r>
    </w:p>
    <w:p>
      <w:pPr>
        <w:pStyle w:val="ListParagraph"/>
        <w:numPr>
          <w:ilvl w:val="0"/>
          <w:numId w:val="2"/>
        </w:numPr>
        <w:spacing w:after="60"/>
      </w:pPr>
      <w:r>
        <w:rPr>
          <w:rFonts w:ascii="Arial" w:cs="Arial" w:eastAsia="Arial" w:hAnsi="Arial"/>
          <w:sz w:val="22"/>
          <w:szCs w:val="22"/>
        </w:rPr>
        <w:t xml:space="preserve">Dashboard de conversão e performance de vendas</w:t>
      </w:r>
    </w:p>
    <w:p>
      <w:pPr>
        <w:pStyle w:val="ListParagraph"/>
        <w:numPr>
          <w:ilvl w:val="0"/>
          <w:numId w:val="2"/>
        </w:numPr>
        <w:spacing w:after="60"/>
      </w:pPr>
      <w:r>
        <w:rPr>
          <w:rFonts w:ascii="Arial" w:cs="Arial" w:eastAsia="Arial" w:hAnsi="Arial"/>
          <w:sz w:val="22"/>
          <w:szCs w:val="22"/>
        </w:rPr>
        <w:t xml:space="preserve">Histórico completo do cliente e seus veículos</w:t>
      </w:r>
    </w:p>
    <w:p>
      <w:pPr>
        <w:pStyle w:val="ListParagraph"/>
        <w:numPr>
          <w:ilvl w:val="0"/>
          <w:numId w:val="2"/>
        </w:numPr>
        <w:spacing w:after="60"/>
      </w:pPr>
      <w:r>
        <w:rPr>
          <w:rFonts w:ascii="Arial" w:cs="Arial" w:eastAsia="Arial" w:hAnsi="Arial"/>
          <w:sz w:val="22"/>
          <w:szCs w:val="22"/>
        </w:rPr>
        <w:t xml:space="preserve">Integração com WhatsApp para recebimento de fotos e documentos</w:t>
      </w:r>
    </w:p>
    <w:p>
      <w:pPr>
        <w:pStyle w:val="ListParagraph"/>
        <w:numPr>
          <w:ilvl w:val="0"/>
          <w:numId w:val="2"/>
        </w:numPr>
        <w:spacing w:after="60"/>
      </w:pPr>
      <w:r>
        <w:rPr>
          <w:rFonts w:ascii="Arial" w:cs="Arial" w:eastAsia="Arial" w:hAnsi="Arial"/>
          <w:sz w:val="22"/>
          <w:szCs w:val="22"/>
        </w:rPr>
        <w:t xml:space="preserve">Notificações push para vendedores (novos leads, status de aprovação)</w:t>
      </w:r>
    </w:p>
    <w:p>
      <w:pPr>
        <w:pStyle w:val="Heading3"/>
        <w:spacing w:after="120" w:before="200"/>
      </w:pPr>
      <w:r>
        <w:rPr>
          <w:rFonts w:ascii="Arial" w:cs="Arial" w:eastAsia="Arial" w:hAnsi="Arial"/>
        </w:rPr>
        <w:t xml:space="preserve">3.1.2 Gestão de Comissões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Descrição</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Cálculo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Fixo + Variável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Salário base mais percentual sobre receita do veículo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 + (% x Valor do Estimate Aprovado)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 Variável</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Comissão integral sobre cada veículo fechado</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 x Valor do Estimate Aprovado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Escalonado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Percentual que aumenta conforme volume mensal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Faixas configuráveis por range de valor</w:t>
            </w:r>
          </w:p>
        </w:tc>
      </w:tr>
    </w:tbl>
    <w:p>
      <w:r>
        <w:br w:type="page"/>
      </w:r>
    </w:p>
    <w:p>
      <w:pPr>
        <w:pStyle w:val="Heading2"/>
        <w:spacing w:after="160" w:before="280"/>
      </w:pPr>
      <w:r>
        <w:rPr>
          <w:rFonts w:ascii="Arial" w:cs="Arial" w:eastAsia="Arial" w:hAnsi="Arial"/>
        </w:rPr>
        <w:t xml:space="preserve">3.2 Estimates e Gestão de Seguradoras</w:t>
      </w:r>
    </w:p>
    <w:p>
      <w:pPr>
        <w:spacing w:after="120"/>
        <w:jc w:val="both"/>
      </w:pPr>
      <w:r>
        <w:rPr>
          <w:rFonts w:ascii="Arial" w:cs="Arial" w:eastAsia="Arial" w:hAnsi="Arial"/>
          <w:sz w:val="22"/>
          <w:szCs w:val="22"/>
        </w:rPr>
        <w:t xml:space="preserve">Módulo central do negócio. Gerencia toda a interação com seguradoras, desde a criação do estimate até o recebimento do pagamento. A seguradora paga para a empresa arrumar o carro e devolver ao segurado.</w:t>
      </w:r>
    </w:p>
    <w:p>
      <w:pPr>
        <w:pStyle w:val="Heading3"/>
        <w:spacing w:after="120" w:before="200"/>
      </w:pPr>
      <w:r>
        <w:rPr>
          <w:rFonts w:ascii="Arial" w:cs="Arial" w:eastAsia="Arial" w:hAnsi="Arial"/>
        </w:rPr>
        <w:t xml:space="preserve">3.2.1 Fluxo do Estimate</w:t>
      </w:r>
    </w:p>
    <w:p>
      <w:pPr>
        <w:pStyle w:val="ListParagraph"/>
        <w:numPr>
          <w:ilvl w:val="0"/>
          <w:numId w:val="3"/>
        </w:numPr>
        <w:spacing w:after="60"/>
      </w:pPr>
      <w:r>
        <w:rPr>
          <w:rFonts w:ascii="Arial" w:cs="Arial" w:eastAsia="Arial" w:hAnsi="Arial"/>
          <w:sz w:val="22"/>
          <w:szCs w:val="22"/>
        </w:rPr>
        <w:t xml:space="preserve">Vendedor registra veículo (placa, fotos dos danos, dados do segurado)</w:t>
      </w:r>
    </w:p>
    <w:p>
      <w:pPr>
        <w:pStyle w:val="ListParagraph"/>
        <w:numPr>
          <w:ilvl w:val="0"/>
          <w:numId w:val="3"/>
        </w:numPr>
        <w:spacing w:after="60"/>
      </w:pPr>
      <w:r>
        <w:rPr>
          <w:rFonts w:ascii="Arial" w:cs="Arial" w:eastAsia="Arial" w:hAnsi="Arial"/>
          <w:sz w:val="22"/>
          <w:szCs w:val="22"/>
        </w:rPr>
        <w:t xml:space="preserve">Sistema gera estimate com itens de serviço e peças necessárias</w:t>
      </w:r>
    </w:p>
    <w:p>
      <w:pPr>
        <w:pStyle w:val="ListParagraph"/>
        <w:numPr>
          <w:ilvl w:val="0"/>
          <w:numId w:val="3"/>
        </w:numPr>
        <w:spacing w:after="60"/>
      </w:pPr>
      <w:r>
        <w:rPr>
          <w:rFonts w:ascii="Arial" w:cs="Arial" w:eastAsia="Arial" w:hAnsi="Arial"/>
          <w:sz w:val="22"/>
          <w:szCs w:val="22"/>
        </w:rPr>
        <w:t xml:space="preserve">Preenchimento automático do formulário da seguradora (número da apólice, endereço, placa, autorização de pagamento direto)</w:t>
      </w:r>
    </w:p>
    <w:p>
      <w:pPr>
        <w:pStyle w:val="ListParagraph"/>
        <w:numPr>
          <w:ilvl w:val="0"/>
          <w:numId w:val="3"/>
        </w:numPr>
        <w:spacing w:after="60"/>
      </w:pPr>
      <w:r>
        <w:rPr>
          <w:rFonts w:ascii="Arial" w:cs="Arial" w:eastAsia="Arial" w:hAnsi="Arial"/>
          <w:sz w:val="22"/>
          <w:szCs w:val="22"/>
        </w:rPr>
        <w:t xml:space="preserve">Envio digital do estimate para a seguradora</w:t>
      </w:r>
    </w:p>
    <w:p>
      <w:pPr>
        <w:pStyle w:val="ListParagraph"/>
        <w:numPr>
          <w:ilvl w:val="0"/>
          <w:numId w:val="3"/>
        </w:numPr>
        <w:spacing w:after="60"/>
      </w:pPr>
      <w:r>
        <w:rPr>
          <w:rFonts w:ascii="Arial" w:cs="Arial" w:eastAsia="Arial" w:hAnsi="Arial"/>
          <w:sz w:val="22"/>
          <w:szCs w:val="22"/>
        </w:rPr>
        <w:t xml:space="preserve">Acompanhamento de aprovação/suplementos</w:t>
      </w:r>
    </w:p>
    <w:p>
      <w:pPr>
        <w:pStyle w:val="ListParagraph"/>
        <w:numPr>
          <w:ilvl w:val="0"/>
          <w:numId w:val="3"/>
        </w:numPr>
        <w:spacing w:after="60"/>
      </w:pPr>
      <w:r>
        <w:rPr>
          <w:rFonts w:ascii="Arial" w:cs="Arial" w:eastAsia="Arial" w:hAnsi="Arial"/>
          <w:sz w:val="22"/>
          <w:szCs w:val="22"/>
        </w:rPr>
        <w:t xml:space="preserve">Após aprovação, veículo entra na fila de reparo</w:t>
      </w:r>
    </w:p>
    <w:p>
      <w:pPr>
        <w:pStyle w:val="ListParagraph"/>
        <w:numPr>
          <w:ilvl w:val="0"/>
          <w:numId w:val="3"/>
        </w:numPr>
        <w:spacing w:after="60"/>
      </w:pPr>
      <w:r>
        <w:rPr>
          <w:rFonts w:ascii="Arial" w:cs="Arial" w:eastAsia="Arial" w:hAnsi="Arial"/>
          <w:sz w:val="22"/>
          <w:szCs w:val="22"/>
        </w:rPr>
        <w:t xml:space="preserve">Conclusão do reparo e devolução do veículo</w:t>
      </w:r>
    </w:p>
    <w:p>
      <w:pPr>
        <w:pStyle w:val="ListParagraph"/>
        <w:numPr>
          <w:ilvl w:val="0"/>
          <w:numId w:val="3"/>
        </w:numPr>
        <w:spacing w:after="60"/>
      </w:pPr>
      <w:r>
        <w:rPr>
          <w:rFonts w:ascii="Arial" w:cs="Arial" w:eastAsia="Arial" w:hAnsi="Arial"/>
          <w:sz w:val="22"/>
          <w:szCs w:val="22"/>
        </w:rPr>
        <w:t xml:space="preserve">Rastreamento do pagamento da seguradora</w:t>
      </w:r>
    </w:p>
    <w:p>
      <w:pPr>
        <w:pStyle w:val="Heading3"/>
        <w:spacing w:after="120" w:before="200"/>
      </w:pPr>
      <w:r>
        <w:rPr>
          <w:rFonts w:ascii="Arial" w:cs="Arial" w:eastAsia="Arial" w:hAnsi="Arial"/>
        </w:rPr>
        <w:t xml:space="preserve">3.2.2 Documentos da Seguradora</w:t>
      </w:r>
    </w:p>
    <w:p>
      <w:pPr>
        <w:spacing w:after="120"/>
        <w:jc w:val="both"/>
      </w:pPr>
      <w:r>
        <w:rPr>
          <w:rFonts w:ascii="Arial" w:cs="Arial" w:eastAsia="Arial" w:hAnsi="Arial"/>
          <w:sz w:val="22"/>
          <w:szCs w:val="22"/>
        </w:rPr>
        <w:t xml:space="preserve">O sistema deve automatizar o preenchimento dos documentos exigidos pela seguradora para liberação do veículo e pagamento. Campos obrigatórios incluem: número da apólice, endereço do segurado, placa do veículo e autorização para a seguradora enviar pagamento diretamente ao dono da empresa.</w:t>
      </w:r>
    </w:p>
    <w:p>
      <w:pPr>
        <w:pStyle w:val="Heading3"/>
        <w:spacing w:after="120" w:before="200"/>
      </w:pPr>
      <w:r>
        <w:rPr>
          <w:rFonts w:ascii="Arial" w:cs="Arial" w:eastAsia="Arial" w:hAnsi="Arial"/>
        </w:rPr>
        <w:t xml:space="preserve">3.2.3 Formas de Pagamento da Seguradora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Descrição</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Risco/Controle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Cheque pelo Correio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Seguradora envia cheque para a empresa ou diretamente para o segurado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Alto risco de extravio. Sistema deve rastrear envio e recebimento.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Depósito Direto (ACH)</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Transferência eletrônica para conta da empresa</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Baixo risco. Reconciliação automática via integração bancária.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Cheque na casa do segurado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Seguradora manda cheque ou dinheiro vivo para a casa do segurado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Alto risco. Requer confirmação do recebimento pelo cliente via app.</w:t>
            </w:r>
          </w:p>
        </w:tc>
      </w:tr>
    </w:tbl>
    <w:p>
      <w:r>
        <w:br w:type="page"/>
      </w:r>
    </w:p>
    <w:p>
      <w:pPr>
        <w:pStyle w:val="Heading2"/>
        <w:spacing w:after="160" w:before="280"/>
      </w:pPr>
      <w:r>
        <w:rPr>
          <w:rFonts w:ascii="Arial" w:cs="Arial" w:eastAsia="Arial" w:hAnsi="Arial"/>
        </w:rPr>
        <w:t xml:space="preserve">3.3 Gestão de Veículos e Ordens de Serviço</w:t>
      </w:r>
    </w:p>
    <w:p>
      <w:pPr>
        <w:spacing w:after="120"/>
        <w:jc w:val="both"/>
      </w:pPr>
      <w:r>
        <w:rPr>
          <w:rFonts w:ascii="Arial" w:cs="Arial" w:eastAsia="Arial" w:hAnsi="Arial"/>
          <w:sz w:val="22"/>
          <w:szCs w:val="22"/>
        </w:rPr>
        <w:t xml:space="preserve">Controle completo dos veículos em reparo. O sistema deve suportar até ~40 veículos simultaneamente (somente os que estão ativamente em reparo), com rastreabilidade completa desde a entrada até a devolução.</w:t>
      </w:r>
    </w:p>
    <w:p>
      <w:pPr>
        <w:pStyle w:val="Heading3"/>
        <w:spacing w:after="120" w:before="200"/>
      </w:pPr>
      <w:r>
        <w:rPr>
          <w:rFonts w:ascii="Arial" w:cs="Arial" w:eastAsia="Arial" w:hAnsi="Arial"/>
        </w:rPr>
        <w:t xml:space="preserve">3.3.1 Funcionalidades</w:t>
      </w:r>
    </w:p>
    <w:p>
      <w:pPr>
        <w:pStyle w:val="ListParagraph"/>
        <w:numPr>
          <w:ilvl w:val="0"/>
          <w:numId w:val="2"/>
        </w:numPr>
        <w:spacing w:after="60"/>
      </w:pPr>
      <w:r>
        <w:rPr>
          <w:rFonts w:ascii="Arial" w:cs="Arial" w:eastAsia="Arial" w:hAnsi="Arial"/>
          <w:sz w:val="22"/>
          <w:szCs w:val="22"/>
        </w:rPr>
        <w:t xml:space="preserve">Kanban visual de veículos por estágio (Aguardando → Desmontagem → Martelinho/PDR → Pintura → Montagem → QC → Pronto)</w:t>
      </w:r>
    </w:p>
    <w:p>
      <w:pPr>
        <w:pStyle w:val="ListParagraph"/>
        <w:numPr>
          <w:ilvl w:val="0"/>
          <w:numId w:val="2"/>
        </w:numPr>
        <w:spacing w:after="60"/>
      </w:pPr>
      <w:r>
        <w:rPr>
          <w:rFonts w:ascii="Arial" w:cs="Arial" w:eastAsia="Arial" w:hAnsi="Arial"/>
          <w:sz w:val="22"/>
          <w:szCs w:val="22"/>
        </w:rPr>
        <w:t xml:space="preserve">Atribuição de técnicos e terceiros a cada veículo/tarefa</w:t>
      </w:r>
    </w:p>
    <w:p>
      <w:pPr>
        <w:pStyle w:val="ListParagraph"/>
        <w:numPr>
          <w:ilvl w:val="0"/>
          <w:numId w:val="2"/>
        </w:numPr>
        <w:spacing w:after="60"/>
      </w:pPr>
      <w:r>
        <w:rPr>
          <w:rFonts w:ascii="Arial" w:cs="Arial" w:eastAsia="Arial" w:hAnsi="Arial"/>
          <w:sz w:val="22"/>
          <w:szCs w:val="22"/>
        </w:rPr>
        <w:t xml:space="preserve">Registro fotográfico por etapa (antes, durante, depois)</w:t>
      </w:r>
    </w:p>
    <w:p>
      <w:pPr>
        <w:pStyle w:val="ListParagraph"/>
        <w:numPr>
          <w:ilvl w:val="0"/>
          <w:numId w:val="2"/>
        </w:numPr>
        <w:spacing w:after="60"/>
      </w:pPr>
      <w:r>
        <w:rPr>
          <w:rFonts w:ascii="Arial" w:cs="Arial" w:eastAsia="Arial" w:hAnsi="Arial"/>
          <w:sz w:val="22"/>
          <w:szCs w:val="22"/>
        </w:rPr>
        <w:t xml:space="preserve">Controle de tempo por etapa e por prestador</w:t>
      </w:r>
    </w:p>
    <w:p>
      <w:pPr>
        <w:pStyle w:val="ListParagraph"/>
        <w:numPr>
          <w:ilvl w:val="0"/>
          <w:numId w:val="2"/>
        </w:numPr>
        <w:spacing w:after="60"/>
      </w:pPr>
      <w:r>
        <w:rPr>
          <w:rFonts w:ascii="Arial" w:cs="Arial" w:eastAsia="Arial" w:hAnsi="Arial"/>
          <w:sz w:val="22"/>
          <w:szCs w:val="22"/>
        </w:rPr>
        <w:t xml:space="preserve">Vínculo financeiro: cada veículo é um centro de custo (receitas x despesas)</w:t>
      </w:r>
    </w:p>
    <w:p>
      <w:pPr>
        <w:pStyle w:val="ListParagraph"/>
        <w:numPr>
          <w:ilvl w:val="0"/>
          <w:numId w:val="2"/>
        </w:numPr>
        <w:spacing w:after="60"/>
      </w:pPr>
      <w:r>
        <w:rPr>
          <w:rFonts w:ascii="Arial" w:cs="Arial" w:eastAsia="Arial" w:hAnsi="Arial"/>
          <w:sz w:val="22"/>
          <w:szCs w:val="22"/>
        </w:rPr>
        <w:t xml:space="preserve">Alertas de veículos parados há muito tempo</w:t>
      </w:r>
    </w:p>
    <w:p>
      <w:pPr>
        <w:pStyle w:val="ListParagraph"/>
        <w:numPr>
          <w:ilvl w:val="0"/>
          <w:numId w:val="2"/>
        </w:numPr>
        <w:spacing w:after="60"/>
      </w:pPr>
      <w:r>
        <w:rPr>
          <w:rFonts w:ascii="Arial" w:cs="Arial" w:eastAsia="Arial" w:hAnsi="Arial"/>
          <w:sz w:val="22"/>
          <w:szCs w:val="22"/>
        </w:rPr>
        <w:t xml:space="preserve">Registro de peças e serviços externos utilizados (parabrisa, moldura de porta, etc.)</w:t>
      </w:r>
    </w:p>
    <w:p>
      <w:pPr>
        <w:pStyle w:val="Heading3"/>
        <w:spacing w:after="120" w:before="200"/>
      </w:pPr>
      <w:r>
        <w:rPr>
          <w:rFonts w:ascii="Arial" w:cs="Arial" w:eastAsia="Arial" w:hAnsi="Arial"/>
        </w:rPr>
        <w:t xml:space="preserve">3.3.2 Sazonalidade</w:t>
      </w:r>
    </w:p>
    <w:p>
      <w:pPr>
        <w:spacing w:after="120"/>
        <w:jc w:val="both"/>
      </w:pPr>
      <w:r>
        <w:rPr>
          <w:rFonts w:ascii="Arial" w:cs="Arial" w:eastAsia="Arial" w:hAnsi="Arial"/>
          <w:sz w:val="22"/>
          <w:szCs w:val="22"/>
        </w:rPr>
        <w:t xml:space="preserve">O sistema deve considerar a sazonalidade do negócio em Missouri: temporada forte de março a setembro (pico em junho, época de tempestades de granizo). Funcionalidades de previsão de demanda e planejamento de capacidade devem ser disponibilizadas.</w:t>
      </w:r>
    </w:p>
    <w:p>
      <w:r>
        <w:br w:type="page"/>
      </w:r>
    </w:p>
    <w:p>
      <w:pPr>
        <w:pStyle w:val="Heading2"/>
        <w:spacing w:after="160" w:before="280"/>
      </w:pPr>
      <w:r>
        <w:rPr>
          <w:rFonts w:ascii="Arial" w:cs="Arial" w:eastAsia="Arial" w:hAnsi="Arial"/>
        </w:rPr>
        <w:t xml:space="preserve">3.4 Gestão Financeira</w:t>
      </w:r>
    </w:p>
    <w:p>
      <w:pPr>
        <w:spacing w:after="120"/>
        <w:jc w:val="both"/>
      </w:pPr>
      <w:r>
        <w:rPr>
          <w:rFonts w:ascii="Arial" w:cs="Arial" w:eastAsia="Arial" w:hAnsi="Arial"/>
          <w:sz w:val="22"/>
          <w:szCs w:val="22"/>
        </w:rPr>
        <w:t xml:space="preserve">Módulo crítico que resolve a principal dor do negócio: controle de fluxo de caixa, rastreamento de pagamentos e prevenção de extravio de dinheiro.</w:t>
      </w:r>
    </w:p>
    <w:p>
      <w:pPr>
        <w:pStyle w:val="Heading3"/>
        <w:spacing w:after="120" w:before="200"/>
      </w:pPr>
      <w:r>
        <w:rPr>
          <w:rFonts w:ascii="Arial" w:cs="Arial" w:eastAsia="Arial" w:hAnsi="Arial"/>
        </w:rPr>
        <w:t xml:space="preserve">3.4.1 Fluxo de Caixa</w:t>
      </w:r>
    </w:p>
    <w:p>
      <w:pPr>
        <w:pStyle w:val="ListParagraph"/>
        <w:numPr>
          <w:ilvl w:val="0"/>
          <w:numId w:val="2"/>
        </w:numPr>
        <w:spacing w:after="60"/>
      </w:pPr>
      <w:r>
        <w:rPr>
          <w:rFonts w:ascii="Arial" w:cs="Arial" w:eastAsia="Arial" w:hAnsi="Arial"/>
          <w:sz w:val="22"/>
          <w:szCs w:val="22"/>
        </w:rPr>
        <w:t xml:space="preserve">Visão unificada de entradas e saídas por dia, semana e mês</w:t>
      </w:r>
    </w:p>
    <w:p>
      <w:pPr>
        <w:pStyle w:val="ListParagraph"/>
        <w:numPr>
          <w:ilvl w:val="0"/>
          <w:numId w:val="2"/>
        </w:numPr>
        <w:spacing w:after="60"/>
      </w:pPr>
      <w:r>
        <w:rPr>
          <w:rFonts w:ascii="Arial" w:cs="Arial" w:eastAsia="Arial" w:hAnsi="Arial"/>
          <w:sz w:val="22"/>
          <w:szCs w:val="22"/>
        </w:rPr>
        <w:t xml:space="preserve">Classificação automática: receita por veículo, despesa operacional, uso e consumo, serviços externos</w:t>
      </w:r>
    </w:p>
    <w:p>
      <w:pPr>
        <w:pStyle w:val="ListParagraph"/>
        <w:numPr>
          <w:ilvl w:val="0"/>
          <w:numId w:val="2"/>
        </w:numPr>
        <w:spacing w:after="60"/>
      </w:pPr>
      <w:r>
        <w:rPr>
          <w:rFonts w:ascii="Arial" w:cs="Arial" w:eastAsia="Arial" w:hAnsi="Arial"/>
          <w:sz w:val="22"/>
          <w:szCs w:val="22"/>
        </w:rPr>
        <w:t xml:space="preserve">Bolsão geral de despesas (uso e consumo que não se vinculam a um veículo específico)</w:t>
      </w:r>
    </w:p>
    <w:p>
      <w:pPr>
        <w:pStyle w:val="ListParagraph"/>
        <w:numPr>
          <w:ilvl w:val="0"/>
          <w:numId w:val="2"/>
        </w:numPr>
        <w:spacing w:after="60"/>
      </w:pPr>
      <w:r>
        <w:rPr>
          <w:rFonts w:ascii="Arial" w:cs="Arial" w:eastAsia="Arial" w:hAnsi="Arial"/>
          <w:sz w:val="22"/>
          <w:szCs w:val="22"/>
        </w:rPr>
        <w:t xml:space="preserve">Dashboard de fluxo de caixa com projeção futura baseada em estimates aprovados</w:t>
      </w:r>
    </w:p>
    <w:p>
      <w:pPr>
        <w:pStyle w:val="Heading3"/>
        <w:spacing w:after="120" w:before="200"/>
      </w:pPr>
      <w:r>
        <w:rPr>
          <w:rFonts w:ascii="Arial" w:cs="Arial" w:eastAsia="Arial" w:hAnsi="Arial"/>
        </w:rPr>
        <w:t xml:space="preserve">3.4.2 Entradas (Receitas)</w:t>
      </w:r>
    </w:p>
    <w:p>
      <w:pPr>
        <w:pStyle w:val="ListParagraph"/>
        <w:numPr>
          <w:ilvl w:val="0"/>
          <w:numId w:val="2"/>
        </w:numPr>
        <w:spacing w:after="60"/>
      </w:pPr>
      <w:r>
        <w:rPr>
          <w:rFonts w:ascii="Arial" w:cs="Arial" w:eastAsia="Arial" w:hAnsi="Arial"/>
          <w:sz w:val="22"/>
          <w:szCs w:val="22"/>
        </w:rPr>
        <w:t xml:space="preserve">Registro via foto de nota fiscal (OCR + IA para extração de dados)</w:t>
      </w:r>
    </w:p>
    <w:p>
      <w:pPr>
        <w:pStyle w:val="ListParagraph"/>
        <w:numPr>
          <w:ilvl w:val="0"/>
          <w:numId w:val="2"/>
        </w:numPr>
        <w:spacing w:after="60"/>
      </w:pPr>
      <w:r>
        <w:rPr>
          <w:rFonts w:ascii="Arial" w:cs="Arial" w:eastAsia="Arial" w:hAnsi="Arial"/>
          <w:sz w:val="22"/>
          <w:szCs w:val="22"/>
        </w:rPr>
        <w:t xml:space="preserve">Entrada via WhatsApp (envio de foto para número dedicado)</w:t>
      </w:r>
    </w:p>
    <w:p>
      <w:pPr>
        <w:pStyle w:val="ListParagraph"/>
        <w:numPr>
          <w:ilvl w:val="0"/>
          <w:numId w:val="2"/>
        </w:numPr>
        <w:spacing w:after="60"/>
      </w:pPr>
      <w:r>
        <w:rPr>
          <w:rFonts w:ascii="Arial" w:cs="Arial" w:eastAsia="Arial" w:hAnsi="Arial"/>
          <w:sz w:val="22"/>
          <w:szCs w:val="22"/>
        </w:rPr>
        <w:t xml:space="preserve">Entrada via SMS (confirmação de recebimento)</w:t>
      </w:r>
    </w:p>
    <w:p>
      <w:pPr>
        <w:pStyle w:val="ListParagraph"/>
        <w:numPr>
          <w:ilvl w:val="0"/>
          <w:numId w:val="2"/>
        </w:numPr>
        <w:spacing w:after="60"/>
      </w:pPr>
      <w:r>
        <w:rPr>
          <w:rFonts w:ascii="Arial" w:cs="Arial" w:eastAsia="Arial" w:hAnsi="Arial"/>
          <w:sz w:val="22"/>
          <w:szCs w:val="22"/>
        </w:rPr>
        <w:t xml:space="preserve">Reconciliação automática com extratos bancários (vínculo de dados bancários)</w:t>
      </w:r>
    </w:p>
    <w:p>
      <w:pPr>
        <w:pStyle w:val="ListParagraph"/>
        <w:numPr>
          <w:ilvl w:val="0"/>
          <w:numId w:val="2"/>
        </w:numPr>
        <w:spacing w:after="60"/>
      </w:pPr>
      <w:r>
        <w:rPr>
          <w:rFonts w:ascii="Arial" w:cs="Arial" w:eastAsia="Arial" w:hAnsi="Arial"/>
          <w:sz w:val="22"/>
          <w:szCs w:val="22"/>
        </w:rPr>
        <w:t xml:space="preserve">Limiar de contabilização configurável (ex.: valores acima de $50 devem ser registrados)</w:t>
      </w:r>
    </w:p>
    <w:p>
      <w:pPr>
        <w:pStyle w:val="ListParagraph"/>
        <w:numPr>
          <w:ilvl w:val="0"/>
          <w:numId w:val="2"/>
        </w:numPr>
        <w:spacing w:after="60"/>
      </w:pPr>
      <w:r>
        <w:rPr>
          <w:rFonts w:ascii="Arial" w:cs="Arial" w:eastAsia="Arial" w:hAnsi="Arial"/>
          <w:sz w:val="22"/>
          <w:szCs w:val="22"/>
        </w:rPr>
        <w:t xml:space="preserve">Rastreamento de pagamentos de seguradoras (cheque, ACH, dinheiro)</w:t>
      </w:r>
    </w:p>
    <w:p>
      <w:pPr>
        <w:pStyle w:val="Heading3"/>
        <w:spacing w:after="120" w:before="200"/>
      </w:pPr>
      <w:r>
        <w:rPr>
          <w:rFonts w:ascii="Arial" w:cs="Arial" w:eastAsia="Arial" w:hAnsi="Arial"/>
        </w:rPr>
        <w:t xml:space="preserve">3.4.3 Saídas (Despesas)</w:t>
      </w:r>
    </w:p>
    <w:p>
      <w:pPr>
        <w:pStyle w:val="ListParagraph"/>
        <w:numPr>
          <w:ilvl w:val="0"/>
          <w:numId w:val="2"/>
        </w:numPr>
        <w:spacing w:after="60"/>
      </w:pPr>
      <w:r>
        <w:rPr>
          <w:rFonts w:ascii="Arial" w:cs="Arial" w:eastAsia="Arial" w:hAnsi="Arial"/>
          <w:sz w:val="22"/>
          <w:szCs w:val="22"/>
        </w:rPr>
        <w:t xml:space="preserve">Registro via foto de recibo/NF (OCR + IA)</w:t>
      </w:r>
    </w:p>
    <w:p>
      <w:pPr>
        <w:pStyle w:val="ListParagraph"/>
        <w:numPr>
          <w:ilvl w:val="0"/>
          <w:numId w:val="2"/>
        </w:numPr>
        <w:spacing w:after="60"/>
      </w:pPr>
      <w:r>
        <w:rPr>
          <w:rFonts w:ascii="Arial" w:cs="Arial" w:eastAsia="Arial" w:hAnsi="Arial"/>
          <w:sz w:val="22"/>
          <w:szCs w:val="22"/>
        </w:rPr>
        <w:t xml:space="preserve">Categorização automática: para quê foi, quanto foi, como pagou</w:t>
      </w:r>
    </w:p>
    <w:p>
      <w:pPr>
        <w:pStyle w:val="ListParagraph"/>
        <w:numPr>
          <w:ilvl w:val="0"/>
          <w:numId w:val="2"/>
        </w:numPr>
        <w:spacing w:after="60"/>
      </w:pPr>
      <w:r>
        <w:rPr>
          <w:rFonts w:ascii="Arial" w:cs="Arial" w:eastAsia="Arial" w:hAnsi="Arial"/>
          <w:sz w:val="22"/>
          <w:szCs w:val="22"/>
        </w:rPr>
        <w:t xml:space="preserve">Vínculo com veículo específico ou bolsão geral</w:t>
      </w:r>
    </w:p>
    <w:p>
      <w:pPr>
        <w:pStyle w:val="ListParagraph"/>
        <w:numPr>
          <w:ilvl w:val="0"/>
          <w:numId w:val="2"/>
        </w:numPr>
        <w:spacing w:after="60"/>
      </w:pPr>
      <w:r>
        <w:rPr>
          <w:rFonts w:ascii="Arial" w:cs="Arial" w:eastAsia="Arial" w:hAnsi="Arial"/>
          <w:sz w:val="22"/>
          <w:szCs w:val="22"/>
        </w:rPr>
        <w:t xml:space="preserve">Controle de pagamentos a terceiros (martelinhos, desmontadores)</w:t>
      </w:r>
    </w:p>
    <w:p>
      <w:pPr>
        <w:pStyle w:val="ListParagraph"/>
        <w:numPr>
          <w:ilvl w:val="0"/>
          <w:numId w:val="2"/>
        </w:numPr>
        <w:spacing w:after="60"/>
      </w:pPr>
      <w:r>
        <w:rPr>
          <w:rFonts w:ascii="Arial" w:cs="Arial" w:eastAsia="Arial" w:hAnsi="Arial"/>
          <w:sz w:val="22"/>
          <w:szCs w:val="22"/>
        </w:rPr>
        <w:t xml:space="preserve">Registro de serviços externos (parabrisa, moldura de porta)</w:t>
      </w:r>
    </w:p>
    <w:p>
      <w:pPr>
        <w:pStyle w:val="ListParagraph"/>
        <w:numPr>
          <w:ilvl w:val="0"/>
          <w:numId w:val="2"/>
        </w:numPr>
        <w:spacing w:after="60"/>
      </w:pPr>
      <w:r>
        <w:rPr>
          <w:rFonts w:ascii="Arial" w:cs="Arial" w:eastAsia="Arial" w:hAnsi="Arial"/>
          <w:sz w:val="22"/>
          <w:szCs w:val="22"/>
        </w:rPr>
        <w:t xml:space="preserve">Alerta de despesas não categorizadas</w:t>
      </w:r>
    </w:p>
    <w:p>
      <w:pPr>
        <w:pStyle w:val="Heading3"/>
        <w:spacing w:after="120" w:before="200"/>
      </w:pPr>
      <w:r>
        <w:rPr>
          <w:rFonts w:ascii="Arial" w:cs="Arial" w:eastAsia="Arial" w:hAnsi="Arial"/>
        </w:rPr>
        <w:t xml:space="preserve">3.4.4 Contas a Receber / Pagar</w:t>
      </w:r>
    </w:p>
    <w:p>
      <w:pPr>
        <w:pStyle w:val="ListParagraph"/>
        <w:numPr>
          <w:ilvl w:val="0"/>
          <w:numId w:val="2"/>
        </w:numPr>
        <w:spacing w:after="60"/>
      </w:pPr>
      <w:r>
        <w:rPr>
          <w:rFonts w:ascii="Arial" w:cs="Arial" w:eastAsia="Arial" w:hAnsi="Arial"/>
          <w:sz w:val="22"/>
          <w:szCs w:val="22"/>
        </w:rPr>
        <w:t xml:space="preserve">Aging de recebíveis (especialmente cheques pendentes de seguradoras)</w:t>
      </w:r>
    </w:p>
    <w:p>
      <w:pPr>
        <w:pStyle w:val="ListParagraph"/>
        <w:numPr>
          <w:ilvl w:val="0"/>
          <w:numId w:val="2"/>
        </w:numPr>
        <w:spacing w:after="60"/>
      </w:pPr>
      <w:r>
        <w:rPr>
          <w:rFonts w:ascii="Arial" w:cs="Arial" w:eastAsia="Arial" w:hAnsi="Arial"/>
          <w:sz w:val="22"/>
          <w:szCs w:val="22"/>
        </w:rPr>
        <w:t xml:space="preserve">Controle de duplicatas e pagamentos parciais</w:t>
      </w:r>
    </w:p>
    <w:p>
      <w:pPr>
        <w:pStyle w:val="ListParagraph"/>
        <w:numPr>
          <w:ilvl w:val="0"/>
          <w:numId w:val="2"/>
        </w:numPr>
        <w:spacing w:after="60"/>
      </w:pPr>
      <w:r>
        <w:rPr>
          <w:rFonts w:ascii="Arial" w:cs="Arial" w:eastAsia="Arial" w:hAnsi="Arial"/>
          <w:sz w:val="22"/>
          <w:szCs w:val="22"/>
        </w:rPr>
        <w:t xml:space="preserve">Gestão de pagamentos a fornecedores e terceiros</w:t>
      </w:r>
    </w:p>
    <w:p>
      <w:pPr>
        <w:pStyle w:val="ListParagraph"/>
        <w:numPr>
          <w:ilvl w:val="0"/>
          <w:numId w:val="2"/>
        </w:numPr>
        <w:spacing w:after="60"/>
      </w:pPr>
      <w:r>
        <w:rPr>
          <w:rFonts w:ascii="Arial" w:cs="Arial" w:eastAsia="Arial" w:hAnsi="Arial"/>
          <w:sz w:val="22"/>
          <w:szCs w:val="22"/>
        </w:rPr>
        <w:t xml:space="preserve">Conciliação bancária automática via Open Banking / Plaid</w:t>
      </w:r>
    </w:p>
    <w:p>
      <w:pPr>
        <w:pStyle w:val="Heading3"/>
        <w:spacing w:after="120" w:before="200"/>
      </w:pPr>
      <w:r>
        <w:rPr>
          <w:rFonts w:ascii="Arial" w:cs="Arial" w:eastAsia="Arial" w:hAnsi="Arial"/>
        </w:rPr>
        <w:t xml:space="preserve">3.4.5 Rentabilidade por Veículo</w:t>
      </w:r>
    </w:p>
    <w:p>
      <w:pPr>
        <w:spacing w:after="120"/>
        <w:jc w:val="both"/>
      </w:pPr>
      <w:r>
        <w:rPr>
          <w:rFonts w:ascii="Arial" w:cs="Arial" w:eastAsia="Arial" w:hAnsi="Arial"/>
          <w:sz w:val="22"/>
          <w:szCs w:val="22"/>
        </w:rPr>
        <w:t xml:space="preserve">Cada veículo deve ter uma visão completa de P&amp;L (lucro e prejuízo): valor do estimate aprovado pela seguradora (receita) menos todas as despesas atribuídas (peças, mão de obra interna, terceiros, serviços externos). Isso permite ao gestor saber exatamente a margem de cada reparo.</w:t>
      </w:r>
    </w:p>
    <w:p>
      <w:r>
        <w:br w:type="page"/>
      </w:r>
    </w:p>
    <w:p>
      <w:pPr>
        <w:pStyle w:val="Heading2"/>
        <w:spacing w:after="160" w:before="280"/>
      </w:pPr>
      <w:r>
        <w:rPr>
          <w:rFonts w:ascii="Arial" w:cs="Arial" w:eastAsia="Arial" w:hAnsi="Arial"/>
        </w:rPr>
        <w:t xml:space="preserve">3.5 Gestão de Terceiros e Prestadores</w:t>
      </w:r>
    </w:p>
    <w:p>
      <w:pPr>
        <w:spacing w:after="120"/>
        <w:jc w:val="both"/>
      </w:pPr>
      <w:r>
        <w:rPr>
          <w:rFonts w:ascii="Arial" w:cs="Arial" w:eastAsia="Arial" w:hAnsi="Arial"/>
          <w:sz w:val="22"/>
          <w:szCs w:val="22"/>
        </w:rPr>
        <w:t xml:space="preserve">Controle dos prestadores de serviço terceirizados, especialmente martelinhos (PDR) e desmontadores, que são críticos para a operação e frequentemente mudam de empresa.</w:t>
      </w:r>
    </w:p>
    <w:p>
      <w:pPr>
        <w:pStyle w:val="Heading3"/>
        <w:spacing w:after="120" w:before="200"/>
      </w:pPr>
      <w:r>
        <w:rPr>
          <w:rFonts w:ascii="Arial" w:cs="Arial" w:eastAsia="Arial" w:hAnsi="Arial"/>
        </w:rPr>
        <w:t xml:space="preserve">3.5.1 Funcionalidades</w:t>
      </w:r>
    </w:p>
    <w:p>
      <w:pPr>
        <w:pStyle w:val="ListParagraph"/>
        <w:numPr>
          <w:ilvl w:val="0"/>
          <w:numId w:val="2"/>
        </w:numPr>
        <w:spacing w:after="60"/>
      </w:pPr>
      <w:r>
        <w:rPr>
          <w:rFonts w:ascii="Arial" w:cs="Arial" w:eastAsia="Arial" w:hAnsi="Arial"/>
          <w:sz w:val="22"/>
          <w:szCs w:val="22"/>
        </w:rPr>
        <w:t xml:space="preserve">Cadastro de prestadores com histórico de trabalho e avaliações</w:t>
      </w:r>
    </w:p>
    <w:p>
      <w:pPr>
        <w:pStyle w:val="ListParagraph"/>
        <w:numPr>
          <w:ilvl w:val="0"/>
          <w:numId w:val="2"/>
        </w:numPr>
        <w:spacing w:after="60"/>
      </w:pPr>
      <w:r>
        <w:rPr>
          <w:rFonts w:ascii="Arial" w:cs="Arial" w:eastAsia="Arial" w:hAnsi="Arial"/>
          <w:sz w:val="22"/>
          <w:szCs w:val="22"/>
        </w:rPr>
        <w:t xml:space="preserve">Controle de disponibilidade e alocação por veículo</w:t>
      </w:r>
    </w:p>
    <w:p>
      <w:pPr>
        <w:pStyle w:val="ListParagraph"/>
        <w:numPr>
          <w:ilvl w:val="0"/>
          <w:numId w:val="2"/>
        </w:numPr>
        <w:spacing w:after="60"/>
      </w:pPr>
      <w:r>
        <w:rPr>
          <w:rFonts w:ascii="Arial" w:cs="Arial" w:eastAsia="Arial" w:hAnsi="Arial"/>
          <w:sz w:val="22"/>
          <w:szCs w:val="22"/>
        </w:rPr>
        <w:t xml:space="preserve">Registro de horas trabalhadas e serviços realizados</w:t>
      </w:r>
    </w:p>
    <w:p>
      <w:pPr>
        <w:pStyle w:val="ListParagraph"/>
        <w:numPr>
          <w:ilvl w:val="0"/>
          <w:numId w:val="2"/>
        </w:numPr>
        <w:spacing w:after="60"/>
      </w:pPr>
      <w:r>
        <w:rPr>
          <w:rFonts w:ascii="Arial" w:cs="Arial" w:eastAsia="Arial" w:hAnsi="Arial"/>
          <w:sz w:val="22"/>
          <w:szCs w:val="22"/>
        </w:rPr>
        <w:t xml:space="preserve">Cálculo automático de pagamentos (por hora, por veículo ou por serviço)</w:t>
      </w:r>
    </w:p>
    <w:p>
      <w:pPr>
        <w:pStyle w:val="ListParagraph"/>
        <w:numPr>
          <w:ilvl w:val="0"/>
          <w:numId w:val="2"/>
        </w:numPr>
        <w:spacing w:after="60"/>
      </w:pPr>
      <w:r>
        <w:rPr>
          <w:rFonts w:ascii="Arial" w:cs="Arial" w:eastAsia="Arial" w:hAnsi="Arial"/>
          <w:sz w:val="22"/>
          <w:szCs w:val="22"/>
        </w:rPr>
        <w:t xml:space="preserve">Histórico de desempenho e qualidade</w:t>
      </w:r>
    </w:p>
    <w:p>
      <w:pPr>
        <w:pStyle w:val="ListParagraph"/>
        <w:numPr>
          <w:ilvl w:val="0"/>
          <w:numId w:val="2"/>
        </w:numPr>
        <w:spacing w:after="60"/>
      </w:pPr>
      <w:r>
        <w:rPr>
          <w:rFonts w:ascii="Arial" w:cs="Arial" w:eastAsia="Arial" w:hAnsi="Arial"/>
          <w:sz w:val="22"/>
          <w:szCs w:val="22"/>
        </w:rPr>
        <w:t xml:space="preserve">Alertas de prestadores inativos ou com avaliação baixa</w:t>
      </w:r>
    </w:p>
    <w:p>
      <w:pPr>
        <w:pStyle w:val="ListParagraph"/>
        <w:numPr>
          <w:ilvl w:val="0"/>
          <w:numId w:val="2"/>
        </w:numPr>
        <w:spacing w:after="60"/>
      </w:pPr>
      <w:r>
        <w:rPr>
          <w:rFonts w:ascii="Arial" w:cs="Arial" w:eastAsia="Arial" w:hAnsi="Arial"/>
          <w:sz w:val="22"/>
          <w:szCs w:val="22"/>
        </w:rPr>
        <w:t xml:space="preserve">Controle de 1099 (formulário fiscal para independent contractors nos EUA)</w:t>
      </w:r>
    </w:p>
    <w:p>
      <w:r>
        <w:br w:type="page"/>
      </w:r>
    </w:p>
    <w:p>
      <w:pPr>
        <w:pStyle w:val="Heading2"/>
        <w:spacing w:after="160" w:before="280"/>
      </w:pPr>
      <w:r>
        <w:rPr>
          <w:rFonts w:ascii="Arial" w:cs="Arial" w:eastAsia="Arial" w:hAnsi="Arial"/>
        </w:rPr>
        <w:t xml:space="preserve">3.6 Estoque e Compras</w:t>
      </w:r>
    </w:p>
    <w:p>
      <w:pPr>
        <w:spacing w:after="120"/>
        <w:jc w:val="both"/>
      </w:pPr>
      <w:r>
        <w:rPr>
          <w:rFonts w:ascii="Arial" w:cs="Arial" w:eastAsia="Arial" w:hAnsi="Arial"/>
          <w:sz w:val="22"/>
          <w:szCs w:val="22"/>
        </w:rPr>
        <w:t xml:space="preserve">Gestão de estoque com foco em uso e consumo. Todas as peças são sob demanda (não há estoque de peças de reposição). O estoque se limita a materiais de uso e consumo (lixa, primer, tinta, massa, etc.).</w:t>
      </w:r>
    </w:p>
    <w:p>
      <w:pPr>
        <w:pStyle w:val="Heading3"/>
        <w:spacing w:after="120" w:before="200"/>
      </w:pPr>
      <w:r>
        <w:rPr>
          <w:rFonts w:ascii="Arial" w:cs="Arial" w:eastAsia="Arial" w:hAnsi="Arial"/>
        </w:rPr>
        <w:t xml:space="preserve">3.6.1 Funcionalidades</w:t>
      </w:r>
    </w:p>
    <w:p>
      <w:pPr>
        <w:pStyle w:val="ListParagraph"/>
        <w:numPr>
          <w:ilvl w:val="0"/>
          <w:numId w:val="2"/>
        </w:numPr>
        <w:spacing w:after="60"/>
      </w:pPr>
      <w:r>
        <w:rPr>
          <w:rFonts w:ascii="Arial" w:cs="Arial" w:eastAsia="Arial" w:hAnsi="Arial"/>
          <w:sz w:val="22"/>
          <w:szCs w:val="22"/>
        </w:rPr>
        <w:t xml:space="preserve">Cadastro de materiais de uso e consumo com níveis mínimos</w:t>
      </w:r>
    </w:p>
    <w:p>
      <w:pPr>
        <w:pStyle w:val="ListParagraph"/>
        <w:numPr>
          <w:ilvl w:val="0"/>
          <w:numId w:val="2"/>
        </w:numPr>
        <w:spacing w:after="60"/>
      </w:pPr>
      <w:r>
        <w:rPr>
          <w:rFonts w:ascii="Arial" w:cs="Arial" w:eastAsia="Arial" w:hAnsi="Arial"/>
          <w:sz w:val="22"/>
          <w:szCs w:val="22"/>
        </w:rPr>
        <w:t xml:space="preserve">Controle de peças sob demanda vinculadas a cada veículo/OS</w:t>
      </w:r>
    </w:p>
    <w:p>
      <w:pPr>
        <w:pStyle w:val="ListParagraph"/>
        <w:numPr>
          <w:ilvl w:val="0"/>
          <w:numId w:val="2"/>
        </w:numPr>
        <w:spacing w:after="60"/>
      </w:pPr>
      <w:r>
        <w:rPr>
          <w:rFonts w:ascii="Arial" w:cs="Arial" w:eastAsia="Arial" w:hAnsi="Arial"/>
          <w:sz w:val="22"/>
          <w:szCs w:val="22"/>
        </w:rPr>
        <w:t xml:space="preserve">Registro de compras com foto de NF</w:t>
      </w:r>
    </w:p>
    <w:p>
      <w:pPr>
        <w:pStyle w:val="ListParagraph"/>
        <w:numPr>
          <w:ilvl w:val="0"/>
          <w:numId w:val="2"/>
        </w:numPr>
        <w:spacing w:after="60"/>
      </w:pPr>
      <w:r>
        <w:rPr>
          <w:rFonts w:ascii="Arial" w:cs="Arial" w:eastAsia="Arial" w:hAnsi="Arial"/>
          <w:sz w:val="22"/>
          <w:szCs w:val="22"/>
        </w:rPr>
        <w:t xml:space="preserve">Solicitação de compra automática quando nível mínimo é atingido</w:t>
      </w:r>
    </w:p>
    <w:p>
      <w:pPr>
        <w:pStyle w:val="ListParagraph"/>
        <w:numPr>
          <w:ilvl w:val="0"/>
          <w:numId w:val="2"/>
        </w:numPr>
        <w:spacing w:after="60"/>
      </w:pPr>
      <w:r>
        <w:rPr>
          <w:rFonts w:ascii="Arial" w:cs="Arial" w:eastAsia="Arial" w:hAnsi="Arial"/>
          <w:sz w:val="22"/>
          <w:szCs w:val="22"/>
        </w:rPr>
        <w:t xml:space="preserve">Controle de serviços externos (parabrisa, moldura de porta — fornecedores externos)</w:t>
      </w:r>
    </w:p>
    <w:p>
      <w:pPr>
        <w:pStyle w:val="ListParagraph"/>
        <w:numPr>
          <w:ilvl w:val="0"/>
          <w:numId w:val="2"/>
        </w:numPr>
        <w:spacing w:after="60"/>
      </w:pPr>
      <w:r>
        <w:rPr>
          <w:rFonts w:ascii="Arial" w:cs="Arial" w:eastAsia="Arial" w:hAnsi="Arial"/>
          <w:sz w:val="22"/>
          <w:szCs w:val="22"/>
        </w:rPr>
        <w:t xml:space="preserve">Histórico de preços por fornecedor</w:t>
      </w:r>
    </w:p>
    <w:p>
      <w:pPr>
        <w:pStyle w:val="Heading2"/>
        <w:spacing w:after="160" w:before="280"/>
      </w:pPr>
      <w:r>
        <w:rPr>
          <w:rFonts w:ascii="Arial" w:cs="Arial" w:eastAsia="Arial" w:hAnsi="Arial"/>
        </w:rPr>
        <w:t xml:space="preserve">3.7 Aluguel de Veículos (Fonte de Renda Adicional)</w:t>
      </w:r>
    </w:p>
    <w:p>
      <w:pPr>
        <w:spacing w:after="120"/>
        <w:jc w:val="both"/>
      </w:pPr>
      <w:r>
        <w:rPr>
          <w:rFonts w:ascii="Arial" w:cs="Arial" w:eastAsia="Arial" w:hAnsi="Arial"/>
          <w:sz w:val="22"/>
          <w:szCs w:val="22"/>
        </w:rPr>
        <w:t xml:space="preserve">Algumas empresas de auto repair também alugam veículos como fonte de renda adicional. O sistema deve suportar este módulo como complemento da operação principal.</w:t>
      </w:r>
    </w:p>
    <w:p>
      <w:pPr>
        <w:pStyle w:val="ListParagraph"/>
        <w:numPr>
          <w:ilvl w:val="0"/>
          <w:numId w:val="2"/>
        </w:numPr>
        <w:spacing w:after="60"/>
      </w:pPr>
      <w:r>
        <w:rPr>
          <w:rFonts w:ascii="Arial" w:cs="Arial" w:eastAsia="Arial" w:hAnsi="Arial"/>
          <w:sz w:val="22"/>
          <w:szCs w:val="22"/>
        </w:rPr>
        <w:t xml:space="preserve">Cadastro de frota de veículos para aluguel</w:t>
      </w:r>
    </w:p>
    <w:p>
      <w:pPr>
        <w:pStyle w:val="ListParagraph"/>
        <w:numPr>
          <w:ilvl w:val="0"/>
          <w:numId w:val="2"/>
        </w:numPr>
        <w:spacing w:after="60"/>
      </w:pPr>
      <w:r>
        <w:rPr>
          <w:rFonts w:ascii="Arial" w:cs="Arial" w:eastAsia="Arial" w:hAnsi="Arial"/>
          <w:sz w:val="22"/>
          <w:szCs w:val="22"/>
        </w:rPr>
        <w:t xml:space="preserve">Controle de disponibilidade e reservas</w:t>
      </w:r>
    </w:p>
    <w:p>
      <w:pPr>
        <w:pStyle w:val="ListParagraph"/>
        <w:numPr>
          <w:ilvl w:val="0"/>
          <w:numId w:val="2"/>
        </w:numPr>
        <w:spacing w:after="60"/>
      </w:pPr>
      <w:r>
        <w:rPr>
          <w:rFonts w:ascii="Arial" w:cs="Arial" w:eastAsia="Arial" w:hAnsi="Arial"/>
          <w:sz w:val="22"/>
          <w:szCs w:val="22"/>
        </w:rPr>
        <w:t xml:space="preserve">Contratos de aluguel com termos configuráveis</w:t>
      </w:r>
    </w:p>
    <w:p>
      <w:pPr>
        <w:pStyle w:val="ListParagraph"/>
        <w:numPr>
          <w:ilvl w:val="0"/>
          <w:numId w:val="2"/>
        </w:numPr>
        <w:spacing w:after="60"/>
      </w:pPr>
      <w:r>
        <w:rPr>
          <w:rFonts w:ascii="Arial" w:cs="Arial" w:eastAsia="Arial" w:hAnsi="Arial"/>
          <w:sz w:val="22"/>
          <w:szCs w:val="22"/>
        </w:rPr>
        <w:t xml:space="preserve">Faturamento automático (diário, semanal, mensal)</w:t>
      </w:r>
    </w:p>
    <w:p>
      <w:pPr>
        <w:pStyle w:val="ListParagraph"/>
        <w:numPr>
          <w:ilvl w:val="0"/>
          <w:numId w:val="2"/>
        </w:numPr>
        <w:spacing w:after="60"/>
      </w:pPr>
      <w:r>
        <w:rPr>
          <w:rFonts w:ascii="Arial" w:cs="Arial" w:eastAsia="Arial" w:hAnsi="Arial"/>
          <w:sz w:val="22"/>
          <w:szCs w:val="22"/>
        </w:rPr>
        <w:t xml:space="preserve">Controle de manutenção preventiva da frota</w:t>
      </w:r>
    </w:p>
    <w:p>
      <w:pPr>
        <w:pStyle w:val="ListParagraph"/>
        <w:numPr>
          <w:ilvl w:val="0"/>
          <w:numId w:val="2"/>
        </w:numPr>
        <w:spacing w:after="60"/>
      </w:pPr>
      <w:r>
        <w:rPr>
          <w:rFonts w:ascii="Arial" w:cs="Arial" w:eastAsia="Arial" w:hAnsi="Arial"/>
          <w:sz w:val="22"/>
          <w:szCs w:val="22"/>
        </w:rPr>
        <w:t xml:space="preserve">Dashboard de receita de aluguel vs. custo de manutenção</w:t>
      </w:r>
    </w:p>
    <w:p>
      <w:r>
        <w:br w:type="page"/>
      </w:r>
    </w:p>
    <w:p>
      <w:pPr>
        <w:pStyle w:val="Heading2"/>
        <w:spacing w:after="160" w:before="280"/>
      </w:pPr>
      <w:r>
        <w:rPr>
          <w:rFonts w:ascii="Arial" w:cs="Arial" w:eastAsia="Arial" w:hAnsi="Arial"/>
        </w:rPr>
        <w:t xml:space="preserve">3.8 Contabilidade / General Ledger</w:t>
      </w:r>
    </w:p>
    <w:p>
      <w:pPr>
        <w:spacing w:after="120"/>
        <w:jc w:val="both"/>
      </w:pPr>
      <w:r>
        <w:rPr>
          <w:rFonts w:ascii="Arial" w:cs="Arial" w:eastAsia="Arial" w:hAnsi="Arial"/>
          <w:sz w:val="22"/>
          <w:szCs w:val="22"/>
        </w:rPr>
        <w:t xml:space="preserve">Módulo contábil completo integrado ao financeiro, utilizando partidas dobradas (double-entry bookkeeping) conforme US GAAP. Permite geração de P&amp;L (Income Statement) e Balance Sheet (Balanço Patrimonial) em tempo real, com plano de contas padrão US/Missouri.</w:t>
      </w:r>
    </w:p>
    <w:p>
      <w:pPr>
        <w:pStyle w:val="Heading3"/>
        <w:spacing w:after="120" w:before="200"/>
      </w:pPr>
      <w:r>
        <w:rPr>
          <w:rFonts w:ascii="Arial" w:cs="Arial" w:eastAsia="Arial" w:hAnsi="Arial"/>
        </w:rPr>
        <w:t xml:space="preserve">3.8.1 Plano de Contas (Chart of Accounts)</w:t>
      </w:r>
    </w:p>
    <w:p>
      <w:pPr>
        <w:pStyle w:val="ListParagraph"/>
        <w:numPr>
          <w:ilvl w:val="0"/>
          <w:numId w:val="2"/>
        </w:numPr>
        <w:spacing w:after="60"/>
      </w:pPr>
      <w:r>
        <w:rPr>
          <w:rFonts w:ascii="Arial" w:cs="Arial" w:eastAsia="Arial" w:hAnsi="Arial"/>
          <w:sz w:val="22"/>
          <w:szCs w:val="22"/>
        </w:rPr>
        <w:t xml:space="preserve">Plano de contas hierárquico: grupo → subgrupo → conta → subconta</w:t>
      </w:r>
    </w:p>
    <w:p>
      <w:pPr>
        <w:pStyle w:val="ListParagraph"/>
        <w:numPr>
          <w:ilvl w:val="0"/>
          <w:numId w:val="2"/>
        </w:numPr>
        <w:spacing w:after="60"/>
      </w:pPr>
      <w:r>
        <w:rPr>
          <w:rFonts w:ascii="Arial" w:cs="Arial" w:eastAsia="Arial" w:hAnsi="Arial"/>
          <w:sz w:val="22"/>
          <w:szCs w:val="22"/>
        </w:rPr>
        <w:t xml:space="preserve">Numeração padrão US: 1000-1999 (Assets), 2000-2999 (Liabilities), 3000-3999 (Equity), 4000-4999 (Revenue), 5000-9999 (Expenses)</w:t>
      </w:r>
    </w:p>
    <w:p>
      <w:pPr>
        <w:pStyle w:val="ListParagraph"/>
        <w:numPr>
          <w:ilvl w:val="0"/>
          <w:numId w:val="2"/>
        </w:numPr>
        <w:spacing w:after="60"/>
      </w:pPr>
      <w:r>
        <w:rPr>
          <w:rFonts w:ascii="Arial" w:cs="Arial" w:eastAsia="Arial" w:hAnsi="Arial"/>
          <w:sz w:val="22"/>
          <w:szCs w:val="22"/>
        </w:rPr>
        <w:t xml:space="preserve">Contas pré-configuradas para auto repair (PDR Revenue, Parts &amp; Materials, Contractor Payments, etc.)</w:t>
      </w:r>
    </w:p>
    <w:p>
      <w:pPr>
        <w:pStyle w:val="ListParagraph"/>
        <w:numPr>
          <w:ilvl w:val="0"/>
          <w:numId w:val="2"/>
        </w:numPr>
        <w:spacing w:after="60"/>
      </w:pPr>
      <w:r>
        <w:rPr>
          <w:rFonts w:ascii="Arial" w:cs="Arial" w:eastAsia="Arial" w:hAnsi="Arial"/>
          <w:sz w:val="22"/>
          <w:szCs w:val="22"/>
        </w:rPr>
        <w:t xml:space="preserve">Personalizável por tenant — cada empresa pode adicionar/desativar contas</w:t>
      </w:r>
    </w:p>
    <w:p>
      <w:pPr>
        <w:pStyle w:val="ListParagraph"/>
        <w:numPr>
          <w:ilvl w:val="0"/>
          <w:numId w:val="2"/>
        </w:numPr>
        <w:spacing w:after="60"/>
      </w:pPr>
      <w:r>
        <w:rPr>
          <w:rFonts w:ascii="Arial" w:cs="Arial" w:eastAsia="Arial" w:hAnsi="Arial"/>
          <w:sz w:val="22"/>
          <w:szCs w:val="22"/>
        </w:rPr>
        <w:t xml:space="preserve">Contas sintéticas (headers) e analíticas (aceita lançamentos)</w:t>
      </w:r>
    </w:p>
    <w:p>
      <w:pPr>
        <w:pStyle w:val="Heading3"/>
        <w:spacing w:after="120" w:before="200"/>
      </w:pPr>
      <w:r>
        <w:rPr>
          <w:rFonts w:ascii="Arial" w:cs="Arial" w:eastAsia="Arial" w:hAnsi="Arial"/>
        </w:rPr>
        <w:t xml:space="preserve">3.8.2 Lançamentos Contábeis (Journal Entries)</w:t>
      </w:r>
    </w:p>
    <w:p>
      <w:pPr>
        <w:pStyle w:val="ListParagraph"/>
        <w:numPr>
          <w:ilvl w:val="0"/>
          <w:numId w:val="2"/>
        </w:numPr>
        <w:spacing w:after="60"/>
      </w:pPr>
      <w:r>
        <w:rPr>
          <w:rFonts w:ascii="Arial" w:cs="Arial" w:eastAsia="Arial" w:hAnsi="Arial"/>
          <w:sz w:val="22"/>
          <w:szCs w:val="22"/>
        </w:rPr>
        <w:t xml:space="preserve">Partida dobrada obrigatória: todo lançamento deve ter débito = crédito</w:t>
      </w:r>
    </w:p>
    <w:p>
      <w:pPr>
        <w:pStyle w:val="ListParagraph"/>
        <w:numPr>
          <w:ilvl w:val="0"/>
          <w:numId w:val="2"/>
        </w:numPr>
        <w:spacing w:after="60"/>
      </w:pPr>
      <w:r>
        <w:rPr>
          <w:rFonts w:ascii="Arial" w:cs="Arial" w:eastAsia="Arial" w:hAnsi="Arial"/>
          <w:sz w:val="22"/>
          <w:szCs w:val="22"/>
        </w:rPr>
        <w:t xml:space="preserve">Tipos: standard, adjusting, closing, reversing, opening</w:t>
      </w:r>
    </w:p>
    <w:p>
      <w:pPr>
        <w:pStyle w:val="ListParagraph"/>
        <w:numPr>
          <w:ilvl w:val="0"/>
          <w:numId w:val="2"/>
        </w:numPr>
        <w:spacing w:after="60"/>
      </w:pPr>
      <w:r>
        <w:rPr>
          <w:rFonts w:ascii="Arial" w:cs="Arial" w:eastAsia="Arial" w:hAnsi="Arial"/>
          <w:sz w:val="22"/>
          <w:szCs w:val="22"/>
        </w:rPr>
        <w:t xml:space="preserve">Geração automática a partir de financial_transactions (trigger ou n8n)</w:t>
      </w:r>
    </w:p>
    <w:p>
      <w:pPr>
        <w:pStyle w:val="ListParagraph"/>
        <w:numPr>
          <w:ilvl w:val="0"/>
          <w:numId w:val="2"/>
        </w:numPr>
        <w:spacing w:after="60"/>
      </w:pPr>
      <w:r>
        <w:rPr>
          <w:rFonts w:ascii="Arial" w:cs="Arial" w:eastAsia="Arial" w:hAnsi="Arial"/>
          <w:sz w:val="22"/>
          <w:szCs w:val="22"/>
        </w:rPr>
        <w:t xml:space="preserve">Centros de custo flexíveis: por veículo, OS, departamento ou campanha de marketing</w:t>
      </w:r>
    </w:p>
    <w:p>
      <w:pPr>
        <w:pStyle w:val="ListParagraph"/>
        <w:numPr>
          <w:ilvl w:val="0"/>
          <w:numId w:val="2"/>
        </w:numPr>
        <w:spacing w:after="60"/>
      </w:pPr>
      <w:r>
        <w:rPr>
          <w:rFonts w:ascii="Arial" w:cs="Arial" w:eastAsia="Arial" w:hAnsi="Arial"/>
          <w:sz w:val="22"/>
          <w:szCs w:val="22"/>
        </w:rPr>
        <w:t xml:space="preserve">Status: draft → posted → reversed</w:t>
      </w:r>
    </w:p>
    <w:p>
      <w:pPr>
        <w:pStyle w:val="Heading3"/>
        <w:spacing w:after="120" w:before="200"/>
      </w:pPr>
      <w:r>
        <w:rPr>
          <w:rFonts w:ascii="Arial" w:cs="Arial" w:eastAsia="Arial" w:hAnsi="Arial"/>
        </w:rPr>
        <w:t xml:space="preserve">3.8.3 Períodos Fiscais</w:t>
      </w:r>
    </w:p>
    <w:p>
      <w:pPr>
        <w:pStyle w:val="ListParagraph"/>
        <w:numPr>
          <w:ilvl w:val="0"/>
          <w:numId w:val="2"/>
        </w:numPr>
        <w:spacing w:after="60"/>
      </w:pPr>
      <w:r>
        <w:rPr>
          <w:rFonts w:ascii="Arial" w:cs="Arial" w:eastAsia="Arial" w:hAnsi="Arial"/>
          <w:sz w:val="22"/>
          <w:szCs w:val="22"/>
        </w:rPr>
        <w:t xml:space="preserve">Controle de abertura/fechamento de períodos contábeis (mês, trimestre, ano)</w:t>
      </w:r>
    </w:p>
    <w:p>
      <w:pPr>
        <w:pStyle w:val="ListParagraph"/>
        <w:numPr>
          <w:ilvl w:val="0"/>
          <w:numId w:val="2"/>
        </w:numPr>
        <w:spacing w:after="60"/>
      </w:pPr>
      <w:r>
        <w:rPr>
          <w:rFonts w:ascii="Arial" w:cs="Arial" w:eastAsia="Arial" w:hAnsi="Arial"/>
          <w:sz w:val="22"/>
          <w:szCs w:val="22"/>
        </w:rPr>
        <w:t xml:space="preserve">Período fechado impede novos lançamentos (proteção de dados históricos)</w:t>
      </w:r>
    </w:p>
    <w:p>
      <w:pPr>
        <w:pStyle w:val="ListParagraph"/>
        <w:numPr>
          <w:ilvl w:val="0"/>
          <w:numId w:val="2"/>
        </w:numPr>
        <w:spacing w:after="60"/>
      </w:pPr>
      <w:r>
        <w:rPr>
          <w:rFonts w:ascii="Arial" w:cs="Arial" w:eastAsia="Arial" w:hAnsi="Arial"/>
          <w:sz w:val="22"/>
          <w:szCs w:val="22"/>
        </w:rPr>
        <w:t xml:space="preserve">Fechamento gera lançamento automático transferindo receitas/despesas para Retained Earnings</w:t>
      </w:r>
    </w:p>
    <w:p>
      <w:pPr>
        <w:pStyle w:val="Heading3"/>
        <w:spacing w:after="120" w:before="200"/>
      </w:pPr>
      <w:r>
        <w:rPr>
          <w:rFonts w:ascii="Arial" w:cs="Arial" w:eastAsia="Arial" w:hAnsi="Arial"/>
        </w:rPr>
        <w:t xml:space="preserve">3.8.4 Relatórios Contábeis em Tempo Real</w:t>
      </w:r>
    </w:p>
    <w:p>
      <w:pPr>
        <w:pStyle w:val="ListParagraph"/>
        <w:numPr>
          <w:ilvl w:val="0"/>
          <w:numId w:val="2"/>
        </w:numPr>
        <w:spacing w:after="60"/>
      </w:pPr>
      <w:r>
        <w:rPr>
          <w:rFonts w:ascii="Arial" w:cs="Arial" w:eastAsia="Arial" w:hAnsi="Arial"/>
          <w:sz w:val="22"/>
          <w:szCs w:val="22"/>
        </w:rPr>
        <w:t xml:space="preserve">P&amp;L (Income Statement): receitas (4000-4999) menos despesas (5000-9999) por período</w:t>
      </w:r>
    </w:p>
    <w:p>
      <w:pPr>
        <w:pStyle w:val="ListParagraph"/>
        <w:numPr>
          <w:ilvl w:val="0"/>
          <w:numId w:val="2"/>
        </w:numPr>
        <w:spacing w:after="60"/>
      </w:pPr>
      <w:r>
        <w:rPr>
          <w:rFonts w:ascii="Arial" w:cs="Arial" w:eastAsia="Arial" w:hAnsi="Arial"/>
          <w:sz w:val="22"/>
          <w:szCs w:val="22"/>
        </w:rPr>
        <w:t xml:space="preserve">Balance Sheet (Balanço Patrimonial): Assets = Liabilities + Equity</w:t>
      </w:r>
    </w:p>
    <w:p>
      <w:pPr>
        <w:pStyle w:val="ListParagraph"/>
        <w:numPr>
          <w:ilvl w:val="0"/>
          <w:numId w:val="2"/>
        </w:numPr>
        <w:spacing w:after="60"/>
      </w:pPr>
      <w:r>
        <w:rPr>
          <w:rFonts w:ascii="Arial" w:cs="Arial" w:eastAsia="Arial" w:hAnsi="Arial"/>
          <w:sz w:val="22"/>
          <w:szCs w:val="22"/>
        </w:rPr>
        <w:t xml:space="preserve">Trial Balance (Balancete): listagem de saldos de todas as contas</w:t>
      </w:r>
    </w:p>
    <w:p>
      <w:pPr>
        <w:pStyle w:val="ListParagraph"/>
        <w:numPr>
          <w:ilvl w:val="0"/>
          <w:numId w:val="2"/>
        </w:numPr>
        <w:spacing w:after="60"/>
      </w:pPr>
      <w:r>
        <w:rPr>
          <w:rFonts w:ascii="Arial" w:cs="Arial" w:eastAsia="Arial" w:hAnsi="Arial"/>
          <w:sz w:val="22"/>
          <w:szCs w:val="22"/>
        </w:rPr>
        <w:t xml:space="preserve">Saldos pré-calculados (account_balances) para performance em queries</w:t>
      </w:r>
    </w:p>
    <w:p>
      <w:pPr>
        <w:pStyle w:val="ListParagraph"/>
        <w:numPr>
          <w:ilvl w:val="0"/>
          <w:numId w:val="2"/>
        </w:numPr>
        <w:spacing w:after="60"/>
      </w:pPr>
      <w:r>
        <w:rPr>
          <w:rFonts w:ascii="Arial" w:cs="Arial" w:eastAsia="Arial" w:hAnsi="Arial"/>
          <w:sz w:val="22"/>
          <w:szCs w:val="22"/>
        </w:rPr>
        <w:t xml:space="preserve">P&amp;L por veículo (centro de custo) para análise de rentabilidade</w:t>
      </w:r>
    </w:p>
    <w:p>
      <w:pPr>
        <w:pStyle w:val="Heading3"/>
        <w:spacing w:after="120" w:before="200"/>
      </w:pPr>
      <w:r>
        <w:rPr>
          <w:rFonts w:ascii="Arial" w:cs="Arial" w:eastAsia="Arial" w:hAnsi="Arial"/>
        </w:rPr>
        <w:t xml:space="preserve">3.8.5 Gestão de Ativos Fixos (Fixed Asset Management — FAM)</w:t>
      </w:r>
    </w:p>
    <w:p>
      <w:pPr>
        <w:spacing w:after="120"/>
        <w:jc w:val="both"/>
      </w:pPr>
      <w:r>
        <w:rPr>
          <w:rFonts w:ascii="Arial" w:cs="Arial" w:eastAsia="Arial" w:hAnsi="Arial"/>
          <w:sz w:val="22"/>
          <w:szCs w:val="22"/>
        </w:rPr>
        <w:t xml:space="preserve">Módulo completo de gestão do ciclo de vida de ativos fixos conforme Leading Practices Oracle/NetSuite, integrado ao GL para contabilização automática de depreciação e descarte.</w:t>
      </w:r>
    </w:p>
    <w:p>
      <w:pPr>
        <w:pStyle w:val="ListParagraph"/>
        <w:numPr>
          <w:ilvl w:val="0"/>
          <w:numId w:val="2"/>
        </w:numPr>
        <w:spacing w:after="60"/>
      </w:pPr>
      <w:r>
        <w:rPr>
          <w:rFonts w:ascii="Arial" w:cs="Arial" w:eastAsia="Arial" w:hAnsi="Arial"/>
          <w:sz w:val="22"/>
          <w:szCs w:val="22"/>
        </w:rPr>
        <w:t xml:space="preserve">Categorias de ativos: Machinery &amp; Equipment, Vehicles (Fleet), Furniture &amp; Fixtures, Computer Equipment, Leasehold Improvements, Tools &amp; Small Equipment</w:t>
      </w:r>
    </w:p>
    <w:p>
      <w:pPr>
        <w:pStyle w:val="ListParagraph"/>
        <w:numPr>
          <w:ilvl w:val="0"/>
          <w:numId w:val="2"/>
        </w:numPr>
        <w:spacing w:after="60"/>
      </w:pPr>
      <w:r>
        <w:rPr>
          <w:rFonts w:ascii="Arial" w:cs="Arial" w:eastAsia="Arial" w:hAnsi="Arial"/>
          <w:sz w:val="22"/>
          <w:szCs w:val="22"/>
        </w:rPr>
        <w:t xml:space="preserve">Ciclo completo: Aquisição → Proposta → Ativação → Depreciação → Reavaliação → Descarte (venda/baixa)</w:t>
      </w:r>
    </w:p>
    <w:p>
      <w:pPr>
        <w:pStyle w:val="ListParagraph"/>
        <w:numPr>
          <w:ilvl w:val="0"/>
          <w:numId w:val="2"/>
        </w:numPr>
        <w:spacing w:after="60"/>
      </w:pPr>
      <w:r>
        <w:rPr>
          <w:rFonts w:ascii="Arial" w:cs="Arial" w:eastAsia="Arial" w:hAnsi="Arial"/>
          <w:sz w:val="22"/>
          <w:szCs w:val="22"/>
        </w:rPr>
        <w:t xml:space="preserve">5 métodos de depreciação: Straight-Line (linear), MACRS (IRS), Declining Balance, Sum-of-Years’-Digits, Units of Production</w:t>
      </w:r>
    </w:p>
    <w:p>
      <w:pPr>
        <w:pStyle w:val="ListParagraph"/>
        <w:numPr>
          <w:ilvl w:val="0"/>
          <w:numId w:val="2"/>
        </w:numPr>
        <w:spacing w:after="60"/>
      </w:pPr>
      <w:r>
        <w:rPr>
          <w:rFonts w:ascii="Arial" w:cs="Arial" w:eastAsia="Arial" w:hAnsi="Arial"/>
          <w:sz w:val="22"/>
          <w:szCs w:val="22"/>
        </w:rPr>
        <w:t xml:space="preserve">Schedules de depreciação pré-calculados para projeção de valores futuros</w:t>
      </w:r>
    </w:p>
    <w:p>
      <w:pPr>
        <w:pStyle w:val="ListParagraph"/>
        <w:numPr>
          <w:ilvl w:val="0"/>
          <w:numId w:val="2"/>
        </w:numPr>
        <w:spacing w:after="60"/>
      </w:pPr>
      <w:r>
        <w:rPr>
          <w:rFonts w:ascii="Arial" w:cs="Arial" w:eastAsia="Arial" w:hAnsi="Arial"/>
          <w:sz w:val="22"/>
          <w:szCs w:val="22"/>
        </w:rPr>
        <w:t xml:space="preserve">Execução de depreciação mensal/trimestral/anual com geração automática de journal entries (D: 5800 Depreciation / C: 1590 Accumulated Depreciation)</w:t>
      </w:r>
    </w:p>
    <w:p>
      <w:pPr>
        <w:pStyle w:val="ListParagraph"/>
        <w:numPr>
          <w:ilvl w:val="0"/>
          <w:numId w:val="2"/>
        </w:numPr>
        <w:spacing w:after="60"/>
      </w:pPr>
      <w:r>
        <w:rPr>
          <w:rFonts w:ascii="Arial" w:cs="Arial" w:eastAsia="Arial" w:hAnsi="Arial"/>
          <w:sz w:val="22"/>
          <w:szCs w:val="22"/>
        </w:rPr>
        <w:t xml:space="preserve">Descarte por venda (com cálculo de ganho/perda) ou write-off (baixa contábil)</w:t>
      </w:r>
    </w:p>
    <w:p>
      <w:pPr>
        <w:pStyle w:val="ListParagraph"/>
        <w:numPr>
          <w:ilvl w:val="0"/>
          <w:numId w:val="2"/>
        </w:numPr>
        <w:spacing w:after="60"/>
      </w:pPr>
      <w:r>
        <w:rPr>
          <w:rFonts w:ascii="Arial" w:cs="Arial" w:eastAsia="Arial" w:hAnsi="Arial"/>
          <w:sz w:val="22"/>
          <w:szCs w:val="22"/>
        </w:rPr>
        <w:t xml:space="preserve">Transferência de ativos entre categorias, localizações e departamentos</w:t>
      </w:r>
    </w:p>
    <w:p>
      <w:pPr>
        <w:pStyle w:val="ListParagraph"/>
        <w:numPr>
          <w:ilvl w:val="0"/>
          <w:numId w:val="2"/>
        </w:numPr>
        <w:spacing w:after="60"/>
      </w:pPr>
      <w:r>
        <w:rPr>
          <w:rFonts w:ascii="Arial" w:cs="Arial" w:eastAsia="Arial" w:hAnsi="Arial"/>
          <w:sz w:val="22"/>
          <w:szCs w:val="22"/>
        </w:rPr>
        <w:t xml:space="preserve">Reavaliação de ativos com recalcúlo automático de depreciação futura</w:t>
      </w:r>
    </w:p>
    <w:p>
      <w:pPr>
        <w:pStyle w:val="ListParagraph"/>
        <w:numPr>
          <w:ilvl w:val="0"/>
          <w:numId w:val="2"/>
        </w:numPr>
        <w:spacing w:after="60"/>
      </w:pPr>
      <w:r>
        <w:rPr>
          <w:rFonts w:ascii="Arial" w:cs="Arial" w:eastAsia="Arial" w:hAnsi="Arial"/>
          <w:sz w:val="22"/>
          <w:szCs w:val="22"/>
        </w:rPr>
        <w:t xml:space="preserve">Relatórios: Depreciation Schedule, Asset Register, Monthly Depreciation, Additions &amp; Disposals, Asset List por categoria</w:t>
      </w:r>
    </w:p>
    <w:p>
      <w:pPr>
        <w:pStyle w:val="ListParagraph"/>
        <w:numPr>
          <w:ilvl w:val="0"/>
          <w:numId w:val="2"/>
        </w:numPr>
        <w:spacing w:after="60"/>
      </w:pPr>
      <w:r>
        <w:rPr>
          <w:rFonts w:ascii="Arial" w:cs="Arial" w:eastAsia="Arial" w:hAnsi="Arial"/>
          <w:sz w:val="22"/>
          <w:szCs w:val="22"/>
        </w:rPr>
        <w:t xml:space="preserve">4 contas GL obrigatórias por categoria: Ativo (1500), Deprec. Acumulada (1590), Despesa Deprec. (5800), Ganho/Perda (9100)</w:t>
      </w:r>
    </w:p>
    <w:p>
      <w:pPr>
        <w:pStyle w:val="ListParagraph"/>
        <w:numPr>
          <w:ilvl w:val="0"/>
          <w:numId w:val="2"/>
        </w:numPr>
        <w:spacing w:after="60"/>
      </w:pPr>
      <w:r>
        <w:rPr>
          <w:rFonts w:ascii="Arial" w:cs="Arial" w:eastAsia="Arial" w:hAnsi="Arial"/>
          <w:sz w:val="22"/>
          <w:szCs w:val="22"/>
        </w:rPr>
        <w:t xml:space="preserve">Rastreabilidade completa: cada ativo vinculado à transação de compra e fornecedor</w:t>
      </w:r>
    </w:p>
    <w:p>
      <w:pPr>
        <w:pStyle w:val="ListParagraph"/>
        <w:numPr>
          <w:ilvl w:val="0"/>
          <w:numId w:val="2"/>
        </w:numPr>
        <w:spacing w:after="60"/>
      </w:pPr>
      <w:r>
        <w:rPr>
          <w:rFonts w:ascii="Arial" w:cs="Arial" w:eastAsia="Arial" w:hAnsi="Arial"/>
          <w:sz w:val="22"/>
          <w:szCs w:val="22"/>
        </w:rPr>
        <w:t xml:space="preserve">Aprovação gerencial obrigatória para descarte de ativos</w:t>
      </w:r>
    </w:p>
    <w:p>
      <w:r>
        <w:br w:type="page"/>
      </w:r>
    </w:p>
    <w:p>
      <w:pPr>
        <w:pStyle w:val="Heading1"/>
        <w:spacing w:after="200" w:before="360"/>
      </w:pPr>
      <w:r>
        <w:rPr>
          <w:rFonts w:ascii="Arial" w:cs="Arial" w:eastAsia="Arial" w:hAnsi="Arial"/>
        </w:rPr>
        <w:t xml:space="preserve">4. Arquitetura Técnica SaaS</w:t>
      </w:r>
    </w:p>
    <w:p>
      <w:pPr>
        <w:pStyle w:val="Heading2"/>
        <w:spacing w:after="160" w:before="280"/>
      </w:pPr>
      <w:r>
        <w:rPr>
          <w:rFonts w:ascii="Arial" w:cs="Arial" w:eastAsia="Arial" w:hAnsi="Arial"/>
        </w:rPr>
        <w:t xml:space="preserve">4.1 Visão Geral da Arquitetura</w:t>
      </w:r>
    </w:p>
    <w:p>
      <w:pPr>
        <w:spacing w:after="120"/>
        <w:jc w:val="both"/>
      </w:pPr>
      <w:r>
        <w:rPr>
          <w:rFonts w:ascii="Arial" w:cs="Arial" w:eastAsia="Arial" w:hAnsi="Arial"/>
          <w:sz w:val="22"/>
          <w:szCs w:val="22"/>
        </w:rPr>
        <w:t xml:space="preserve">A arquitetura recomendada para o Storm Shield Enterprise é baseada em microserviços, cloud-native, com separação clara entre frontend, backend, serviços de IA e camada de automação (n8n).</w:t>
      </w:r>
    </w:p>
    <w:p>
      <w:pPr>
        <w:pStyle w:val="Heading3"/>
        <w:spacing w:after="120" w:before="200"/>
      </w:pPr>
      <w:r>
        <w:rPr>
          <w:rFonts w:ascii="Arial" w:cs="Arial" w:eastAsia="Arial" w:hAnsi="Arial"/>
        </w:rPr>
        <w:t xml:space="preserve">4.1.1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Camada</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Tecnologia</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 Web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14+ (React) + Tailwind CSS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SSR, SEO, performance. Ecossistema maduro para dashboards.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App Móvel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React Native / Expo</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Código compartilhado com web, deploy rápido iOS/Android.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Gateway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Kong ou AWS API Gateway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 limiting, autenticação centralizada, observabilidade.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Backend / API</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Node.js (NestJS) ou Python (FastAPI)</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Alta produtividade, tipagem forte, ecossistema de 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Banco de Dados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PostgreSQL (multi-tenant) + Redis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ACID, JSONB para flexibilidade, Redis para cache/filas.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Armazenamento</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AWS S3 / Cloudflare R2</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Fotos, documentos, NFs digitalizadas.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Automação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n8n (self-hosted)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Workflows visuais, integrações com APIs de seguradoras, WhatsApp.</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IA / ML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OpenAI API + modelos custom</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OCR, classificação de documentos, previsão de demanda.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Autenticação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Auth0 / Clerk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SSO, MFA, RBAC nativo.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Infraestrutura</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AWS / Vercel + Docker + Kubernetes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Escalabilidade, alta disponibilidade, deploy automatizado.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Monitoramento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Datadog / Grafana + Sentry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APM, logs, alertas, error tracking.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Pagamentos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Stripe + Plaid</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Cobrança de assinatura SaaS + integração bancária.</w:t>
            </w:r>
          </w:p>
        </w:tc>
      </w:tr>
    </w:tbl>
    <w:p>
      <w:pPr>
        <w:pStyle w:val="Heading3"/>
        <w:spacing w:after="120" w:before="200"/>
      </w:pPr>
      <w:r>
        <w:rPr>
          <w:rFonts w:ascii="Arial" w:cs="Arial" w:eastAsia="Arial" w:hAnsi="Arial"/>
        </w:rPr>
        <w:t xml:space="preserve">4.1.2 Modelo Multi-Tenant</w:t>
      </w:r>
    </w:p>
    <w:p>
      <w:pPr>
        <w:spacing w:after="120"/>
        <w:jc w:val="both"/>
      </w:pPr>
      <w:r>
        <w:rPr>
          <w:rFonts w:ascii="Arial" w:cs="Arial" w:eastAsia="Arial" w:hAnsi="Arial"/>
          <w:sz w:val="22"/>
          <w:szCs w:val="22"/>
        </w:rPr>
        <w:t xml:space="preserve">Recomenda-se o modelo de multi-tenancy com schema isolation no PostgreSQL. Cada empresa (tenant) terá seu próprio schema, garantindo isolamento de dados com custo operacional controlado. Isso permite escalar para centenas de empresas sem infraestrutura dedicada por cliente.</w:t>
      </w:r>
    </w:p>
    <w:p>
      <w:pPr>
        <w:pStyle w:val="Heading3"/>
        <w:spacing w:after="120" w:before="200"/>
      </w:pPr>
      <w:r>
        <w:rPr>
          <w:rFonts w:ascii="Arial" w:cs="Arial" w:eastAsia="Arial" w:hAnsi="Arial"/>
        </w:rPr>
        <w:t xml:space="preserve">4.1.3 Estratégia de Deploy</w:t>
      </w:r>
    </w:p>
    <w:p>
      <w:pPr>
        <w:pStyle w:val="ListParagraph"/>
        <w:numPr>
          <w:ilvl w:val="0"/>
          <w:numId w:val="2"/>
        </w:numPr>
        <w:spacing w:after="60"/>
      </w:pPr>
      <w:r>
        <w:rPr>
          <w:rFonts w:ascii="Arial" w:cs="Arial" w:eastAsia="Arial" w:hAnsi="Arial"/>
          <w:sz w:val="22"/>
          <w:szCs w:val="22"/>
        </w:rPr>
        <w:t xml:space="preserve">CI/CD via GitHub Actions + Docker</w:t>
      </w:r>
    </w:p>
    <w:p>
      <w:pPr>
        <w:pStyle w:val="ListParagraph"/>
        <w:numPr>
          <w:ilvl w:val="0"/>
          <w:numId w:val="2"/>
        </w:numPr>
        <w:spacing w:after="60"/>
      </w:pPr>
      <w:r>
        <w:rPr>
          <w:rFonts w:ascii="Arial" w:cs="Arial" w:eastAsia="Arial" w:hAnsi="Arial"/>
          <w:sz w:val="22"/>
          <w:szCs w:val="22"/>
        </w:rPr>
        <w:t xml:space="preserve">Ambientes: Development → Staging → Production</w:t>
      </w:r>
    </w:p>
    <w:p>
      <w:pPr>
        <w:pStyle w:val="ListParagraph"/>
        <w:numPr>
          <w:ilvl w:val="0"/>
          <w:numId w:val="2"/>
        </w:numPr>
        <w:spacing w:after="60"/>
      </w:pPr>
      <w:r>
        <w:rPr>
          <w:rFonts w:ascii="Arial" w:cs="Arial" w:eastAsia="Arial" w:hAnsi="Arial"/>
          <w:sz w:val="22"/>
          <w:szCs w:val="22"/>
        </w:rPr>
        <w:t xml:space="preserve">Blue/Green deployment para zero downtime</w:t>
      </w:r>
    </w:p>
    <w:p>
      <w:pPr>
        <w:pStyle w:val="ListParagraph"/>
        <w:numPr>
          <w:ilvl w:val="0"/>
          <w:numId w:val="2"/>
        </w:numPr>
        <w:spacing w:after="60"/>
      </w:pPr>
      <w:r>
        <w:rPr>
          <w:rFonts w:ascii="Arial" w:cs="Arial" w:eastAsia="Arial" w:hAnsi="Arial"/>
          <w:sz w:val="22"/>
          <w:szCs w:val="22"/>
        </w:rPr>
        <w:t xml:space="preserve">Banco de dados com migrations automatizadas (Prisma ou TypeORM)</w:t>
      </w:r>
    </w:p>
    <w:p>
      <w:pPr>
        <w:pStyle w:val="ListParagraph"/>
        <w:numPr>
          <w:ilvl w:val="0"/>
          <w:numId w:val="2"/>
        </w:numPr>
        <w:spacing w:after="60"/>
      </w:pPr>
      <w:r>
        <w:rPr>
          <w:rFonts w:ascii="Arial" w:cs="Arial" w:eastAsia="Arial" w:hAnsi="Arial"/>
          <w:sz w:val="22"/>
          <w:szCs w:val="22"/>
        </w:rPr>
        <w:t xml:space="preserve">Backup automático diário com retenção de 30 dias</w:t>
      </w:r>
    </w:p>
    <w:p>
      <w:r>
        <w:br w:type="page"/>
      </w:r>
    </w:p>
    <w:p>
      <w:pPr>
        <w:pStyle w:val="Heading1"/>
        <w:spacing w:after="200" w:before="360"/>
      </w:pPr>
      <w:r>
        <w:rPr>
          <w:rFonts w:ascii="Arial" w:cs="Arial" w:eastAsia="Arial" w:hAnsi="Arial"/>
        </w:rPr>
        <w:t xml:space="preserve">5. Inteligência Artificial e Automação (n8n)</w:t>
      </w:r>
    </w:p>
    <w:p>
      <w:pPr>
        <w:pStyle w:val="Heading2"/>
        <w:spacing w:after="160" w:before="280"/>
      </w:pPr>
      <w:r>
        <w:rPr>
          <w:rFonts w:ascii="Arial" w:cs="Arial" w:eastAsia="Arial" w:hAnsi="Arial"/>
        </w:rPr>
        <w:t xml:space="preserve">5.1 Funcionalidades de IA</w:t>
      </w:r>
    </w:p>
    <w:p>
      <w:pPr>
        <w:spacing w:after="120"/>
        <w:jc w:val="both"/>
      </w:pPr>
      <w:r>
        <w:rPr>
          <w:rFonts w:ascii="Arial" w:cs="Arial" w:eastAsia="Arial" w:hAnsi="Arial"/>
          <w:sz w:val="22"/>
          <w:szCs w:val="22"/>
        </w:rPr>
        <w:t xml:space="preserve">O Storm Shield Enterprise utilizará inteligência artificial em pontos estratégicos para reduzir trabalho manual, prevenir erros e gerar insights acionáveis.</w:t>
      </w:r>
    </w:p>
    <w:p>
      <w:pPr>
        <w:pStyle w:val="Heading3"/>
        <w:spacing w:after="120" w:before="200"/>
      </w:pPr>
      <w:r>
        <w:rPr>
          <w:rFonts w:ascii="Arial" w:cs="Arial" w:eastAsia="Arial" w:hAnsi="Arial"/>
        </w:rPr>
        <w:t xml:space="preserve">5.1.1 OCR Inteligente (Reconhecimento de Documentos)</w:t>
      </w:r>
    </w:p>
    <w:p>
      <w:pPr>
        <w:pStyle w:val="ListParagraph"/>
        <w:numPr>
          <w:ilvl w:val="0"/>
          <w:numId w:val="2"/>
        </w:numPr>
        <w:spacing w:after="60"/>
      </w:pPr>
      <w:r>
        <w:rPr>
          <w:rFonts w:ascii="Arial" w:cs="Arial" w:eastAsia="Arial" w:hAnsi="Arial"/>
          <w:sz w:val="22"/>
          <w:szCs w:val="22"/>
        </w:rPr>
        <w:t xml:space="preserve">Leitura automática de notas fiscais / recibos via foto (câmera do celular)</w:t>
      </w:r>
    </w:p>
    <w:p>
      <w:pPr>
        <w:pStyle w:val="ListParagraph"/>
        <w:numPr>
          <w:ilvl w:val="0"/>
          <w:numId w:val="2"/>
        </w:numPr>
        <w:spacing w:after="60"/>
      </w:pPr>
      <w:r>
        <w:rPr>
          <w:rFonts w:ascii="Arial" w:cs="Arial" w:eastAsia="Arial" w:hAnsi="Arial"/>
          <w:sz w:val="22"/>
          <w:szCs w:val="22"/>
        </w:rPr>
        <w:t xml:space="preserve">Extração de: valor, data, fornecedor, itens, forma de pagamento</w:t>
      </w:r>
    </w:p>
    <w:p>
      <w:pPr>
        <w:pStyle w:val="ListParagraph"/>
        <w:numPr>
          <w:ilvl w:val="0"/>
          <w:numId w:val="2"/>
        </w:numPr>
        <w:spacing w:after="60"/>
      </w:pPr>
      <w:r>
        <w:rPr>
          <w:rFonts w:ascii="Arial" w:cs="Arial" w:eastAsia="Arial" w:hAnsi="Arial"/>
          <w:sz w:val="22"/>
          <w:szCs w:val="22"/>
        </w:rPr>
        <w:t xml:space="preserve">Classificação automática da despesa (peça, serviço, uso e consumo)</w:t>
      </w:r>
    </w:p>
    <w:p>
      <w:pPr>
        <w:pStyle w:val="ListParagraph"/>
        <w:numPr>
          <w:ilvl w:val="0"/>
          <w:numId w:val="2"/>
        </w:numPr>
        <w:spacing w:after="60"/>
      </w:pPr>
      <w:r>
        <w:rPr>
          <w:rFonts w:ascii="Arial" w:cs="Arial" w:eastAsia="Arial" w:hAnsi="Arial"/>
          <w:sz w:val="22"/>
          <w:szCs w:val="22"/>
        </w:rPr>
        <w:t xml:space="preserve">Vínculo sugerido com veículo/OS baseado em contexto</w:t>
      </w:r>
    </w:p>
    <w:p>
      <w:pPr>
        <w:pStyle w:val="ListParagraph"/>
        <w:numPr>
          <w:ilvl w:val="0"/>
          <w:numId w:val="2"/>
        </w:numPr>
        <w:spacing w:after="60"/>
      </w:pPr>
      <w:r>
        <w:rPr>
          <w:rFonts w:ascii="Arial" w:cs="Arial" w:eastAsia="Arial" w:hAnsi="Arial"/>
          <w:sz w:val="22"/>
          <w:szCs w:val="22"/>
        </w:rPr>
        <w:t xml:space="preserve">Leitura de placas de veículo via foto (OCR de placa)</w:t>
      </w:r>
    </w:p>
    <w:p>
      <w:pPr>
        <w:pStyle w:val="Heading3"/>
        <w:spacing w:after="120" w:before="200"/>
      </w:pPr>
      <w:r>
        <w:rPr>
          <w:rFonts w:ascii="Arial" w:cs="Arial" w:eastAsia="Arial" w:hAnsi="Arial"/>
        </w:rPr>
        <w:t xml:space="preserve">5.1.2 Assistente de Estimates</w:t>
      </w:r>
    </w:p>
    <w:p>
      <w:pPr>
        <w:pStyle w:val="ListParagraph"/>
        <w:numPr>
          <w:ilvl w:val="0"/>
          <w:numId w:val="2"/>
        </w:numPr>
        <w:spacing w:after="60"/>
      </w:pPr>
      <w:r>
        <w:rPr>
          <w:rFonts w:ascii="Arial" w:cs="Arial" w:eastAsia="Arial" w:hAnsi="Arial"/>
          <w:sz w:val="22"/>
          <w:szCs w:val="22"/>
        </w:rPr>
        <w:t xml:space="preserve">Sugestão automática de itens de reparo com base em fotos dos danos</w:t>
      </w:r>
    </w:p>
    <w:p>
      <w:pPr>
        <w:pStyle w:val="ListParagraph"/>
        <w:numPr>
          <w:ilvl w:val="0"/>
          <w:numId w:val="2"/>
        </w:numPr>
        <w:spacing w:after="60"/>
      </w:pPr>
      <w:r>
        <w:rPr>
          <w:rFonts w:ascii="Arial" w:cs="Arial" w:eastAsia="Arial" w:hAnsi="Arial"/>
          <w:sz w:val="22"/>
          <w:szCs w:val="22"/>
        </w:rPr>
        <w:t xml:space="preserve">Preços sugeridos com base em histórico e região (Missouri)</w:t>
      </w:r>
    </w:p>
    <w:p>
      <w:pPr>
        <w:pStyle w:val="ListParagraph"/>
        <w:numPr>
          <w:ilvl w:val="0"/>
          <w:numId w:val="2"/>
        </w:numPr>
        <w:spacing w:after="60"/>
      </w:pPr>
      <w:r>
        <w:rPr>
          <w:rFonts w:ascii="Arial" w:cs="Arial" w:eastAsia="Arial" w:hAnsi="Arial"/>
          <w:sz w:val="22"/>
          <w:szCs w:val="22"/>
        </w:rPr>
        <w:t xml:space="preserve">Preenchimento automático de formulários de seguradoras</w:t>
      </w:r>
    </w:p>
    <w:p>
      <w:pPr>
        <w:pStyle w:val="ListParagraph"/>
        <w:numPr>
          <w:ilvl w:val="0"/>
          <w:numId w:val="2"/>
        </w:numPr>
        <w:spacing w:after="60"/>
      </w:pPr>
      <w:r>
        <w:rPr>
          <w:rFonts w:ascii="Arial" w:cs="Arial" w:eastAsia="Arial" w:hAnsi="Arial"/>
          <w:sz w:val="22"/>
          <w:szCs w:val="22"/>
        </w:rPr>
        <w:t xml:space="preserve">Detecção de inconsistências no estimate antes do envio</w:t>
      </w:r>
    </w:p>
    <w:p>
      <w:pPr>
        <w:pStyle w:val="Heading3"/>
        <w:spacing w:after="120" w:before="200"/>
      </w:pPr>
      <w:r>
        <w:rPr>
          <w:rFonts w:ascii="Arial" w:cs="Arial" w:eastAsia="Arial" w:hAnsi="Arial"/>
        </w:rPr>
        <w:t xml:space="preserve">5.1.3 Previsão e Analytics</w:t>
      </w:r>
    </w:p>
    <w:p>
      <w:pPr>
        <w:pStyle w:val="ListParagraph"/>
        <w:numPr>
          <w:ilvl w:val="0"/>
          <w:numId w:val="2"/>
        </w:numPr>
        <w:spacing w:after="60"/>
      </w:pPr>
      <w:r>
        <w:rPr>
          <w:rFonts w:ascii="Arial" w:cs="Arial" w:eastAsia="Arial" w:hAnsi="Arial"/>
          <w:sz w:val="22"/>
          <w:szCs w:val="22"/>
        </w:rPr>
        <w:t xml:space="preserve">Previsão de demanda baseada em sazonalidade e dados históricos</w:t>
      </w:r>
    </w:p>
    <w:p>
      <w:pPr>
        <w:pStyle w:val="ListParagraph"/>
        <w:numPr>
          <w:ilvl w:val="0"/>
          <w:numId w:val="2"/>
        </w:numPr>
        <w:spacing w:after="60"/>
      </w:pPr>
      <w:r>
        <w:rPr>
          <w:rFonts w:ascii="Arial" w:cs="Arial" w:eastAsia="Arial" w:hAnsi="Arial"/>
          <w:sz w:val="22"/>
          <w:szCs w:val="22"/>
        </w:rPr>
        <w:t xml:space="preserve">Previsão de fluxo de caixa (quando cheques de seguradoras devem chegar)</w:t>
      </w:r>
    </w:p>
    <w:p>
      <w:pPr>
        <w:pStyle w:val="ListParagraph"/>
        <w:numPr>
          <w:ilvl w:val="0"/>
          <w:numId w:val="2"/>
        </w:numPr>
        <w:spacing w:after="60"/>
      </w:pPr>
      <w:r>
        <w:rPr>
          <w:rFonts w:ascii="Arial" w:cs="Arial" w:eastAsia="Arial" w:hAnsi="Arial"/>
          <w:sz w:val="22"/>
          <w:szCs w:val="22"/>
        </w:rPr>
        <w:t xml:space="preserve">Análise de rentabilidade por tipo de reparo, seguradora e técnico</w:t>
      </w:r>
    </w:p>
    <w:p>
      <w:pPr>
        <w:pStyle w:val="ListParagraph"/>
        <w:numPr>
          <w:ilvl w:val="0"/>
          <w:numId w:val="2"/>
        </w:numPr>
        <w:spacing w:after="60"/>
      </w:pPr>
      <w:r>
        <w:rPr>
          <w:rFonts w:ascii="Arial" w:cs="Arial" w:eastAsia="Arial" w:hAnsi="Arial"/>
          <w:sz w:val="22"/>
          <w:szCs w:val="22"/>
        </w:rPr>
        <w:t xml:space="preserve">Detecção de anomalias financeiras (despesas fora do padrão, extravio)</w:t>
      </w:r>
    </w:p>
    <w:p>
      <w:pPr>
        <w:pStyle w:val="ListParagraph"/>
        <w:numPr>
          <w:ilvl w:val="0"/>
          <w:numId w:val="2"/>
        </w:numPr>
        <w:spacing w:after="60"/>
      </w:pPr>
      <w:r>
        <w:rPr>
          <w:rFonts w:ascii="Arial" w:cs="Arial" w:eastAsia="Arial" w:hAnsi="Arial"/>
          <w:sz w:val="22"/>
          <w:szCs w:val="22"/>
        </w:rPr>
        <w:t xml:space="preserve">Score de desempenho de prestadores terceirizados</w:t>
      </w:r>
    </w:p>
    <w:p>
      <w:pPr>
        <w:pStyle w:val="Heading3"/>
        <w:spacing w:after="120" w:before="200"/>
      </w:pPr>
      <w:r>
        <w:rPr>
          <w:rFonts w:ascii="Arial" w:cs="Arial" w:eastAsia="Arial" w:hAnsi="Arial"/>
        </w:rPr>
        <w:t xml:space="preserve">5.1.4 Chatbot / Assistente Virtual</w:t>
      </w:r>
    </w:p>
    <w:p>
      <w:pPr>
        <w:pStyle w:val="ListParagraph"/>
        <w:numPr>
          <w:ilvl w:val="0"/>
          <w:numId w:val="2"/>
        </w:numPr>
        <w:spacing w:after="60"/>
      </w:pPr>
      <w:r>
        <w:rPr>
          <w:rFonts w:ascii="Arial" w:cs="Arial" w:eastAsia="Arial" w:hAnsi="Arial"/>
          <w:sz w:val="22"/>
          <w:szCs w:val="22"/>
        </w:rPr>
        <w:t xml:space="preserve">Atendimento ao cliente via WhatsApp (status do veículo, previsão de entrega)</w:t>
      </w:r>
    </w:p>
    <w:p>
      <w:pPr>
        <w:pStyle w:val="ListParagraph"/>
        <w:numPr>
          <w:ilvl w:val="0"/>
          <w:numId w:val="2"/>
        </w:numPr>
        <w:spacing w:after="60"/>
      </w:pPr>
      <w:r>
        <w:rPr>
          <w:rFonts w:ascii="Arial" w:cs="Arial" w:eastAsia="Arial" w:hAnsi="Arial"/>
          <w:sz w:val="22"/>
          <w:szCs w:val="22"/>
        </w:rPr>
        <w:t xml:space="preserve">Interface conversacional para consultas internas (ex.: “qual o lucro do carro X?”)</w:t>
      </w:r>
    </w:p>
    <w:p>
      <w:pPr>
        <w:pStyle w:val="ListParagraph"/>
        <w:numPr>
          <w:ilvl w:val="0"/>
          <w:numId w:val="2"/>
        </w:numPr>
        <w:spacing w:after="60"/>
      </w:pPr>
      <w:r>
        <w:rPr>
          <w:rFonts w:ascii="Arial" w:cs="Arial" w:eastAsia="Arial" w:hAnsi="Arial"/>
          <w:sz w:val="22"/>
          <w:szCs w:val="22"/>
        </w:rPr>
        <w:t xml:space="preserve">Resumo diário automático para o gestor (entradas, saídas, veículos finalizados)</w:t>
      </w:r>
    </w:p>
    <w:p>
      <w:pPr>
        <w:pStyle w:val="Heading2"/>
        <w:spacing w:after="160" w:before="280"/>
      </w:pPr>
      <w:r>
        <w:rPr>
          <w:rFonts w:ascii="Arial" w:cs="Arial" w:eastAsia="Arial" w:hAnsi="Arial"/>
        </w:rPr>
        <w:t xml:space="preserve">5.2 Workflows de Automação (n8n)</w:t>
      </w:r>
    </w:p>
    <w:p>
      <w:pPr>
        <w:spacing w:after="120"/>
        <w:jc w:val="both"/>
      </w:pPr>
      <w:r>
        <w:rPr>
          <w:rFonts w:ascii="Arial" w:cs="Arial" w:eastAsia="Arial" w:hAnsi="Arial"/>
          <w:sz w:val="22"/>
          <w:szCs w:val="22"/>
        </w:rPr>
        <w:t xml:space="preserve">O n8n será a engine de automação do Storm Shield Enterprise, orquestrando processos entre o ERP, serviços externos e canais de comunicação.</w:t>
      </w:r>
    </w:p>
    <w:p>
      <w:pPr>
        <w:pStyle w:val="Heading3"/>
        <w:spacing w:after="120" w:before="200"/>
      </w:pPr>
      <w:r>
        <w:rPr>
          <w:rFonts w:ascii="Arial" w:cs="Arial" w:eastAsia="Arial" w:hAnsi="Arial"/>
        </w:rPr>
        <w:t xml:space="preserve">5.2.1 Workflows Planejados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Workflow</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Ações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Entrada de NF via WhatsApp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Mensagem recebida no número dedicado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OCR → Classificação IA → Registro no financeiro → Notificação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Rastreamento de Cheque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insurance_payment.status = 'in_transit'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Timer 7/14/21/30 dias → Verifica tracking_number → Se não recebido: alerta escalonado (gestor/owner) → Se 30+ dias: status 'lost' → Notifica seguradora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Reconciliação Bancária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Novo extrato disponível (Plaid)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 automático de transações → Flag discrepancias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Alerta de Veículo Parado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Cron diário</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Verifica veículos sem movimentação &gt; 3 dias → Notifica gestor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Geração de Estimate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Novo veículo registrado com fotos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IA analisa fotos → Sugere itens → Preenche formulário seguradora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Resumo Diário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Cron fim do dia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Compila KPIs → Envia resumo via SMS/WhatsApp ao gestor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Comissão de Vendedor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Veículo entregue + pagamento recebido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 comissão → Registra no financeiro → Notifica vendedor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Solicitação de Compra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Estoque abaixo do nível mínimo</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Gera solicitação → Envia para fornecedor preferido → Notifica comprador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Export Contábil Mensal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Cron dia 5 de cada mês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Gera journal entries → Export QuickBooks/CSV → Salva em external_exports → Notifica contador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 Subject Request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Solicitação via portal ou email</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Valida identidade → Coleta dados do titular → Gera relatório → Envia ao solicitante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Lançamento Contábil Auto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financial_transaction.status = 'posted'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Identifica contas (débito/crédito) → Gera journal_entry → Atualiza account_balances</w:t>
            </w:r>
          </w:p>
        </w:tc>
      </w:tr>
    </w:tbl>
    <w:p>
      <w:r>
        <w:br w:type="page"/>
      </w:r>
    </w:p>
    <w:p>
      <w:pPr>
        <w:pStyle w:val="Heading1"/>
        <w:spacing w:after="200" w:before="360"/>
      </w:pPr>
      <w:r>
        <w:rPr>
          <w:rFonts w:ascii="Arial" w:cs="Arial" w:eastAsia="Arial" w:hAnsi="Arial"/>
        </w:rPr>
        <w:t xml:space="preserve">6. Compliance Fiscal — Missouri / EUA</w:t>
      </w:r>
    </w:p>
    <w:p>
      <w:pPr>
        <w:pStyle w:val="Heading2"/>
        <w:spacing w:after="160" w:before="280"/>
      </w:pPr>
      <w:r>
        <w:rPr>
          <w:rFonts w:ascii="Arial" w:cs="Arial" w:eastAsia="Arial" w:hAnsi="Arial"/>
        </w:rPr>
        <w:t xml:space="preserve">6.1 Sales Tax</w:t>
      </w:r>
    </w:p>
    <w:p>
      <w:pPr>
        <w:spacing w:after="120"/>
        <w:jc w:val="both"/>
      </w:pPr>
      <w:r>
        <w:rPr>
          <w:rFonts w:ascii="Arial" w:cs="Arial" w:eastAsia="Arial" w:hAnsi="Arial"/>
          <w:sz w:val="22"/>
          <w:szCs w:val="22"/>
        </w:rPr>
        <w:t xml:space="preserve">O estado de Missouri possui sales tax estadual de 4.225%, além de taxas locais (county e city) que variam. O sistema deve calcular automaticamente o sales tax aplicável com base na localização da empresa e do serviço prestado. Serviços de auto repair são geralmente taxáveis em Missouri.</w:t>
      </w:r>
    </w:p>
    <w:p>
      <w:pPr>
        <w:pStyle w:val="Heading3"/>
        <w:spacing w:after="120" w:before="200"/>
      </w:pPr>
      <w:r>
        <w:rPr>
          <w:rFonts w:ascii="Arial" w:cs="Arial" w:eastAsia="Arial" w:hAnsi="Arial"/>
        </w:rPr>
        <w:t xml:space="preserve">6.1.1 Requisitos Fiscais</w:t>
      </w:r>
    </w:p>
    <w:p>
      <w:pPr>
        <w:pStyle w:val="ListParagraph"/>
        <w:numPr>
          <w:ilvl w:val="0"/>
          <w:numId w:val="2"/>
        </w:numPr>
        <w:spacing w:after="60"/>
      </w:pPr>
      <w:r>
        <w:rPr>
          <w:rFonts w:ascii="Arial" w:cs="Arial" w:eastAsia="Arial" w:hAnsi="Arial"/>
          <w:sz w:val="22"/>
          <w:szCs w:val="22"/>
        </w:rPr>
        <w:t xml:space="preserve">Cálculo automático de sales tax (estado + county + city)</w:t>
      </w:r>
    </w:p>
    <w:p>
      <w:pPr>
        <w:pStyle w:val="ListParagraph"/>
        <w:numPr>
          <w:ilvl w:val="0"/>
          <w:numId w:val="2"/>
        </w:numPr>
        <w:spacing w:after="60"/>
      </w:pPr>
      <w:r>
        <w:rPr>
          <w:rFonts w:ascii="Arial" w:cs="Arial" w:eastAsia="Arial" w:hAnsi="Arial"/>
          <w:sz w:val="22"/>
          <w:szCs w:val="22"/>
        </w:rPr>
        <w:t xml:space="preserve">Integração com serviço de tax rate lookup (Avalara, TaxJar ou similar)</w:t>
      </w:r>
    </w:p>
    <w:p>
      <w:pPr>
        <w:pStyle w:val="ListParagraph"/>
        <w:numPr>
          <w:ilvl w:val="0"/>
          <w:numId w:val="2"/>
        </w:numPr>
        <w:spacing w:after="60"/>
      </w:pPr>
      <w:r>
        <w:rPr>
          <w:rFonts w:ascii="Arial" w:cs="Arial" w:eastAsia="Arial" w:hAnsi="Arial"/>
          <w:sz w:val="22"/>
          <w:szCs w:val="22"/>
        </w:rPr>
        <w:t xml:space="preserve">Geração de relatórios para filing de sales tax (mensal ou trimestral)</w:t>
      </w:r>
    </w:p>
    <w:p>
      <w:pPr>
        <w:pStyle w:val="ListParagraph"/>
        <w:numPr>
          <w:ilvl w:val="0"/>
          <w:numId w:val="2"/>
        </w:numPr>
        <w:spacing w:after="60"/>
      </w:pPr>
      <w:r>
        <w:rPr>
          <w:rFonts w:ascii="Arial" w:cs="Arial" w:eastAsia="Arial" w:hAnsi="Arial"/>
          <w:sz w:val="22"/>
          <w:szCs w:val="22"/>
        </w:rPr>
        <w:t xml:space="preserve">Separação de serviços taxable vs. exempt</w:t>
      </w:r>
    </w:p>
    <w:p>
      <w:pPr>
        <w:pStyle w:val="ListParagraph"/>
        <w:numPr>
          <w:ilvl w:val="0"/>
          <w:numId w:val="2"/>
        </w:numPr>
        <w:spacing w:after="60"/>
      </w:pPr>
      <w:r>
        <w:rPr>
          <w:rFonts w:ascii="Arial" w:cs="Arial" w:eastAsia="Arial" w:hAnsi="Arial"/>
          <w:sz w:val="22"/>
          <w:szCs w:val="22"/>
        </w:rPr>
        <w:t xml:space="preserve">Registro de sales tax collected vs. remitted</w:t>
      </w:r>
    </w:p>
    <w:p>
      <w:pPr>
        <w:pStyle w:val="Heading2"/>
        <w:spacing w:after="160" w:before="280"/>
      </w:pPr>
      <w:r>
        <w:rPr>
          <w:rFonts w:ascii="Arial" w:cs="Arial" w:eastAsia="Arial" w:hAnsi="Arial"/>
        </w:rPr>
        <w:t xml:space="preserve">6.2 Obrigações com Contractors</w:t>
      </w:r>
    </w:p>
    <w:p>
      <w:pPr>
        <w:pStyle w:val="ListParagraph"/>
        <w:numPr>
          <w:ilvl w:val="0"/>
          <w:numId w:val="2"/>
        </w:numPr>
        <w:spacing w:after="60"/>
      </w:pPr>
      <w:r>
        <w:rPr>
          <w:rFonts w:ascii="Arial" w:cs="Arial" w:eastAsia="Arial" w:hAnsi="Arial"/>
          <w:sz w:val="22"/>
          <w:szCs w:val="22"/>
        </w:rPr>
        <w:t xml:space="preserve">Geração de formulários 1099-NEC para prestadores que receberam $600+ no ano</w:t>
      </w:r>
    </w:p>
    <w:p>
      <w:pPr>
        <w:pStyle w:val="ListParagraph"/>
        <w:numPr>
          <w:ilvl w:val="0"/>
          <w:numId w:val="2"/>
        </w:numPr>
        <w:spacing w:after="60"/>
      </w:pPr>
      <w:r>
        <w:rPr>
          <w:rFonts w:ascii="Arial" w:cs="Arial" w:eastAsia="Arial" w:hAnsi="Arial"/>
          <w:sz w:val="22"/>
          <w:szCs w:val="22"/>
        </w:rPr>
        <w:t xml:space="preserve">Rastreamento de pagamentos a contractors para compliance com IRS</w:t>
      </w:r>
    </w:p>
    <w:p>
      <w:pPr>
        <w:pStyle w:val="ListParagraph"/>
        <w:numPr>
          <w:ilvl w:val="0"/>
          <w:numId w:val="2"/>
        </w:numPr>
        <w:spacing w:after="60"/>
      </w:pPr>
      <w:r>
        <w:rPr>
          <w:rFonts w:ascii="Arial" w:cs="Arial" w:eastAsia="Arial" w:hAnsi="Arial"/>
          <w:sz w:val="22"/>
          <w:szCs w:val="22"/>
        </w:rPr>
        <w:t xml:space="preserve">Coleta e armazenamento seguro de W-9 dos prestadores</w:t>
      </w:r>
    </w:p>
    <w:p>
      <w:pPr>
        <w:pStyle w:val="Heading2"/>
        <w:spacing w:after="160" w:before="280"/>
      </w:pPr>
      <w:r>
        <w:rPr>
          <w:rFonts w:ascii="Arial" w:cs="Arial" w:eastAsia="Arial" w:hAnsi="Arial"/>
        </w:rPr>
        <w:t xml:space="preserve">6.3 Requisitos de Insurance Compliance</w:t>
      </w:r>
    </w:p>
    <w:p>
      <w:pPr>
        <w:pStyle w:val="ListParagraph"/>
        <w:numPr>
          <w:ilvl w:val="0"/>
          <w:numId w:val="2"/>
        </w:numPr>
        <w:spacing w:after="60"/>
      </w:pPr>
      <w:r>
        <w:rPr>
          <w:rFonts w:ascii="Arial" w:cs="Arial" w:eastAsia="Arial" w:hAnsi="Arial"/>
          <w:sz w:val="22"/>
          <w:szCs w:val="22"/>
        </w:rPr>
        <w:t xml:space="preserve">Armazenamento seguro de documentos de seguradoras (apólices, autorizações)</w:t>
      </w:r>
    </w:p>
    <w:p>
      <w:pPr>
        <w:pStyle w:val="ListParagraph"/>
        <w:numPr>
          <w:ilvl w:val="0"/>
          <w:numId w:val="2"/>
        </w:numPr>
        <w:spacing w:after="60"/>
      </w:pPr>
      <w:r>
        <w:rPr>
          <w:rFonts w:ascii="Arial" w:cs="Arial" w:eastAsia="Arial" w:hAnsi="Arial"/>
          <w:sz w:val="22"/>
          <w:szCs w:val="22"/>
        </w:rPr>
        <w:t xml:space="preserve">Trilha de auditoria completa para todas as transações com seguradoras</w:t>
      </w:r>
    </w:p>
    <w:p>
      <w:pPr>
        <w:pStyle w:val="ListParagraph"/>
        <w:numPr>
          <w:ilvl w:val="0"/>
          <w:numId w:val="2"/>
        </w:numPr>
        <w:spacing w:after="60"/>
      </w:pPr>
      <w:r>
        <w:rPr>
          <w:rFonts w:ascii="Arial" w:cs="Arial" w:eastAsia="Arial" w:hAnsi="Arial"/>
          <w:sz w:val="22"/>
          <w:szCs w:val="22"/>
        </w:rPr>
        <w:t xml:space="preserve">Documentação fotográfica obrigatória (antes/depois) para compliance</w:t>
      </w:r>
    </w:p>
    <w:p>
      <w:pPr>
        <w:pStyle w:val="ListParagraph"/>
        <w:numPr>
          <w:ilvl w:val="0"/>
          <w:numId w:val="2"/>
        </w:numPr>
        <w:spacing w:after="60"/>
      </w:pPr>
      <w:r>
        <w:rPr>
          <w:rFonts w:ascii="Arial" w:cs="Arial" w:eastAsia="Arial" w:hAnsi="Arial"/>
          <w:sz w:val="22"/>
          <w:szCs w:val="22"/>
        </w:rPr>
        <w:t xml:space="preserve">Retenção de registros conforme requisitos do Missouri Department of Insurance</w:t>
      </w:r>
    </w:p>
    <w:p>
      <w:pPr>
        <w:pStyle w:val="Heading2"/>
        <w:spacing w:after="160" w:before="280"/>
      </w:pPr>
      <w:r>
        <w:rPr>
          <w:rFonts w:ascii="Arial" w:cs="Arial" w:eastAsia="Arial" w:hAnsi="Arial"/>
        </w:rPr>
        <w:t xml:space="preserve">6.4 Exportação para Contador Externo</w:t>
      </w:r>
    </w:p>
    <w:p>
      <w:pPr>
        <w:pStyle w:val="ListParagraph"/>
        <w:numPr>
          <w:ilvl w:val="0"/>
          <w:numId w:val="2"/>
        </w:numPr>
        <w:spacing w:after="60"/>
      </w:pPr>
      <w:r>
        <w:rPr>
          <w:rFonts w:ascii="Arial" w:cs="Arial" w:eastAsia="Arial" w:hAnsi="Arial"/>
          <w:sz w:val="22"/>
          <w:szCs w:val="22"/>
        </w:rPr>
        <w:t xml:space="preserve">Export de dados em formato compatível com QuickBooks Online / Xero (QBO, IIF, CSV)</w:t>
      </w:r>
    </w:p>
    <w:p>
      <w:pPr>
        <w:pStyle w:val="ListParagraph"/>
        <w:numPr>
          <w:ilvl w:val="0"/>
          <w:numId w:val="2"/>
        </w:numPr>
        <w:spacing w:after="60"/>
      </w:pPr>
      <w:r>
        <w:rPr>
          <w:rFonts w:ascii="Arial" w:cs="Arial" w:eastAsia="Arial" w:hAnsi="Arial"/>
          <w:sz w:val="22"/>
          <w:szCs w:val="22"/>
        </w:rPr>
        <w:t xml:space="preserve">Mapeamento configurável entre contas SSE e contas do sistema externo (external_account_mappings)</w:t>
      </w:r>
    </w:p>
    <w:p>
      <w:pPr>
        <w:pStyle w:val="ListParagraph"/>
        <w:numPr>
          <w:ilvl w:val="0"/>
          <w:numId w:val="2"/>
        </w:numPr>
        <w:spacing w:after="60"/>
      </w:pPr>
      <w:r>
        <w:rPr>
          <w:rFonts w:ascii="Arial" w:cs="Arial" w:eastAsia="Arial" w:hAnsi="Arial"/>
          <w:sz w:val="22"/>
          <w:szCs w:val="22"/>
        </w:rPr>
        <w:t xml:space="preserve">Relatórios de P&amp;L (Income Statement), Balanço Patrimonial (Balance Sheet) e Fluxo de Caixa</w:t>
      </w:r>
    </w:p>
    <w:p>
      <w:pPr>
        <w:pStyle w:val="ListParagraph"/>
        <w:numPr>
          <w:ilvl w:val="0"/>
          <w:numId w:val="2"/>
        </w:numPr>
        <w:spacing w:after="60"/>
      </w:pPr>
      <w:r>
        <w:rPr>
          <w:rFonts w:ascii="Arial" w:cs="Arial" w:eastAsia="Arial" w:hAnsi="Arial"/>
          <w:sz w:val="22"/>
          <w:szCs w:val="22"/>
        </w:rPr>
        <w:t xml:space="preserve">Portal de acesso restrito para o contador externo (somente leitura)</w:t>
      </w:r>
    </w:p>
    <w:p>
      <w:pPr>
        <w:pStyle w:val="ListParagraph"/>
        <w:numPr>
          <w:ilvl w:val="0"/>
          <w:numId w:val="2"/>
        </w:numPr>
        <w:spacing w:after="60"/>
      </w:pPr>
      <w:r>
        <w:rPr>
          <w:rFonts w:ascii="Arial" w:cs="Arial" w:eastAsia="Arial" w:hAnsi="Arial"/>
          <w:sz w:val="22"/>
          <w:szCs w:val="22"/>
        </w:rPr>
        <w:t xml:space="preserve">Export automático mensal via workflow n8n com notificação ao contador</w:t>
      </w:r>
    </w:p>
    <w:p>
      <w:pPr>
        <w:pStyle w:val="ListParagraph"/>
        <w:numPr>
          <w:ilvl w:val="0"/>
          <w:numId w:val="2"/>
        </w:numPr>
        <w:spacing w:after="60"/>
      </w:pPr>
      <w:r>
        <w:rPr>
          <w:rFonts w:ascii="Arial" w:cs="Arial" w:eastAsia="Arial" w:hAnsi="Arial"/>
          <w:sz w:val="22"/>
          <w:szCs w:val="22"/>
        </w:rPr>
        <w:t xml:space="preserve">Histórico de exports com status (pending/completed/failed) para auditoria</w:t>
      </w:r>
    </w:p>
    <w:p>
      <w:pPr>
        <w:pStyle w:val="Heading2"/>
        <w:spacing w:after="160" w:before="280"/>
      </w:pPr>
      <w:r>
        <w:rPr>
          <w:rFonts w:ascii="Arial" w:cs="Arial" w:eastAsia="Arial" w:hAnsi="Arial"/>
        </w:rPr>
        <w:t xml:space="preserve">6.5 Compliance de Privacidade (LGPD / CCPA)</w:t>
      </w:r>
    </w:p>
    <w:p>
      <w:pPr>
        <w:spacing w:after="120"/>
        <w:jc w:val="both"/>
      </w:pPr>
      <w:r>
        <w:rPr>
          <w:rFonts w:ascii="Arial" w:cs="Arial" w:eastAsia="Arial" w:hAnsi="Arial"/>
          <w:sz w:val="22"/>
          <w:szCs w:val="22"/>
        </w:rPr>
        <w:t xml:space="preserve">O sistema deve estar preparado para atender às exigências da LGPD (Lei Geral de Proteção de Dados — aplicável se expandir para Brasil) e CCPA (California Consumer Privacy Act — referência de boas práticas nos EUA). Embora Missouri não tenha lei estadual de privacidade equivalente, a adoção proativa dessas práticas é um diferencial competitivo e pré-requisito para expansão.</w:t>
      </w:r>
    </w:p>
    <w:p>
      <w:pPr>
        <w:pStyle w:val="ListParagraph"/>
        <w:numPr>
          <w:ilvl w:val="0"/>
          <w:numId w:val="2"/>
        </w:numPr>
        <w:spacing w:after="60"/>
      </w:pPr>
      <w:r>
        <w:rPr>
          <w:rFonts w:ascii="Arial" w:cs="Arial" w:eastAsia="Arial" w:hAnsi="Arial"/>
          <w:sz w:val="22"/>
          <w:szCs w:val="22"/>
        </w:rPr>
        <w:t xml:space="preserve">Classificação de dados por sensibilidade: L1 (Público), L2 (Interno), L3 (Confidencial), L4 (Crítico/PII)</w:t>
      </w:r>
    </w:p>
    <w:p>
      <w:pPr>
        <w:pStyle w:val="ListParagraph"/>
        <w:numPr>
          <w:ilvl w:val="0"/>
          <w:numId w:val="2"/>
        </w:numPr>
        <w:spacing w:after="60"/>
      </w:pPr>
      <w:r>
        <w:rPr>
          <w:rFonts w:ascii="Arial" w:cs="Arial" w:eastAsia="Arial" w:hAnsi="Arial"/>
          <w:sz w:val="22"/>
          <w:szCs w:val="22"/>
        </w:rPr>
        <w:t xml:space="preserve">Registro de consentimento do titular para processamento de dados (consent_records)</w:t>
      </w:r>
    </w:p>
    <w:p>
      <w:pPr>
        <w:pStyle w:val="ListParagraph"/>
        <w:numPr>
          <w:ilvl w:val="0"/>
          <w:numId w:val="2"/>
        </w:numPr>
        <w:spacing w:after="60"/>
      </w:pPr>
      <w:r>
        <w:rPr>
          <w:rFonts w:ascii="Arial" w:cs="Arial" w:eastAsia="Arial" w:hAnsi="Arial"/>
          <w:sz w:val="22"/>
          <w:szCs w:val="22"/>
        </w:rPr>
        <w:t xml:space="preserve">Direito de acesso: titular pode solicitar cópia de todos os seus dados</w:t>
      </w:r>
    </w:p>
    <w:p>
      <w:pPr>
        <w:pStyle w:val="ListParagraph"/>
        <w:numPr>
          <w:ilvl w:val="0"/>
          <w:numId w:val="2"/>
        </w:numPr>
        <w:spacing w:after="60"/>
      </w:pPr>
      <w:r>
        <w:rPr>
          <w:rFonts w:ascii="Arial" w:cs="Arial" w:eastAsia="Arial" w:hAnsi="Arial"/>
          <w:sz w:val="22"/>
          <w:szCs w:val="22"/>
        </w:rPr>
        <w:t xml:space="preserve">Direito de retificação: titular pode corrigir dados incorretos</w:t>
      </w:r>
    </w:p>
    <w:p>
      <w:pPr>
        <w:pStyle w:val="ListParagraph"/>
        <w:numPr>
          <w:ilvl w:val="0"/>
          <w:numId w:val="2"/>
        </w:numPr>
        <w:spacing w:after="60"/>
      </w:pPr>
      <w:r>
        <w:rPr>
          <w:rFonts w:ascii="Arial" w:cs="Arial" w:eastAsia="Arial" w:hAnsi="Arial"/>
          <w:sz w:val="22"/>
          <w:szCs w:val="22"/>
        </w:rPr>
        <w:t xml:space="preserve">Direito de eliminação: anonimização ou exclusão de dados pessoais (soft delete + anonymize)</w:t>
      </w:r>
    </w:p>
    <w:p>
      <w:pPr>
        <w:pStyle w:val="ListParagraph"/>
        <w:numPr>
          <w:ilvl w:val="0"/>
          <w:numId w:val="2"/>
        </w:numPr>
        <w:spacing w:after="60"/>
      </w:pPr>
      <w:r>
        <w:rPr>
          <w:rFonts w:ascii="Arial" w:cs="Arial" w:eastAsia="Arial" w:hAnsi="Arial"/>
          <w:sz w:val="22"/>
          <w:szCs w:val="22"/>
        </w:rPr>
        <w:t xml:space="preserve">Direito de portabilidade: export de dados em formato legível por máquina (JSON/CSV)</w:t>
      </w:r>
    </w:p>
    <w:p>
      <w:pPr>
        <w:pStyle w:val="ListParagraph"/>
        <w:numPr>
          <w:ilvl w:val="0"/>
          <w:numId w:val="2"/>
        </w:numPr>
        <w:spacing w:after="60"/>
      </w:pPr>
      <w:r>
        <w:rPr>
          <w:rFonts w:ascii="Arial" w:cs="Arial" w:eastAsia="Arial" w:hAnsi="Arial"/>
          <w:sz w:val="22"/>
          <w:szCs w:val="22"/>
        </w:rPr>
        <w:t xml:space="preserve">Políticas de retenção de dados configuráveis por tipo de entidade e tenant</w:t>
      </w:r>
    </w:p>
    <w:p>
      <w:pPr>
        <w:pStyle w:val="ListParagraph"/>
        <w:numPr>
          <w:ilvl w:val="0"/>
          <w:numId w:val="2"/>
        </w:numPr>
        <w:spacing w:after="60"/>
      </w:pPr>
      <w:r>
        <w:rPr>
          <w:rFonts w:ascii="Arial" w:cs="Arial" w:eastAsia="Arial" w:hAnsi="Arial"/>
          <w:sz w:val="22"/>
          <w:szCs w:val="22"/>
        </w:rPr>
        <w:t xml:space="preserve">Workflow n8n: 'Data Subject Request' — processa solicitações de acesso/eliminação/portabilidade</w:t>
      </w:r>
    </w:p>
    <w:p>
      <w:pPr>
        <w:pStyle w:val="ListParagraph"/>
        <w:numPr>
          <w:ilvl w:val="0"/>
          <w:numId w:val="2"/>
        </w:numPr>
        <w:spacing w:after="60"/>
      </w:pPr>
      <w:r>
        <w:rPr>
          <w:rFonts w:ascii="Arial" w:cs="Arial" w:eastAsia="Arial" w:hAnsi="Arial"/>
          <w:sz w:val="22"/>
          <w:szCs w:val="22"/>
        </w:rPr>
        <w:t xml:space="preserve">Workflow n8n: 'Data Anonymization' — executa anonimização em batch para dados expirados</w:t>
      </w:r>
    </w:p>
    <w:p>
      <w:r>
        <w:br w:type="page"/>
      </w:r>
    </w:p>
    <w:p>
      <w:pPr>
        <w:pStyle w:val="Heading1"/>
        <w:spacing w:after="200" w:before="360"/>
      </w:pPr>
      <w:r>
        <w:rPr>
          <w:rFonts w:ascii="Arial" w:cs="Arial" w:eastAsia="Arial" w:hAnsi="Arial"/>
        </w:rPr>
        <w:t xml:space="preserve">7. Integrações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Sistema</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Finalidade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Plaid / 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Agregação bancária e reconciliação automática de extratos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WhatsApp Business API</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API + Webhook</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Canal de entrada de NFs/recibos e comunicação com clientes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Twilio (SMS)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Notificações de status, confirmações de recebimento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Avalara / TaxJar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Cálculo automático de sales tax por localização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Cobrança de assinatura SaaS e pagamentos online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OpenAI / Claude API</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OCR inteligente, classificação de documentos, assistente virtual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Maps / HERE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Geocodificação, cálculo de tax jurisdiction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QuickBooks Online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Exportação de dados contábeis para contador externo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n8n (self-hosted)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Webhooks +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Engine de automação de workflows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CCC ONE / Mitchell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API (quando disponível)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Integração com sistemas de estimating do setor de auto repair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CARFAX / VIN Decoder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Decodificação de VIN para dados do veículo</w:t>
            </w:r>
          </w:p>
        </w:tc>
      </w:tr>
    </w:tbl>
    <w:p>
      <w:r>
        <w:br w:type="page"/>
      </w:r>
    </w:p>
    <w:p>
      <w:pPr>
        <w:pStyle w:val="Heading1"/>
        <w:spacing w:after="200" w:before="360"/>
      </w:pPr>
      <w:r>
        <w:rPr>
          <w:rFonts w:ascii="Arial" w:cs="Arial" w:eastAsia="Arial" w:hAnsi="Arial"/>
        </w:rPr>
        <w:t xml:space="preserve">8. Requisitos Não-Funcionais</w:t>
      </w:r>
    </w:p>
    <w:p>
      <w:pPr>
        <w:pStyle w:val="Heading2"/>
        <w:spacing w:after="160" w:before="280"/>
      </w:pPr>
      <w:r>
        <w:rPr>
          <w:rFonts w:ascii="Arial" w:cs="Arial" w:eastAsia="Arial" w:hAnsi="Arial"/>
        </w:rPr>
        <w:t xml:space="preserve">8.1 Performance</w:t>
      </w:r>
    </w:p>
    <w:p>
      <w:pPr>
        <w:pStyle w:val="ListParagraph"/>
        <w:numPr>
          <w:ilvl w:val="0"/>
          <w:numId w:val="2"/>
        </w:numPr>
        <w:spacing w:after="60"/>
      </w:pPr>
      <w:r>
        <w:rPr>
          <w:rFonts w:ascii="Arial" w:cs="Arial" w:eastAsia="Arial" w:hAnsi="Arial"/>
          <w:sz w:val="22"/>
          <w:szCs w:val="22"/>
        </w:rPr>
        <w:t xml:space="preserve">Tempo de resposta &lt; 200ms para operações CRUD</w:t>
      </w:r>
    </w:p>
    <w:p>
      <w:pPr>
        <w:pStyle w:val="ListParagraph"/>
        <w:numPr>
          <w:ilvl w:val="0"/>
          <w:numId w:val="2"/>
        </w:numPr>
        <w:spacing w:after="60"/>
      </w:pPr>
      <w:r>
        <w:rPr>
          <w:rFonts w:ascii="Arial" w:cs="Arial" w:eastAsia="Arial" w:hAnsi="Arial"/>
          <w:sz w:val="22"/>
          <w:szCs w:val="22"/>
        </w:rPr>
        <w:t xml:space="preserve">Dashboard carregando em &lt; 2 segundos</w:t>
      </w:r>
    </w:p>
    <w:p>
      <w:pPr>
        <w:pStyle w:val="ListParagraph"/>
        <w:numPr>
          <w:ilvl w:val="0"/>
          <w:numId w:val="2"/>
        </w:numPr>
        <w:spacing w:after="60"/>
      </w:pPr>
      <w:r>
        <w:rPr>
          <w:rFonts w:ascii="Arial" w:cs="Arial" w:eastAsia="Arial" w:hAnsi="Arial"/>
          <w:sz w:val="22"/>
          <w:szCs w:val="22"/>
        </w:rPr>
        <w:t xml:space="preserve">OCR processando foto em &lt; 5 segundos</w:t>
      </w:r>
    </w:p>
    <w:p>
      <w:pPr>
        <w:pStyle w:val="ListParagraph"/>
        <w:numPr>
          <w:ilvl w:val="0"/>
          <w:numId w:val="2"/>
        </w:numPr>
        <w:spacing w:after="60"/>
      </w:pPr>
      <w:r>
        <w:rPr>
          <w:rFonts w:ascii="Arial" w:cs="Arial" w:eastAsia="Arial" w:hAnsi="Arial"/>
          <w:sz w:val="22"/>
          <w:szCs w:val="22"/>
        </w:rPr>
        <w:t xml:space="preserve">App móvel funcional offline (sync quando online)</w:t>
      </w:r>
    </w:p>
    <w:p>
      <w:pPr>
        <w:pStyle w:val="Heading2"/>
        <w:spacing w:after="160" w:before="280"/>
      </w:pPr>
      <w:r>
        <w:rPr>
          <w:rFonts w:ascii="Arial" w:cs="Arial" w:eastAsia="Arial" w:hAnsi="Arial"/>
        </w:rPr>
        <w:t xml:space="preserve">8.2 Segurança e Privacidade</w:t>
      </w:r>
    </w:p>
    <w:p>
      <w:pPr>
        <w:pStyle w:val="ListParagraph"/>
        <w:numPr>
          <w:ilvl w:val="0"/>
          <w:numId w:val="2"/>
        </w:numPr>
        <w:spacing w:after="60"/>
      </w:pPr>
      <w:r>
        <w:rPr>
          <w:rFonts w:ascii="Arial" w:cs="Arial" w:eastAsia="Arial" w:hAnsi="Arial"/>
          <w:sz w:val="22"/>
          <w:szCs w:val="22"/>
        </w:rPr>
        <w:t xml:space="preserve">Criptografia em trânsito (TLS 1.3) e em repouso (AES-256-GCM com envelope encryption)</w:t>
      </w:r>
    </w:p>
    <w:p>
      <w:pPr>
        <w:pStyle w:val="ListParagraph"/>
        <w:numPr>
          <w:ilvl w:val="0"/>
          <w:numId w:val="2"/>
        </w:numPr>
        <w:spacing w:after="60"/>
      </w:pPr>
      <w:r>
        <w:rPr>
          <w:rFonts w:ascii="Arial" w:cs="Arial" w:eastAsia="Arial" w:hAnsi="Arial"/>
          <w:sz w:val="22"/>
          <w:szCs w:val="22"/>
        </w:rPr>
        <w:t xml:space="preserve">Autenticação multifator (MFA) obrigatória para perfis administrativos</w:t>
      </w:r>
    </w:p>
    <w:p>
      <w:pPr>
        <w:pStyle w:val="ListParagraph"/>
        <w:numPr>
          <w:ilvl w:val="0"/>
          <w:numId w:val="2"/>
        </w:numPr>
        <w:spacing w:after="60"/>
      </w:pPr>
      <w:r>
        <w:rPr>
          <w:rFonts w:ascii="Arial" w:cs="Arial" w:eastAsia="Arial" w:hAnsi="Arial"/>
          <w:sz w:val="22"/>
          <w:szCs w:val="22"/>
        </w:rPr>
        <w:t xml:space="preserve">RBAC (Role-Based Access Control) granular: module:action:resource</w:t>
      </w:r>
    </w:p>
    <w:p>
      <w:pPr>
        <w:pStyle w:val="ListParagraph"/>
        <w:numPr>
          <w:ilvl w:val="0"/>
          <w:numId w:val="2"/>
        </w:numPr>
        <w:spacing w:after="60"/>
      </w:pPr>
      <w:r>
        <w:rPr>
          <w:rFonts w:ascii="Arial" w:cs="Arial" w:eastAsia="Arial" w:hAnsi="Arial"/>
          <w:sz w:val="22"/>
          <w:szCs w:val="22"/>
        </w:rPr>
        <w:t xml:space="preserve">Trilha de auditoria imutável (quem fez o quê, quando, old/new values)</w:t>
      </w:r>
    </w:p>
    <w:p>
      <w:pPr>
        <w:pStyle w:val="ListParagraph"/>
        <w:numPr>
          <w:ilvl w:val="0"/>
          <w:numId w:val="2"/>
        </w:numPr>
        <w:spacing w:after="60"/>
      </w:pPr>
      <w:r>
        <w:rPr>
          <w:rFonts w:ascii="Arial" w:cs="Arial" w:eastAsia="Arial" w:hAnsi="Arial"/>
          <w:sz w:val="22"/>
          <w:szCs w:val="22"/>
        </w:rPr>
        <w:t xml:space="preserve">Classificação de dados: L1 (Público) → L4 (Crítico/PII) com criptografia por nível</w:t>
      </w:r>
    </w:p>
    <w:p>
      <w:pPr>
        <w:pStyle w:val="ListParagraph"/>
        <w:numPr>
          <w:ilvl w:val="0"/>
          <w:numId w:val="2"/>
        </w:numPr>
        <w:spacing w:after="60"/>
      </w:pPr>
      <w:r>
        <w:rPr>
          <w:rFonts w:ascii="Arial" w:cs="Arial" w:eastAsia="Arial" w:hAnsi="Arial"/>
          <w:sz w:val="22"/>
          <w:szCs w:val="22"/>
        </w:rPr>
        <w:t xml:space="preserve">Campos PII criptografados individualmente (email, phone, SSN, bank account)</w:t>
      </w:r>
    </w:p>
    <w:p>
      <w:pPr>
        <w:pStyle w:val="ListParagraph"/>
        <w:numPr>
          <w:ilvl w:val="0"/>
          <w:numId w:val="2"/>
        </w:numPr>
        <w:spacing w:after="60"/>
      </w:pPr>
      <w:r>
        <w:rPr>
          <w:rFonts w:ascii="Arial" w:cs="Arial" w:eastAsia="Arial" w:hAnsi="Arial"/>
          <w:sz w:val="22"/>
          <w:szCs w:val="22"/>
        </w:rPr>
        <w:t xml:space="preserve">Compliance LGPD/CCPA: consentimento, direitos do titular, retenção configurável</w:t>
      </w:r>
    </w:p>
    <w:p>
      <w:pPr>
        <w:pStyle w:val="ListParagraph"/>
        <w:numPr>
          <w:ilvl w:val="0"/>
          <w:numId w:val="2"/>
        </w:numPr>
        <w:spacing w:after="60"/>
      </w:pPr>
      <w:r>
        <w:rPr>
          <w:rFonts w:ascii="Arial" w:cs="Arial" w:eastAsia="Arial" w:hAnsi="Arial"/>
          <w:sz w:val="22"/>
          <w:szCs w:val="22"/>
        </w:rPr>
        <w:t xml:space="preserve">Conformidade com SOC 2 Type II</w:t>
      </w:r>
    </w:p>
    <w:p>
      <w:pPr>
        <w:pStyle w:val="ListParagraph"/>
        <w:numPr>
          <w:ilvl w:val="0"/>
          <w:numId w:val="2"/>
        </w:numPr>
        <w:spacing w:after="60"/>
      </w:pPr>
      <w:r>
        <w:rPr>
          <w:rFonts w:ascii="Arial" w:cs="Arial" w:eastAsia="Arial" w:hAnsi="Arial"/>
          <w:sz w:val="22"/>
          <w:szCs w:val="22"/>
        </w:rPr>
        <w:t xml:space="preserve">Row Level Security (RLS) no PostgreSQL para isolamento multi-tenant</w:t>
      </w:r>
    </w:p>
    <w:p>
      <w:pPr>
        <w:pStyle w:val="Heading2"/>
        <w:spacing w:after="160" w:before="280"/>
      </w:pPr>
      <w:r>
        <w:rPr>
          <w:rFonts w:ascii="Arial" w:cs="Arial" w:eastAsia="Arial" w:hAnsi="Arial"/>
        </w:rPr>
        <w:t xml:space="preserve">8.3 Disponibilidade</w:t>
      </w:r>
    </w:p>
    <w:p>
      <w:pPr>
        <w:pStyle w:val="ListParagraph"/>
        <w:numPr>
          <w:ilvl w:val="0"/>
          <w:numId w:val="2"/>
        </w:numPr>
        <w:spacing w:after="60"/>
      </w:pPr>
      <w:r>
        <w:rPr>
          <w:rFonts w:ascii="Arial" w:cs="Arial" w:eastAsia="Arial" w:hAnsi="Arial"/>
          <w:sz w:val="22"/>
          <w:szCs w:val="22"/>
        </w:rPr>
        <w:t xml:space="preserve">SLA de 99.9% uptime</w:t>
      </w:r>
    </w:p>
    <w:p>
      <w:pPr>
        <w:pStyle w:val="ListParagraph"/>
        <w:numPr>
          <w:ilvl w:val="0"/>
          <w:numId w:val="2"/>
        </w:numPr>
        <w:spacing w:after="60"/>
      </w:pPr>
      <w:r>
        <w:rPr>
          <w:rFonts w:ascii="Arial" w:cs="Arial" w:eastAsia="Arial" w:hAnsi="Arial"/>
          <w:sz w:val="22"/>
          <w:szCs w:val="22"/>
        </w:rPr>
        <w:t xml:space="preserve">Backup automático a cada 6 horas</w:t>
      </w:r>
    </w:p>
    <w:p>
      <w:pPr>
        <w:pStyle w:val="ListParagraph"/>
        <w:numPr>
          <w:ilvl w:val="0"/>
          <w:numId w:val="2"/>
        </w:numPr>
        <w:spacing w:after="60"/>
      </w:pPr>
      <w:r>
        <w:rPr>
          <w:rFonts w:ascii="Arial" w:cs="Arial" w:eastAsia="Arial" w:hAnsi="Arial"/>
          <w:sz w:val="22"/>
          <w:szCs w:val="22"/>
        </w:rPr>
        <w:t xml:space="preserve">Disaster recovery com RTO &lt; 4h e RPO &lt; 1h</w:t>
      </w:r>
    </w:p>
    <w:p>
      <w:pPr>
        <w:pStyle w:val="Heading2"/>
        <w:spacing w:after="160" w:before="280"/>
      </w:pPr>
      <w:r>
        <w:rPr>
          <w:rFonts w:ascii="Arial" w:cs="Arial" w:eastAsia="Arial" w:hAnsi="Arial"/>
        </w:rPr>
        <w:t xml:space="preserve">8.4 Escalabilidade</w:t>
      </w:r>
    </w:p>
    <w:p>
      <w:pPr>
        <w:pStyle w:val="ListParagraph"/>
        <w:numPr>
          <w:ilvl w:val="0"/>
          <w:numId w:val="2"/>
        </w:numPr>
        <w:spacing w:after="60"/>
      </w:pPr>
      <w:r>
        <w:rPr>
          <w:rFonts w:ascii="Arial" w:cs="Arial" w:eastAsia="Arial" w:hAnsi="Arial"/>
          <w:sz w:val="22"/>
          <w:szCs w:val="22"/>
        </w:rPr>
        <w:t xml:space="preserve">Suporte a 500+ tenants simultâneos na fase inicial</w:t>
      </w:r>
    </w:p>
    <w:p>
      <w:pPr>
        <w:pStyle w:val="ListParagraph"/>
        <w:numPr>
          <w:ilvl w:val="0"/>
          <w:numId w:val="2"/>
        </w:numPr>
        <w:spacing w:after="60"/>
      </w:pPr>
      <w:r>
        <w:rPr>
          <w:rFonts w:ascii="Arial" w:cs="Arial" w:eastAsia="Arial" w:hAnsi="Arial"/>
          <w:sz w:val="22"/>
          <w:szCs w:val="22"/>
        </w:rPr>
        <w:t xml:space="preserve">Auto-scaling horizontal para API e workers</w:t>
      </w:r>
    </w:p>
    <w:p>
      <w:pPr>
        <w:pStyle w:val="ListParagraph"/>
        <w:numPr>
          <w:ilvl w:val="0"/>
          <w:numId w:val="2"/>
        </w:numPr>
        <w:spacing w:after="60"/>
      </w:pPr>
      <w:r>
        <w:rPr>
          <w:rFonts w:ascii="Arial" w:cs="Arial" w:eastAsia="Arial" w:hAnsi="Arial"/>
          <w:sz w:val="22"/>
          <w:szCs w:val="22"/>
        </w:rPr>
        <w:t xml:space="preserve">CDN para assets estáticos e imagens</w:t>
      </w:r>
    </w:p>
    <w:p>
      <w:pPr>
        <w:pStyle w:val="Heading2"/>
        <w:spacing w:after="160" w:before="280"/>
      </w:pPr>
      <w:r>
        <w:rPr>
          <w:rFonts w:ascii="Arial" w:cs="Arial" w:eastAsia="Arial" w:hAnsi="Arial"/>
        </w:rPr>
        <w:t xml:space="preserve">8.5 Usabilidade</w:t>
      </w:r>
    </w:p>
    <w:p>
      <w:pPr>
        <w:pStyle w:val="ListParagraph"/>
        <w:numPr>
          <w:ilvl w:val="0"/>
          <w:numId w:val="2"/>
        </w:numPr>
        <w:spacing w:after="60"/>
      </w:pPr>
      <w:r>
        <w:rPr>
          <w:rFonts w:ascii="Arial" w:cs="Arial" w:eastAsia="Arial" w:hAnsi="Arial"/>
          <w:sz w:val="22"/>
          <w:szCs w:val="22"/>
        </w:rPr>
        <w:t xml:space="preserve">Interface responsiva (desktop + tablet + mobile)</w:t>
      </w:r>
    </w:p>
    <w:p>
      <w:pPr>
        <w:pStyle w:val="ListParagraph"/>
        <w:numPr>
          <w:ilvl w:val="0"/>
          <w:numId w:val="2"/>
        </w:numPr>
        <w:spacing w:after="60"/>
      </w:pPr>
      <w:r>
        <w:rPr>
          <w:rFonts w:ascii="Arial" w:cs="Arial" w:eastAsia="Arial" w:hAnsi="Arial"/>
          <w:sz w:val="22"/>
          <w:szCs w:val="22"/>
        </w:rPr>
        <w:t xml:space="preserve">App móvel nativo para vendedores e técnicos</w:t>
      </w:r>
    </w:p>
    <w:p>
      <w:pPr>
        <w:pStyle w:val="ListParagraph"/>
        <w:numPr>
          <w:ilvl w:val="0"/>
          <w:numId w:val="2"/>
        </w:numPr>
        <w:spacing w:after="60"/>
      </w:pPr>
      <w:r>
        <w:rPr>
          <w:rFonts w:ascii="Arial" w:cs="Arial" w:eastAsia="Arial" w:hAnsi="Arial"/>
          <w:sz w:val="22"/>
          <w:szCs w:val="22"/>
        </w:rPr>
        <w:t xml:space="preserve">Suporte a inglês (primário) e espanhol (secundário)</w:t>
      </w:r>
    </w:p>
    <w:p>
      <w:pPr>
        <w:pStyle w:val="ListParagraph"/>
        <w:numPr>
          <w:ilvl w:val="0"/>
          <w:numId w:val="2"/>
        </w:numPr>
        <w:spacing w:after="60"/>
      </w:pPr>
      <w:r>
        <w:rPr>
          <w:rFonts w:ascii="Arial" w:cs="Arial" w:eastAsia="Arial" w:hAnsi="Arial"/>
          <w:sz w:val="22"/>
          <w:szCs w:val="22"/>
        </w:rPr>
        <w:t xml:space="preserve">Onboarding guiado para novos usuários</w:t>
      </w:r>
    </w:p>
    <w:p>
      <w:r>
        <w:br w:type="page"/>
      </w:r>
    </w:p>
    <w:p>
      <w:pPr>
        <w:pStyle w:val="Heading1"/>
        <w:spacing w:after="200" w:before="360"/>
      </w:pPr>
      <w:r>
        <w:rPr>
          <w:rFonts w:ascii="Arial" w:cs="Arial" w:eastAsia="Arial" w:hAnsi="Arial"/>
        </w:rPr>
        <w:t xml:space="preserve">9. Roadmap de Desenvolvimento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1800"/>
        <w:gridCol w:w="220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Módulos</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Prazo Estimado</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MVP (Fase 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CRM básico + Estimates + Gestão de Veículos + Financeiro básico (entradas/saídas)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meses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Crítica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Fase 2</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IA (OCR + Classificador) + Integração bancária (Plaid) + Automações n8n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2-3 meses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Fase 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Contabilidade (GL + Chart of Accounts + P&amp;L + Balance Sheet + FAM/Depreciação) + Comissões + Gestão de Terceiros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meses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Fase 4</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Compliance Fiscal (Sales Tax, 1099, LGPD/CCPA) + Portal Contador + Integração QuickBooks/Xero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2-3 meses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Fase 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Móvel completo + WhatsApp integração + Chatbot 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meses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Média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Fase 6</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Aluguel de Veículos + Previsão de Demanda + Analytics avançado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2-3 meses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Média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Fase 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Integração CCC ONE/Mitchell + Marketplace de Terceiros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meses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Baixa</w:t>
            </w:r>
          </w:p>
        </w:tc>
      </w:tr>
    </w:tbl>
    <w:p>
      <w:pPr>
        <w:spacing w:before="400"/>
      </w:pPr>
    </w:p>
    <w:p>
      <w:pPr>
        <w:spacing w:after="120"/>
        <w:jc w:val="both"/>
      </w:pPr>
      <w:r>
        <w:rPr>
          <w:rFonts w:ascii="Arial" w:cs="Arial" w:eastAsia="Arial" w:hAnsi="Arial"/>
          <w:sz w:val="22"/>
          <w:szCs w:val="22"/>
        </w:rPr>
        <w:t xml:space="preserve">Este documento será detalhado módulo a módulo nas próximas iterações, com especificações completas incluindo regras de negócio, fluxos detalhados, wireframes e critérios de aceite.</w:t>
      </w:r>
    </w:p>
    <w:p>
      <w:r>
        <w:br w:type="page"/>
      </w:r>
    </w:p>
    <w:p>
      <w:pPr>
        <w:pStyle w:val="Heading1"/>
        <w:spacing w:after="200" w:before="360"/>
      </w:pPr>
      <w:r>
        <w:rPr>
          <w:rFonts w:ascii="Arial" w:cs="Arial" w:eastAsia="Arial" w:hAnsi="Arial"/>
        </w:rPr>
        <w:t xml:space="preserve">10.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Termo</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PDR (Paintless Dent Repair)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Técnica de reparo de amassados sem pintura, realizada por martelinhos.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Estimate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Orçamento detalhado do reparo enviado à seguradora para aprovação e pagamento.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Supplement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Adição ao estimate original quando danos adicionais são descobertos durante o reparo.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DRP (Direct Repair Program)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Programa de parceria direta entre a oficina e a seguradora.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1099-NEC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Formulário fiscal do IRS para reportar pagamentos a contractors independentes.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W-9</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Formulário do IRS para coletar informações fiscais de contractors.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Automated Clearing House — sistema de transferência eletrônica bancária nos EUA.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Tenant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Cada empresa cliente do SaaS, com dados isolados no sistema.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n8n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Plataforma open-source de automação de workflows com interface visual.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OCR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Optical Character Recognition — reconhecimento óptico de caracteres em imagens.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Bolsão Geral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Categoria de despesas que não se vinculam a um veículo específico (uso e consumo geral).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Plaid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Plataforma de agregação bancária para conexão segura com contas bancárias.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Chart of Accounts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Plano de contas contábil hierárquico que organiza todas as contas por tipo (Asset, Liability, Equity, Revenue, Expense).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Journal Entry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Lançamento contábil em partida dobrada (débito e crédito devem ser iguais).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 Ledger (GL)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Razão geral — registro completo de todos os lançamentos contábeis da empresa.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Double-Entry Bookkeeping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Partida dobrada — método contábil onde cada transação afeta pelo menos duas contas (débito e crédito).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Fiscal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Período fiscal (mês, trimestre ou ano) para controle de abertura/fechamento contábil.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Cost Center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Centro de custo — unidade de agrupamento (veículo, OS, departamento) para análise de P&amp;L segmentado.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P&amp;L (Profit &amp; Loss)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Demonstrativo de resultado — relatório que mostra receitas menos despesas em um período.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Balance Sheet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Balanço patrimonial — relatório que mostra Assets = Liabilities + Equity em uma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Accrual Basis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Regime de competência — reconhece receitas/despesas quando a obrigação nasce (não quando o dinheiro muda de mão).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LGPD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Lei Geral de Proteção de Dados — lei brasileira de privacidade (referência para boas práticas).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CCPA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California Consumer Privacy Act — lei de privacidade da Califórnia (referência para compliance nos EUA).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Service Order (SO)</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Ordem de serviço — registro de todos os trabalhos realizados em um veículo, do início ao fim.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Asset (Ativo Fixo)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Bem tangível de longa duração usado na operação: equipamentos, veículos, mobiliário, computadores.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Depreciation (Depreciação)</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Redução sistemática do valor de um ativo fixo ao longo de sua vida útil.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Modified Accelerated Cost Recovery System — método de depreciação acelerada do IRS para fins fiscais nos EUA.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Straight-Line (Linear)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Método de depreciação que distribui o custo igualmente ao longo da vida útil.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Book Value (NBV)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Valor contábil líquido de um ativo: custo original menos depreciação acumulada.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Salvage Value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Valor residual estimado de um ativo ao final de sua vida útil.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Asset Disposal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Descarte de ativo fixo: venda, baixa contábil (write-off), transferência ou doação.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FAM (Fixed Asset Management)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Módulo de gestão de ativos fixos — controla ciclo completo de capitalização a descarte.</w:t>
            </w:r>
          </w:p>
        </w:tc>
      </w:tr>
    </w:tbl>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2026-04-02T18:45:48.688Z</dcterms:created>
  <dcterms:modified xsi:type="dcterms:W3CDTF">2026-04-02T18:45:48.709Z</dcterms:modified>
</cp:coreProperties>
</file>

<file path=docProps/custom.xml><?xml version="1.0" encoding="utf-8"?>
<Properties xmlns="http://schemas.openxmlformats.org/officeDocument/2006/custom-properties" xmlns:vt="http://schemas.openxmlformats.org/officeDocument/2006/docPropsVTypes"/>
</file>