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Proposta commerciale</w:t>
      </w:r>
    </w:p>
    <w:p>
      <w:pPr>
        <w:pStyle w:val="Subtitle"/>
      </w:pPr>
      <w:r>
        <w:t>Configuratore arredi — MVP attuale</w:t>
      </w:r>
    </w:p>
    <w:p>
      <w:r/>
      <w:r>
        <w:rPr>
          <w:b/>
        </w:rPr>
        <w:t>Riferimento:</w:t>
      </w:r>
      <w:r>
        <w:t xml:space="preserve"> FC-2026-01 · </w:t>
      </w:r>
      <w:r>
        <w:rPr>
          <w:b/>
        </w:rPr>
        <w:t>Data:</w:t>
      </w:r>
      <w:r>
        <w:t xml:space="preserve"> 29 ottobre 2026</w:t>
      </w:r>
    </w:p>
    <w:p>
      <w:r/>
      <w:r>
        <w:rPr>
          <w:b/>
        </w:rPr>
        <w:t>Committente:</w:t>
      </w:r>
      <w:r>
        <w:t xml:space="preserve"> [ragione sociale, sede e codice fiscale / partita IVA]</w:t>
      </w:r>
    </w:p>
    <w:p>
      <w:r/>
      <w:r>
        <w:rPr>
          <w:b/>
        </w:rPr>
        <w:t>Proponente:</w:t>
      </w:r>
      <w:r>
        <w:t xml:space="preserve"> [nome e cognome, indirizzo, codice fiscale e recapiti]</w:t>
      </w:r>
    </w:p>
    <w:p>
      <w:pPr>
        <w:pStyle w:val="Heading1"/>
      </w:pPr>
      <w:r>
        <w:t>1. Oggetto e compenso iniziale</w:t>
      </w:r>
    </w:p>
    <w:p>
      <w:r>
        <w:t>La presente proposta riguarda la fornitura dell’attuale MVP del configuratore arredi, destinato alla composizione assistita e alla presentazione commerciale dei prodotti, nel perimetro descritto di seguito.</w:t>
      </w:r>
    </w:p>
    <w:p>
      <w:r/>
      <w:r>
        <w:rPr>
          <w:b/>
        </w:rPr>
        <w:t>Compenso complessivo proposto: €20.000 lordi.</w:t>
      </w:r>
      <w:r>
        <w:t xml:space="preserve"> Le somme già versate per il medesimo perimetro saranno detratte dal saldo. Gli importi non rappresentano un netto garantito al proponente; il trattamento fiscale è precisato al punto 9.</w:t>
      </w:r>
    </w:p>
    <w:tbl>
      <w:tblPr>
        <w:tblStyle w:val="TableGrid"/>
        <w:tblW w:type="auto" w:w="0"/>
        <w:tblLayout w:type="fixed"/>
        <w:tblLook w:firstColumn="1" w:firstRow="1" w:lastColumn="0" w:lastRow="0" w:noHBand="0" w:noVBand="1" w:val="04A0"/>
      </w:tblPr>
      <w:tblGrid>
        <w:gridCol w:w="1984"/>
        <w:gridCol w:w="6633"/>
        <w:gridCol w:w="1134"/>
      </w:tblGrid>
      <w:tr>
        <w:trPr>
          <w:cantSplit/>
          <w:tblHeader/>
        </w:trPr>
        <w:tc>
          <w:tcPr>
            <w:tcW w:type="dxa" w:w="1984"/>
            <w:shd w:fill="EAF0F4"/>
          </w:tcPr>
          <w:p>
            <w:pPr>
              <w:spacing w:after="100" w:before="100" w:line="240" w:lineRule="auto"/>
            </w:pPr>
            <w:r>
              <w:rPr>
                <w:b/>
                <w:sz w:val="18"/>
              </w:rPr>
              <w:t>Area compresa</w:t>
            </w:r>
          </w:p>
        </w:tc>
        <w:tc>
          <w:tcPr>
            <w:tcW w:type="dxa" w:w="6633"/>
            <w:shd w:fill="EAF0F4"/>
          </w:tcPr>
          <w:p>
            <w:pPr>
              <w:spacing w:after="100" w:before="100" w:line="240" w:lineRule="auto"/>
            </w:pPr>
            <w:r>
              <w:rPr>
                <w:b/>
                <w:sz w:val="18"/>
              </w:rPr>
              <w:t>Funzionalità e perimetro</w:t>
            </w:r>
          </w:p>
        </w:tc>
        <w:tc>
          <w:tcPr>
            <w:tcW w:type="dxa" w:w="1134"/>
            <w:shd w:fill="EAF0F4"/>
          </w:tcPr>
          <w:p>
            <w:pPr>
              <w:spacing w:after="100" w:before="100" w:line="240" w:lineRule="auto"/>
            </w:pPr>
            <w:r>
              <w:rPr>
                <w:b/>
                <w:sz w:val="18"/>
              </w:rPr>
              <w:t>Valore</w:t>
            </w:r>
          </w:p>
        </w:tc>
      </w:tr>
      <w:tr>
        <w:trPr>
          <w:cantSplit/>
        </w:trPr>
        <w:tc>
          <w:tcPr>
            <w:tcW w:type="dxa" w:w="1984"/>
          </w:tcPr>
          <w:p>
            <w:pPr>
              <w:spacing w:after="100" w:before="100" w:line="240" w:lineRule="auto"/>
            </w:pPr>
            <w:r>
              <w:rPr>
                <w:sz w:val="18"/>
              </w:rPr>
              <w:t>Catalogo e amministrazione</w:t>
            </w:r>
          </w:p>
        </w:tc>
        <w:tc>
          <w:tcPr>
            <w:tcW w:type="dxa" w:w="6633"/>
          </w:tcPr>
          <w:p>
            <w:pPr>
              <w:spacing w:after="100" w:before="100" w:line="240" w:lineRule="auto"/>
            </w:pPr>
            <w:r>
              <w:rPr>
                <w:sz w:val="18"/>
              </w:rPr>
              <w:t>Prodotti e categorie, pubblicazione, gestione immagini, modelli 3D e file tecnici, controlli sui dati e sui file. Admin protetto da credenziali condivise.</w:t>
            </w:r>
          </w:p>
        </w:tc>
        <w:tc>
          <w:tcPr>
            <w:tcW w:type="dxa" w:w="1134"/>
          </w:tcPr>
          <w:p>
            <w:pPr>
              <w:spacing w:after="100" w:before="100" w:line="240" w:lineRule="auto"/>
            </w:pPr>
            <w:r>
              <w:rPr>
                <w:sz w:val="18"/>
              </w:rPr>
              <w:t>€4.000</w:t>
            </w:r>
          </w:p>
        </w:tc>
      </w:tr>
      <w:tr>
        <w:trPr>
          <w:cantSplit/>
        </w:trPr>
        <w:tc>
          <w:tcPr>
            <w:tcW w:type="dxa" w:w="1984"/>
          </w:tcPr>
          <w:p>
            <w:pPr>
              <w:spacing w:after="100" w:before="100" w:line="240" w:lineRule="auto"/>
            </w:pPr>
            <w:r>
              <w:rPr>
                <w:sz w:val="18"/>
              </w:rPr>
              <w:t>Editor 3D e composizione</w:t>
            </w:r>
          </w:p>
        </w:tc>
        <w:tc>
          <w:tcPr>
            <w:tcW w:type="dxa" w:w="6633"/>
          </w:tcPr>
          <w:p>
            <w:pPr>
              <w:spacing w:after="100" w:before="100" w:line="240" w:lineRule="auto"/>
            </w:pPr>
            <w:r>
              <w:rPr>
                <w:sz w:val="18"/>
              </w:rPr>
              <w:t>Inserimento, spostamento, rotazione e duplicazione; allineamento a parete e fronte; vincoli di ingombro e sovrapposizione; annulla e ripeti.</w:t>
            </w:r>
          </w:p>
        </w:tc>
        <w:tc>
          <w:tcPr>
            <w:tcW w:type="dxa" w:w="1134"/>
          </w:tcPr>
          <w:p>
            <w:pPr>
              <w:spacing w:after="100" w:before="100" w:line="240" w:lineRule="auto"/>
            </w:pPr>
            <w:r>
              <w:rPr>
                <w:sz w:val="18"/>
              </w:rPr>
              <w:t>€5.500</w:t>
            </w:r>
          </w:p>
        </w:tc>
      </w:tr>
      <w:tr>
        <w:trPr>
          <w:cantSplit/>
        </w:trPr>
        <w:tc>
          <w:tcPr>
            <w:tcW w:type="dxa" w:w="1984"/>
          </w:tcPr>
          <w:p>
            <w:pPr>
              <w:spacing w:after="100" w:before="100" w:line="240" w:lineRule="auto"/>
            </w:pPr>
            <w:r>
              <w:rPr>
                <w:sz w:val="18"/>
              </w:rPr>
              <w:t>Proprietà e configurazione</w:t>
            </w:r>
          </w:p>
        </w:tc>
        <w:tc>
          <w:tcPr>
            <w:tcW w:type="dxa" w:w="6633"/>
          </w:tcPr>
          <w:p>
            <w:pPr>
              <w:spacing w:after="100" w:before="100" w:line="240" w:lineRule="auto"/>
            </w:pPr>
            <w:r>
              <w:rPr>
                <w:sz w:val="18"/>
              </w:rPr>
              <w:t>Varianti dei fianchi, procedura guidata ante, top e ante aggiuntivi sulla base supportata; misure modificabili su 6 codici con rappresentazione 3D parametrica schematica.</w:t>
            </w:r>
          </w:p>
        </w:tc>
        <w:tc>
          <w:tcPr>
            <w:tcW w:type="dxa" w:w="1134"/>
          </w:tcPr>
          <w:p>
            <w:pPr>
              <w:spacing w:after="100" w:before="100" w:line="240" w:lineRule="auto"/>
            </w:pPr>
            <w:r>
              <w:rPr>
                <w:sz w:val="18"/>
              </w:rPr>
              <w:t>€3.500</w:t>
            </w:r>
          </w:p>
        </w:tc>
      </w:tr>
      <w:tr>
        <w:trPr>
          <w:cantSplit/>
        </w:trPr>
        <w:tc>
          <w:tcPr>
            <w:tcW w:type="dxa" w:w="1984"/>
          </w:tcPr>
          <w:p>
            <w:pPr>
              <w:spacing w:after="100" w:before="100" w:line="240" w:lineRule="auto"/>
            </w:pPr>
            <w:r>
              <w:rPr>
                <w:sz w:val="18"/>
              </w:rPr>
              <w:t>Catalogo tecnico e documenti</w:t>
            </w:r>
          </w:p>
        </w:tc>
        <w:tc>
          <w:tcPr>
            <w:tcW w:type="dxa" w:w="6633"/>
          </w:tcPr>
          <w:p>
            <w:pPr>
              <w:spacing w:after="100" w:before="100" w:line="240" w:lineRule="auto"/>
            </w:pPr>
            <w:r>
              <w:rPr>
                <w:sz w:val="18"/>
              </w:rPr>
              <w:t>55 codici tecnici importati dai file Excel forniti; distinte preliminari per modulo, distinta aggregata in PDF e ingombri complessivi.</w:t>
            </w:r>
          </w:p>
        </w:tc>
        <w:tc>
          <w:tcPr>
            <w:tcW w:type="dxa" w:w="1134"/>
          </w:tcPr>
          <w:p>
            <w:pPr>
              <w:spacing w:after="100" w:before="100" w:line="240" w:lineRule="auto"/>
            </w:pPr>
            <w:r>
              <w:rPr>
                <w:sz w:val="18"/>
              </w:rPr>
              <w:t>€2.500</w:t>
            </w:r>
          </w:p>
        </w:tc>
      </w:tr>
      <w:tr>
        <w:trPr>
          <w:cantSplit/>
        </w:trPr>
        <w:tc>
          <w:tcPr>
            <w:tcW w:type="dxa" w:w="1984"/>
          </w:tcPr>
          <w:p>
            <w:pPr>
              <w:spacing w:after="100" w:before="100" w:line="240" w:lineRule="auto"/>
            </w:pPr>
            <w:r>
              <w:rPr>
                <w:sz w:val="18"/>
              </w:rPr>
              <w:t>Prezzi e preventivo demo</w:t>
            </w:r>
          </w:p>
        </w:tc>
        <w:tc>
          <w:tcPr>
            <w:tcW w:type="dxa" w:w="6633"/>
          </w:tcPr>
          <w:p>
            <w:pPr>
              <w:spacing w:after="100" w:before="100" w:line="240" w:lineRule="auto"/>
            </w:pPr>
            <w:r>
              <w:rPr>
                <w:sz w:val="18"/>
              </w:rPr>
              <w:t>Prezzi indicativi, totale parziale quando necessario, personalizzazioni da quotare e richiesta preventivo dimostrativa senza invio reale.</w:t>
            </w:r>
          </w:p>
        </w:tc>
        <w:tc>
          <w:tcPr>
            <w:tcW w:type="dxa" w:w="1134"/>
          </w:tcPr>
          <w:p>
            <w:pPr>
              <w:spacing w:after="100" w:before="100" w:line="240" w:lineRule="auto"/>
            </w:pPr>
            <w:r>
              <w:rPr>
                <w:sz w:val="18"/>
              </w:rPr>
              <w:t>€1.000</w:t>
            </w:r>
          </w:p>
        </w:tc>
      </w:tr>
      <w:tr>
        <w:trPr>
          <w:cantSplit/>
        </w:trPr>
        <w:tc>
          <w:tcPr>
            <w:tcW w:type="dxa" w:w="1984"/>
          </w:tcPr>
          <w:p>
            <w:pPr>
              <w:spacing w:after="100" w:before="100" w:line="240" w:lineRule="auto"/>
            </w:pPr>
            <w:r>
              <w:rPr>
                <w:sz w:val="18"/>
              </w:rPr>
              <w:t>Interfaccia, collaudo e consegna</w:t>
            </w:r>
          </w:p>
        </w:tc>
        <w:tc>
          <w:tcPr>
            <w:tcW w:type="dxa" w:w="6633"/>
          </w:tcPr>
          <w:p>
            <w:pPr>
              <w:spacing w:after="100" w:before="100" w:line="240" w:lineRule="auto"/>
            </w:pPr>
            <w:r>
              <w:rPr>
                <w:sz w:val="18"/>
              </w:rPr>
              <w:t>Interfacce in italiano, inglese e francese; adattamento mobile; test automatici; documentazione e materiali di consegna descritti al punto 3.</w:t>
            </w:r>
          </w:p>
        </w:tc>
        <w:tc>
          <w:tcPr>
            <w:tcW w:type="dxa" w:w="1134"/>
          </w:tcPr>
          <w:p>
            <w:pPr>
              <w:spacing w:after="100" w:before="100" w:line="240" w:lineRule="auto"/>
            </w:pPr>
            <w:r>
              <w:rPr>
                <w:sz w:val="18"/>
              </w:rPr>
              <w:t>€3.500</w:t>
            </w:r>
          </w:p>
        </w:tc>
      </w:tr>
      <w:tr>
        <w:trPr>
          <w:cantSplit/>
        </w:trPr>
        <w:tc>
          <w:tcPr>
            <w:tcW w:type="dxa" w:w="1984"/>
            <w:shd w:fill="EAF0F4"/>
          </w:tcPr>
          <w:p>
            <w:pPr>
              <w:spacing w:after="100" w:before="100" w:line="240" w:lineRule="auto"/>
            </w:pPr>
            <w:r>
              <w:rPr>
                <w:b/>
                <w:sz w:val="18"/>
              </w:rPr>
              <w:t>Totale</w:t>
            </w:r>
          </w:p>
        </w:tc>
        <w:tc>
          <w:tcPr>
            <w:tcW w:type="dxa" w:w="6633"/>
            <w:shd w:fill="EAF0F4"/>
          </w:tcPr>
          <w:p>
            <w:pPr>
              <w:spacing w:after="100" w:before="100" w:line="240" w:lineRule="auto"/>
            </w:pPr>
            <w:r>
              <w:rPr>
                <w:b/>
                <w:sz w:val="18"/>
              </w:rPr>
              <w:t>Compenso iniziale complessivo</w:t>
            </w:r>
          </w:p>
        </w:tc>
        <w:tc>
          <w:tcPr>
            <w:tcW w:type="dxa" w:w="1134"/>
            <w:shd w:fill="EAF0F4"/>
          </w:tcPr>
          <w:p>
            <w:pPr>
              <w:spacing w:after="100" w:before="100" w:line="240" w:lineRule="auto"/>
            </w:pPr>
            <w:r>
              <w:rPr>
                <w:b/>
                <w:sz w:val="18"/>
              </w:rPr>
              <w:t>€20.000</w:t>
            </w:r>
          </w:p>
        </w:tc>
      </w:tr>
    </w:tbl>
    <w:p>
      <w:pPr>
        <w:spacing w:after="0"/>
      </w:pPr>
    </w:p>
    <w:p>
      <w:r>
        <w:t>La ripartizione descrive il valore delle componenti di una fornitura unitaria. Il compenso riguarda l’MVP nel suo complesso e non costituisce un nuovo addebito di correzioni già dovute in base ad accordi precedenti.</w:t>
      </w:r>
    </w:p>
    <w:p>
      <w:r>
        <w:br w:type="page"/>
      </w:r>
    </w:p>
    <w:p>
      <w:pPr>
        <w:pStyle w:val="Heading1"/>
      </w:pPr>
      <w:r>
        <w:t>2. Limiti ed esclusioni</w:t>
      </w:r>
    </w:p>
    <w:p>
      <w:r>
        <w:t>Non sono compresi nel compenso iniziale:</w:t>
      </w:r>
    </w:p>
    <w:p>
      <w:pPr>
        <w:pStyle w:val="ListBullet"/>
        <w:spacing w:after="60"/>
      </w:pPr>
      <w:r>
        <w:t>Account individuali, ruoli e permessi: l’admin utilizza credenziali condivise.</w:t>
      </w:r>
    </w:p>
    <w:p>
      <w:pPr>
        <w:pStyle w:val="ListBullet"/>
        <w:spacing w:after="60"/>
      </w:pPr>
      <w:r>
        <w:t>Salvataggio, ripresa e condivisione delle composizioni.</w:t>
      </w:r>
    </w:p>
    <w:p>
      <w:pPr>
        <w:pStyle w:val="ListBullet"/>
        <w:spacing w:after="60"/>
      </w:pPr>
      <w:r>
        <w:t>Invio reale delle richieste di preventivo e attivazione di un servizio email.</w:t>
      </w:r>
    </w:p>
    <w:p>
      <w:pPr>
        <w:pStyle w:val="ListBullet"/>
        <w:spacing w:after="60"/>
      </w:pPr>
      <w:r>
        <w:t>Listino completo e prezzi automatici per ogni misura e opzione.</w:t>
      </w:r>
    </w:p>
    <w:p>
      <w:pPr>
        <w:pStyle w:val="ListBullet"/>
        <w:spacing w:after="60"/>
      </w:pPr>
      <w:r>
        <w:t>Parametrizzazione di ulteriori moduli oltre i 6 codici attualmente supportati.</w:t>
      </w:r>
    </w:p>
    <w:p>
      <w:pPr>
        <w:pStyle w:val="ListBullet"/>
        <w:spacing w:after="60"/>
      </w:pPr>
      <w:r>
        <w:t>Validazione delle distinte per la produzione, lavorazioni CNC o certificazioni industriali.</w:t>
      </w:r>
    </w:p>
    <w:p>
      <w:pPr>
        <w:pStyle w:val="ListBullet"/>
        <w:spacing w:after="60"/>
      </w:pPr>
      <w:r>
        <w:t>Nuove funzionalità, integrazioni gestionali e nuovi modelli o contenuti non inclusi nel perimetro attuale.</w:t>
      </w:r>
    </w:p>
    <w:p>
      <w:r>
        <w:t>Le distinte e i PDF sono preliminari e richiedono verifica tecnica prima dell’impiego produttivo. I 55 codici tecnici non corrispondono a 55 moduli parametrici. La traduzione dell’interfaccia non comporta la traduzione integrale di tutti i contenuti prodotto forniti.</w:t>
      </w:r>
    </w:p>
    <w:p>
      <w:pPr>
        <w:pStyle w:val="Heading1"/>
      </w:pPr>
      <w:r>
        <w:t>3. Materiali e modalità di consegna</w:t>
      </w:r>
    </w:p>
    <w:p>
      <w:r>
        <w:t>La consegna comprende una copia del codice sorgente del perimetro fornito, l’elenco delle dipendenze, lo schema del database e le istruzioni di installazione, configurazione e avvio.</w:t>
      </w:r>
    </w:p>
    <w:p>
      <w:r/>
      <w:r>
        <w:rPr>
          <w:b/>
        </w:rPr>
        <w:t>Schema completo del database e istruzioni operative saranno completati alla consegna.</w:t>
      </w:r>
      <w:r>
        <w:t xml:space="preserve"> La documentazione includerà variabili d’ambiente richieste, configurazione dell’accesso admin, tabelle e vincoli, regole di accesso ai dati e configurazione dell’archivio file necessarie al funzionamento.</w:t>
      </w:r>
    </w:p>
    <w:p>
      <w:r>
        <w:t>Saranno concordati l’ambiente di destinazione e il passaggio degli accessi necessari. Le credenziali saranno trasferite tramite un canale riservato e non inserite nella documentazione pubblica. L’eventuale migrazione dei servizi è disciplinata al punto 6.</w:t>
      </w:r>
    </w:p>
    <w:p>
      <w:pPr>
        <w:pStyle w:val="Heading1"/>
      </w:pPr>
      <w:r>
        <w:t>4. Collaudo</w:t>
      </w:r>
    </w:p>
    <w:p>
      <w:r>
        <w:t>Il 29 ottobre 2026 sono stati superati 171 test unitari TypeScript, 3 test Python e 18 scenari browser, oltre ai controlli di qualità del codice e alla build di produzione. Le prove browser con operazioni sui dati utilizzano un ambiente isolato.</w:t>
      </w:r>
    </w:p>
    <w:p>
      <w:r>
        <w:t xml:space="preserve">È stato inoltre comunicato esito positivo della prova manuale su </w:t>
      </w:r>
      <w:r>
        <w:rPr>
          <w:b/>
        </w:rPr>
        <w:t>iPhone reale</w:t>
      </w:r>
      <w:r>
        <w:t>. Tale prova riguarda il dispositivo utilizzato e non costituisce garanzia di compatibilità con ogni smartphone o versione del sistema operativo.</w:t>
      </w:r>
    </w:p>
    <w:p>
      <w:r>
        <w:t>Il collaudo conclusivo con il committente sarà riferito alle funzionalità comprese nella proposta. Anomalie e richieste di ampliamento saranno annotate separatamente; i difetti compresi negli obblighi di consegna non saranno automaticamente trattati come nuove funzionalità a pagamento.</w:t>
      </w:r>
    </w:p>
    <w:p>
      <w:r>
        <w:br w:type="page"/>
      </w:r>
    </w:p>
    <w:p>
      <w:pPr>
        <w:pStyle w:val="Heading1"/>
      </w:pPr>
      <w:r>
        <w:t>5. Utilizzo del software e disponibilità dei sorgenti</w:t>
      </w:r>
    </w:p>
    <w:p>
      <w:r>
        <w:t>Nel compenso iniziale è proposta una licenza d’uso non esclusiva, senza canone di licenza periodico, per utilizzare il configuratore nell’attività del committente e renderlo accessibile ai propri clienti e collaboratori. Sono consentite la manutenzione e l’adattamento per tali finalità, anche tramite tecnici incaricati dal committente.</w:t>
      </w:r>
    </w:p>
    <w:p>
      <w:r>
        <w:t>La consegna di una copia dei sorgenti consente la continuità tecnica e non comporta, da sola, la cessione esclusiva dei diritti di sfruttamento economico. La rivendita del software come prodotto autonomo o la concessione commerciale a soggetti terzi richiedono un accordo ulteriore. Le condizioni definitive della licenza saranno riportate nell’accordo sottoscritto dalle parti.</w:t>
      </w:r>
    </w:p>
    <w:p>
      <w:pPr>
        <w:pStyle w:val="Heading1"/>
      </w:pPr>
      <w:r>
        <w:t>6. Opzione separata: cessione esclusiva e passaggio dell’ambiente</w:t>
      </w:r>
    </w:p>
    <w:p>
      <w:r>
        <w:t>Su richiesta, le parti potranno concordare la cessione esclusiva dei diritti di sfruttamento economico sul codice originale di cui il proponente possa legittimamente disporre, insieme al passaggio operativo del progetto. L’opzione consentirà al committente di gestire autonomamente l’evoluzione del software e affidarla a fornitori di propria scelta.</w:t>
      </w:r>
    </w:p>
    <w:p>
      <w:r/>
      <w:r>
        <w:rPr>
          <w:b/>
        </w:rPr>
        <w:t>Corrispettivo aggiuntivo: da concordare con proposta separata. Non incluso nei €20.000 iniziali.</w:t>
      </w:r>
      <w:r>
        <w:t xml:space="preserve"> L’accordo terrà conto di quanto già corrisposto per lo stesso perimetro e definirà diritti ceduti, materiali, attività di migrazione, assistenza al passaggio e data di efficacia.</w:t>
      </w:r>
    </w:p>
    <w:p>
      <w:r>
        <w:t>Il perimetro potrà comprendere:</w:t>
      </w:r>
    </w:p>
    <w:p>
      <w:pPr>
        <w:pStyle w:val="ListBullet"/>
        <w:spacing w:after="60"/>
      </w:pPr>
      <w:r>
        <w:t>Repository, sorgenti, configurazioni di build e deploy e documentazione aggiornata.</w:t>
      </w:r>
    </w:p>
    <w:p>
      <w:pPr>
        <w:pStyle w:val="ListBullet"/>
        <w:spacing w:after="60"/>
      </w:pPr>
      <w:r>
        <w:t>Schema e dati del database di pertinenza del committente, con esportazione degli asset trasferibili.</w:t>
      </w:r>
    </w:p>
    <w:p>
      <w:pPr>
        <w:pStyle w:val="ListBullet"/>
        <w:spacing w:after="60"/>
      </w:pPr>
      <w:r>
        <w:t>Trasferimento dei progetti e degli account dedicati presso i fornitori, ove consentito; in alternativa, migrazione verso account intestati al committente.</w:t>
      </w:r>
    </w:p>
    <w:p>
      <w:pPr>
        <w:pStyle w:val="ListBullet"/>
        <w:spacing w:after="60"/>
      </w:pPr>
      <w:r>
        <w:t>Passaggio degli accessi, rotazione delle credenziali e verifica di avvio nell’ambiente di destinazione.</w:t>
      </w:r>
    </w:p>
    <w:p>
      <w:r>
        <w:t>La cessione riguarda il progetto e i diritti trasferibili, non la proprietà delle piattaforme Vercel, Supabase o di altri servizi di terzi. Librerie, componenti open source, modelli e altri materiali di terzi restano soggetti alle rispettive licenze. I diritti morali d’autore restano disciplinati dalla legge.</w:t>
      </w:r>
    </w:p>
    <w:p>
      <w:r>
        <w:t>Prima della cessione saranno verificati titolarità e trasferibilità dei materiali. Dal passaggio concordato il committente assumerà la gestione operativa dell’ambiente, degli accessi e dei rapporti con i fornitori. La manutenzione del proponente resterà facoltativa e richiederà un accordo attivo; resteranno fermi gli obblighi di consegna e le responsabilità previsti dal contratto e dalla legge.</w:t>
      </w:r>
    </w:p>
    <w:p>
      <w:r>
        <w:br w:type="page"/>
      </w:r>
    </w:p>
    <w:p>
      <w:pPr>
        <w:pStyle w:val="Heading1"/>
      </w:pPr>
      <w:r>
        <w:t>7. Manutenzione facoltativa</w:t>
      </w:r>
    </w:p>
    <w:p>
      <w:r/>
      <w:r>
        <w:rPr>
          <w:b/>
        </w:rPr>
        <w:t>Canone proposto: €600 lordi al mese, fino a 6 ore di attività mensile.</w:t>
      </w:r>
      <w:r/>
    </w:p>
    <w:p>
      <w:r>
        <w:t>Il servizio comprende controlli concordati su hosting e database, aggiornamenti di sicurezza delle dipendenze compatibili con il perimetro, analisi e correzione di malfunzionamenti e piccole modifiche. Il canone remunera anche la disponibilità concordata nei mesi senza interventi. Le ore non utilizzate non si trasferiscono al mese successivo.</w:t>
      </w:r>
    </w:p>
    <w:p>
      <w:r>
        <w:t xml:space="preserve">Le attività oltre le 6 ore sono proposte a </w:t>
      </w:r>
      <w:r>
        <w:rPr>
          <w:b/>
        </w:rPr>
        <w:t>€60 lordi/ora</w:t>
      </w:r>
      <w:r>
        <w:t>, previa autorizzazione del committente. Prima di superare il monte ore sarà comunicata una stima. Nuove funzionalità, migrazioni, aggiornamenti che richiedano interventi sostanziali e interventi estesi saranno oggetto di preventivo separato.</w:t>
      </w:r>
    </w:p>
    <w:p>
      <w:r>
        <w:t>Non sono inclusi reperibilità continuativa, assistenza 24 ore su 24 o tempi di risoluzione garantiti. Prima dell’attivazione saranno definiti per iscritto decorrenza, durata, rinnovo o cessazione, canali di assistenza e tempi di presa in carico. Il canone non sostituisce né limita gli obblighi relativi ai difetti già coperti dagli accordi di consegna.</w:t>
      </w:r>
    </w:p>
    <w:p>
      <w:pPr>
        <w:pStyle w:val="Heading1"/>
      </w:pPr>
      <w:r>
        <w:t>8. Servizi esterni e autonomia di gestione</w:t>
      </w:r>
    </w:p>
    <w:p>
      <w:r>
        <w:t>Hosting, database, archivio file, dominio, eventuale email e altri servizi esterni sono esclusi dai compensi e restano a carico del committente secondo le tariffe dei rispettivi fornitori. L’intestazione degli account sarà concordata, privilegiando account dedicati intestati al committente.</w:t>
      </w:r>
    </w:p>
    <w:p>
      <w:r>
        <w:t>La cessazione della manutenzione non comporta la cessazione della licenza d’uso prevista dall’accordo. Il funzionamento del servizio richiede comunque account e risorse attivi, pagamenti ai fornitori e una gestione tecnica adeguata, eventualmente affidata ad altro professionista.</w:t>
      </w:r>
    </w:p>
    <w:p>
      <w:pPr>
        <w:pStyle w:val="Heading1"/>
      </w:pPr>
      <w:r>
        <w:t>9. Trattamento fiscale, pagamenti e formalizzazione</w:t>
      </w:r>
    </w:p>
    <w:p>
      <w:r>
        <w:t xml:space="preserve">Il proponente dichiara di non essere attualmente titolare di partita IVA. </w:t>
      </w:r>
      <w:r>
        <w:rPr>
          <w:b/>
        </w:rPr>
        <w:t>Gli importi indicati sono compensi lordi; non viene esposta IVA.</w:t>
      </w:r>
      <w:r>
        <w:t xml:space="preserve"> Prima della sottoscrizione saranno definiti con il supporto del consulente fiscale l’inquadramento applicabile, il documento da emettere, eventuali ritenute e contributi e la ripartizione degli oneri tra le parti. Gli importi non devono essere intesi come netti da corrispondere al proponente.</w:t>
      </w:r>
    </w:p>
    <w:p>
      <w:r>
        <w:t>L’attivazione della manutenzione continuativa è subordinata alla definizione di un inquadramento fiscale e contributivo idoneo. La presente proposta non presuppone che lo sviluppo o il canone possano essere gestiti come lavoro autonomo occasionale.</w:t>
      </w:r>
    </w:p>
    <w:p>
      <w:r/>
      <w:r>
        <w:rPr>
          <w:b/>
        </w:rPr>
        <w:t>Importi già corrisposti:</w:t>
      </w:r>
      <w:r>
        <w:t xml:space="preserve"> €[da compilare] · </w:t>
      </w:r>
      <w:r>
        <w:rPr>
          <w:b/>
        </w:rPr>
        <w:t>Saldo compenso iniziale:</w:t>
      </w:r>
      <w:r>
        <w:t xml:space="preserve"> €[da compilare].</w:t>
      </w:r>
    </w:p>
    <w:p>
      <w:r>
        <w:t>Modalità e scadenze di pagamento, data di consegna e condizioni definitive della licenza saranno concordate per iscritto prima dell’accettazione. La cessione esclusiva richiederà un accordo scritto separato. La proposta non attiva automaticamente il servizio di manutenzione.</w:t>
      </w:r>
    </w:p>
    <w:p>
      <w:r/>
      <w:r>
        <w:rPr>
          <w:b/>
        </w:rPr>
        <w:t>Per il proponente:</w:t>
      </w:r>
      <w:r>
        <w:t xml:space="preserve"> [nome e firma] · </w:t>
      </w:r>
      <w:r>
        <w:rPr>
          <w:b/>
        </w:rPr>
        <w:t>Per il committente:</w:t>
      </w:r>
      <w:r>
        <w:t xml:space="preserve"> [nome e qualifica]</w:t>
      </w:r>
    </w:p>
    <w:p>
      <w:r/>
      <w:r>
        <w:rPr>
          <w:b/>
        </w:rPr>
        <w:t>Luogo e data:</w:t>
      </w:r>
      <w:r>
        <w:t xml:space="preserve"> [da compilare]</w:t>
      </w:r>
    </w:p>
    <w:sectPr w:rsidR="00FC693F" w:rsidRPr="0006063C" w:rsidSect="00034616">
      <w:headerReference w:type="default" r:id="rId9"/>
      <w:footerReference w:type="default" r:id="rId10"/>
      <w:pgSz w:w="11906" w:h="16838"/>
      <w:pgMar w:top="935" w:right="1077" w:bottom="907"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FC-2026-01 · 29 ottobre 2026</w:t>
    </w:r>
    <w:r>
      <w:rPr>
        <w:sz w:val="16"/>
      </w:rPr>
      <w:t xml:space="preserve">            Pagina </w:t>
    </w:r>
    <w:fldSimple w:instr="PAGE"/>
    <w:r>
      <w:rPr>
        <w:sz w:val="16"/>
      </w:rPr>
      <w:t xml:space="preserve"> di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B7B"/>
        <w:sz w:val="16"/>
      </w:rPr>
      <w:t>CONFIGURATORE ARREDI  /  PROPOSTA COMMERCIALE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24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53F5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153F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Calibri" w:hAnsi="Calibri"/>
      <w:i/>
      <w:iCs/>
      <w:color w:val="153F5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commerciale — Configuratore arredi MVP</dc:title>
  <dc:subject>Compenso iniziale, manutenzione facoltativa e opzione di cessione esclusiva</dc:subject>
  <dc:creator>[Nome del proponente]</dc:creator>
  <cp:keywords>configuratore, arredi, proposta, MVP, manutenzione, cessione sorgenti</cp:keywords>
  <dc:description>generated by python-docx</dc:description>
  <cp:lastModifiedBy/>
  <cp:revision>1</cp:revision>
  <dcterms:created xsi:type="dcterms:W3CDTF">2013-12-23T23:15:00Z</dcterms:created>
  <dcterms:modified xsi:type="dcterms:W3CDTF">2013-12-23T23:15:00Z</dcterms:modified>
  <cp:category/>
</cp:coreProperties>
</file>