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200"/>
      </w:pPr>
      <w:r>
        <w:rPr>
          <w:rFonts w:ascii="Calibri" w:hAnsi="Calibri"/>
          <w:b/>
          <w:color w:val="C0392B"/>
          <w:sz w:val="20"/>
        </w:rPr>
        <w:t>CALIDAD DE SOFTWARE</w:t>
      </w:r>
    </w:p>
    <w:p>
      <w:pPr>
        <w:spacing w:after="140"/>
      </w:pPr>
      <w:r>
        <w:rPr>
          <w:rFonts w:ascii="Calibri" w:hAnsi="Calibri"/>
          <w:b/>
          <w:color w:val="0B2545"/>
          <w:sz w:val="60"/>
        </w:rPr>
        <w:t>Actividad 6</w:t>
      </w:r>
    </w:p>
    <w:p>
      <w:pPr>
        <w:spacing w:after="480"/>
      </w:pPr>
      <w:r>
        <w:rPr>
          <w:rFonts w:ascii="Calibri" w:hAnsi="Calibri"/>
          <w:b/>
          <w:color w:val="1F4D78"/>
          <w:sz w:val="32"/>
        </w:rPr>
        <w:t>Evaluación automatizada de calidad con Selenium</w:t>
      </w:r>
    </w:p>
    <w:p>
      <w:pPr>
        <w:spacing w:after="520"/>
      </w:pPr>
      <w:r>
        <w:rPr>
          <w:rFonts w:ascii="Calibri" w:hAnsi="Calibri"/>
          <w:color w:val="667085"/>
          <w:sz w:val="24"/>
        </w:rPr>
        <w:t>Plataforma Web para el Monitoreo y Visualización de Accidentes de Tránsito en Carreteras del Perú basada en datos abiertos de SUTRAN, periodo 2020-2021</w:t>
      </w:r>
    </w:p>
    <w:p>
      <w:pPr>
        <w:spacing w:after="120"/>
      </w:pPr>
      <w:r>
        <w:rPr>
          <w:rFonts w:ascii="Calibri" w:hAnsi="Calibri"/>
          <w:b/>
          <w:color w:val="0B2545"/>
          <w:sz w:val="22"/>
        </w:rPr>
        <w:t xml:space="preserve">Herramienta: </w:t>
      </w:r>
      <w:r>
        <w:rPr>
          <w:rFonts w:ascii="Calibri" w:hAnsi="Calibri"/>
          <w:color w:val="111111"/>
          <w:sz w:val="22"/>
        </w:rPr>
        <w:t>Selenium WebDriver 4.45.0</w:t>
      </w:r>
    </w:p>
    <w:p>
      <w:pPr>
        <w:spacing w:after="120"/>
      </w:pPr>
      <w:r>
        <w:rPr>
          <w:rFonts w:ascii="Calibri" w:hAnsi="Calibri"/>
          <w:b/>
          <w:color w:val="0B2545"/>
          <w:sz w:val="22"/>
        </w:rPr>
        <w:t xml:space="preserve">Fecha de ejecución: </w:t>
      </w:r>
      <w:r>
        <w:rPr>
          <w:rFonts w:ascii="Calibri" w:hAnsi="Calibri"/>
          <w:color w:val="111111"/>
          <w:sz w:val="22"/>
        </w:rPr>
        <w:t>30 de junio de 2026</w:t>
      </w:r>
    </w:p>
    <w:p>
      <w:pPr>
        <w:spacing w:after="120"/>
      </w:pPr>
      <w:r>
        <w:rPr>
          <w:rFonts w:ascii="Calibri" w:hAnsi="Calibri"/>
          <w:b/>
          <w:color w:val="0B2545"/>
          <w:sz w:val="22"/>
        </w:rPr>
        <w:t xml:space="preserve">Entorno: </w:t>
      </w:r>
      <w:r>
        <w:rPr>
          <w:rFonts w:ascii="Calibri" w:hAnsi="Calibri"/>
          <w:color w:val="111111"/>
          <w:sz w:val="22"/>
        </w:rPr>
        <w:t>Python 3.14.2, Google Chrome 149, Windows</w:t>
      </w:r>
    </w:p>
    <w:p>
      <w:pPr>
        <w:spacing w:before="200" w:after="200"/>
        <w:ind w:left="173" w:right="173"/>
        <w:shd w:fill="EAF7EF"/>
      </w:pPr>
      <w:r>
        <w:rPr>
          <w:rFonts w:ascii="Calibri" w:hAnsi="Calibri"/>
          <w:b/>
          <w:color w:val="1F6F43"/>
          <w:sz w:val="22"/>
        </w:rPr>
        <w:t xml:space="preserve">RESULTADO FINAL  </w:t>
      </w:r>
      <w:r>
        <w:rPr>
          <w:rFonts w:ascii="Calibri" w:hAnsi="Calibri"/>
          <w:b/>
          <w:color w:val="1F6F43"/>
          <w:sz w:val="22"/>
        </w:rPr>
        <w:t>17 de 17 pruebas aprobadas  |  100% de éxito  |  13.758 s</w:t>
      </w:r>
    </w:p>
    <w:p>
      <w:pPr>
        <w:spacing w:before="360"/>
      </w:pPr>
      <w:r>
        <w:rPr>
          <w:rFonts w:ascii="Calibri" w:hAnsi="Calibri"/>
          <w:i/>
          <w:color w:val="667085"/>
          <w:sz w:val="20"/>
        </w:rPr>
        <w:t>Informe técnico de ejecución, evidencias, análisis y diagnóstico.</w:t>
      </w:r>
    </w:p>
    <w:p>
      <w:r>
        <w:br w:type="page"/>
      </w:r>
    </w:p>
    <w:p>
      <w:pPr>
        <w:pStyle w:val="Heading1"/>
      </w:pPr>
      <w:r>
        <w:t>1. Objetivo y alcance</w:t>
      </w:r>
    </w:p>
    <w:p>
      <w:r>
        <w:t>La Actividad 6 verifica la calidad funcional de la plataforma SUTRAN VIAL mediante pruebas automatizadas sobre la lógica de datos, la API REST y la interfaz web. El alcance incluye la carga del dataset oficial, filtros combinados, indicadores, mapa departamental, tabla de registros y exportación del reporte Excel.</w:t>
      </w:r>
    </w:p>
    <w:p>
      <w:r>
        <w:t>La evaluación toma como referencia el modelo de calidad de producto ISO/IEC 25010:2023 para organizar el diagnóstico y emplea WebDriver como mecanismo de automatización del navegador.</w:t>
      </w:r>
    </w:p>
    <w:p>
      <w:pPr>
        <w:pStyle w:val="Heading1"/>
      </w:pPr>
      <w:r>
        <w:t>2. Herramienta instalada</w:t>
      </w:r>
    </w:p>
    <w:p>
      <w:pPr>
        <w:spacing w:after="120"/>
      </w:pPr>
      <w:r>
        <w:rPr>
          <w:rFonts w:ascii="Calibri" w:hAnsi="Calibri"/>
          <w:b/>
          <w:color w:val="0B2545"/>
          <w:sz w:val="22"/>
        </w:rPr>
        <w:t xml:space="preserve">Herramienta seleccionada: </w:t>
      </w:r>
      <w:r>
        <w:rPr>
          <w:rFonts w:ascii="Calibri" w:hAnsi="Calibri"/>
          <w:color w:val="111111"/>
          <w:sz w:val="22"/>
        </w:rPr>
        <w:t>Selenium WebDriver 4.45.0</w:t>
      </w:r>
    </w:p>
    <w:p>
      <w:pPr>
        <w:spacing w:after="120"/>
      </w:pPr>
      <w:r>
        <w:rPr>
          <w:rFonts w:ascii="Calibri" w:hAnsi="Calibri"/>
          <w:b/>
          <w:color w:val="0B2545"/>
          <w:sz w:val="22"/>
        </w:rPr>
        <w:t xml:space="preserve">Instalación: </w:t>
      </w:r>
      <w:r>
        <w:rPr>
          <w:rFonts w:ascii="Calibri" w:hAnsi="Calibri"/>
          <w:color w:val="111111"/>
          <w:sz w:val="22"/>
        </w:rPr>
        <w:t>Se instaló en el entorno virtual del proyecto mediante el comando python -m pip install -U selenium.</w:t>
      </w:r>
    </w:p>
    <w:p>
      <w:pPr>
        <w:spacing w:after="120"/>
      </w:pPr>
      <w:r>
        <w:rPr>
          <w:rFonts w:ascii="Calibri" w:hAnsi="Calibri"/>
          <w:b/>
          <w:color w:val="0B2545"/>
          <w:sz w:val="22"/>
        </w:rPr>
        <w:t xml:space="preserve">Controlador: </w:t>
      </w:r>
      <w:r>
        <w:rPr>
          <w:rFonts w:ascii="Calibri" w:hAnsi="Calibri"/>
          <w:color w:val="111111"/>
          <w:sz w:val="22"/>
        </w:rPr>
        <w:t>Selenium Manager administra el controlador compatible con Google Chrome, evitando una configuración manual del ejecutable.</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520"/>
        <w:gridCol w:w="6840"/>
      </w:tblGrid>
      <w:tr>
        <w:trPr>
          <w:tblHeader w:val="true"/>
        </w:trPr>
        <w:tc>
          <w:tcPr>
            <w:tcW w:type="dxa" w:w="252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Componente</w:t>
            </w:r>
          </w:p>
        </w:tc>
        <w:tc>
          <w:tcPr>
            <w:tcW w:type="dxa" w:w="684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Versión / configuración</w:t>
            </w:r>
          </w:p>
        </w:tc>
      </w:tr>
      <w:tr>
        <w:tc>
          <w:tcPr>
            <w:tcW w:type="dxa" w:w="25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Sistema operativo</w:t>
            </w:r>
          </w:p>
        </w:tc>
        <w:tc>
          <w:tcPr>
            <w:tcW w:type="dxa" w:w="68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Microsoft Windows NT 10.0.26200.0</w:t>
            </w:r>
          </w:p>
        </w:tc>
      </w:tr>
      <w:tr>
        <w:tc>
          <w:tcPr>
            <w:tcW w:type="dxa" w:w="25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Python</w:t>
            </w:r>
          </w:p>
        </w:tc>
        <w:tc>
          <w:tcPr>
            <w:tcW w:type="dxa" w:w="68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3.14.2</w:t>
            </w:r>
          </w:p>
        </w:tc>
      </w:tr>
      <w:tr>
        <w:tc>
          <w:tcPr>
            <w:tcW w:type="dxa" w:w="25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Selenium</w:t>
            </w:r>
          </w:p>
        </w:tc>
        <w:tc>
          <w:tcPr>
            <w:tcW w:type="dxa" w:w="68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4.45.0</w:t>
            </w:r>
          </w:p>
        </w:tc>
      </w:tr>
      <w:tr>
        <w:tc>
          <w:tcPr>
            <w:tcW w:type="dxa" w:w="25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Google Chrome</w:t>
            </w:r>
          </w:p>
        </w:tc>
        <w:tc>
          <w:tcPr>
            <w:tcW w:type="dxa" w:w="68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149.0.7827.197, modo headless</w:t>
            </w:r>
          </w:p>
        </w:tc>
      </w:tr>
      <w:tr>
        <w:tc>
          <w:tcPr>
            <w:tcW w:type="dxa" w:w="25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Backend</w:t>
            </w:r>
          </w:p>
        </w:tc>
        <w:tc>
          <w:tcPr>
            <w:tcW w:type="dxa" w:w="68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Servidor Python, http://127.0.0.1:8000</w:t>
            </w:r>
          </w:p>
        </w:tc>
      </w:tr>
      <w:tr>
        <w:tc>
          <w:tcPr>
            <w:tcW w:type="dxa" w:w="25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Frontend</w:t>
            </w:r>
          </w:p>
        </w:tc>
        <w:tc>
          <w:tcPr>
            <w:tcW w:type="dxa" w:w="68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Servidor HTTP, http://127.0.0.1:5500</w:t>
            </w:r>
          </w:p>
        </w:tc>
      </w:tr>
      <w:tr>
        <w:tc>
          <w:tcPr>
            <w:tcW w:type="dxa" w:w="25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Dataset</w:t>
            </w:r>
          </w:p>
        </w:tc>
        <w:tc>
          <w:tcPr>
            <w:tcW w:type="dxa" w:w="68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SUTRAN 2020-2021, 8,155 registros</w:t>
            </w:r>
          </w:p>
        </w:tc>
      </w:tr>
    </w:tbl>
    <w:p>
      <w:pPr>
        <w:spacing w:after="40"/>
      </w:pPr>
    </w:p>
    <w:p>
      <w:pPr>
        <w:pStyle w:val="Heading1"/>
      </w:pPr>
      <w:r>
        <w:t>3. Estrategia de pruebas</w:t>
      </w:r>
    </w:p>
    <w:p>
      <w:r>
        <w:t>Se aplicó una estrategia por niveles para detectar fallos cerca de su origen y, al mismo tiempo, comprobar los recorridos visibles para un usuario final.</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160"/>
        <w:gridCol w:w="1080"/>
        <w:gridCol w:w="6120"/>
      </w:tblGrid>
      <w:tr>
        <w:trPr>
          <w:tblHeader w:val="true"/>
        </w:trPr>
        <w:tc>
          <w:tcPr>
            <w:tcW w:type="dxa" w:w="216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Nivel</w:t>
            </w:r>
          </w:p>
        </w:tc>
        <w:tc>
          <w:tcPr>
            <w:tcW w:type="dxa" w:w="1080"/>
            <w:vAlign w:val="center"/>
            <w:tcMar>
              <w:top w:w="80" w:type="dxa"/>
              <w:start w:w="120" w:type="dxa"/>
              <w:bottom w:w="80" w:type="dxa"/>
              <w:end w:w="120" w:type="dxa"/>
            </w:tcMar>
            <w:shd w:fill="0B2545"/>
          </w:tcPr>
          <w:p>
            <w:pPr>
              <w:spacing w:before="0" w:after="0" w:line="252" w:lineRule="auto"/>
              <w:jc w:val="center"/>
            </w:pPr>
            <w:r>
              <w:rPr>
                <w:rFonts w:ascii="Calibri" w:hAnsi="Calibri"/>
                <w:b/>
                <w:color w:val="FFFFFF"/>
                <w:sz w:val="18"/>
              </w:rPr>
              <w:t>Cantidad</w:t>
            </w:r>
          </w:p>
        </w:tc>
        <w:tc>
          <w:tcPr>
            <w:tcW w:type="dxa" w:w="612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Propósito</w:t>
            </w:r>
          </w:p>
        </w:tc>
      </w:tr>
      <w:tr>
        <w:tc>
          <w:tcPr>
            <w:tcW w:type="dxa" w:w="21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Unitarias</w:t>
            </w:r>
          </w:p>
        </w:tc>
        <w:tc>
          <w:tcPr>
            <w:tcW w:type="dxa" w:w="10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6</w:t>
            </w:r>
          </w:p>
        </w:tc>
        <w:tc>
          <w:tcPr>
            <w:tcW w:type="dxa" w:w="61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Validar carga, normalización, filtros y KPI del servicio de datos.</w:t>
            </w:r>
          </w:p>
        </w:tc>
      </w:tr>
      <w:tr>
        <w:tc>
          <w:tcPr>
            <w:tcW w:type="dxa" w:w="21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Integración API</w:t>
            </w:r>
          </w:p>
        </w:tc>
        <w:tc>
          <w:tcPr>
            <w:tcW w:type="dxa" w:w="10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5</w:t>
            </w:r>
          </w:p>
        </w:tc>
        <w:tc>
          <w:tcPr>
            <w:tcW w:type="dxa" w:w="61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Comprobar contrato HTTP, opciones, filtros y validaciones.</w:t>
            </w:r>
          </w:p>
        </w:tc>
      </w:tr>
      <w:tr>
        <w:tc>
          <w:tcPr>
            <w:tcW w:type="dxa" w:w="21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Funcionales Selenium</w:t>
            </w:r>
          </w:p>
        </w:tc>
        <w:tc>
          <w:tcPr>
            <w:tcW w:type="dxa" w:w="10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6</w:t>
            </w:r>
          </w:p>
        </w:tc>
        <w:tc>
          <w:tcPr>
            <w:tcW w:type="dxa" w:w="612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Validar navegación, interfaz, mapa, tabla y exportación.</w:t>
            </w:r>
          </w:p>
        </w:tc>
      </w:tr>
    </w:tbl>
    <w:p>
      <w:pPr>
        <w:spacing w:after="40"/>
      </w:pPr>
    </w:p>
    <w:p>
      <w:r>
        <w:t>La batería completa contiene 17 casos y se ejecuta con un único comando reproducible. Las pruebas Selenium generan capturas PNG y verifican la descarga de un archivo Excel filtrado.</w:t>
      </w:r>
    </w:p>
    <w:p>
      <w:pPr>
        <w:pStyle w:val="Heading1"/>
      </w:pPr>
      <w:r>
        <w:t>4. Casos de prueba implementados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900"/>
        <w:gridCol w:w="1440"/>
        <w:gridCol w:w="5580"/>
        <w:gridCol w:w="1440"/>
      </w:tblGrid>
      <w:tr>
        <w:trPr>
          <w:tblHeader w:val="true"/>
        </w:trPr>
        <w:tc>
          <w:tcPr>
            <w:tcW w:type="dxa" w:w="900"/>
            <w:vAlign w:val="center"/>
            <w:tcMar>
              <w:top w:w="80" w:type="dxa"/>
              <w:start w:w="120" w:type="dxa"/>
              <w:bottom w:w="80" w:type="dxa"/>
              <w:end w:w="120" w:type="dxa"/>
            </w:tcMar>
            <w:shd w:fill="0B2545"/>
          </w:tcPr>
          <w:p>
            <w:pPr>
              <w:spacing w:before="0" w:after="0" w:line="252" w:lineRule="auto"/>
              <w:jc w:val="center"/>
            </w:pPr>
            <w:r>
              <w:rPr>
                <w:rFonts w:ascii="Calibri" w:hAnsi="Calibri"/>
                <w:b/>
                <w:color w:val="FFFFFF"/>
                <w:sz w:val="18"/>
              </w:rPr>
              <w:t>ID</w:t>
            </w:r>
          </w:p>
        </w:tc>
        <w:tc>
          <w:tcPr>
            <w:tcW w:type="dxa" w:w="1440"/>
            <w:vAlign w:val="center"/>
            <w:tcMar>
              <w:top w:w="80" w:type="dxa"/>
              <w:start w:w="120" w:type="dxa"/>
              <w:bottom w:w="80" w:type="dxa"/>
              <w:end w:w="120" w:type="dxa"/>
            </w:tcMar>
            <w:shd w:fill="0B2545"/>
          </w:tcPr>
          <w:p>
            <w:pPr>
              <w:spacing w:before="0" w:after="0" w:line="252" w:lineRule="auto"/>
              <w:jc w:val="center"/>
            </w:pPr>
            <w:r>
              <w:rPr>
                <w:rFonts w:ascii="Calibri" w:hAnsi="Calibri"/>
                <w:b/>
                <w:color w:val="FFFFFF"/>
                <w:sz w:val="18"/>
              </w:rPr>
              <w:t>Tipo</w:t>
            </w:r>
          </w:p>
        </w:tc>
        <w:tc>
          <w:tcPr>
            <w:tcW w:type="dxa" w:w="558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Escenario verificado</w:t>
            </w:r>
          </w:p>
        </w:tc>
        <w:tc>
          <w:tcPr>
            <w:tcW w:type="dxa" w:w="1440"/>
            <w:vAlign w:val="center"/>
            <w:tcMar>
              <w:top w:w="80" w:type="dxa"/>
              <w:start w:w="120" w:type="dxa"/>
              <w:bottom w:w="80" w:type="dxa"/>
              <w:end w:w="120" w:type="dxa"/>
            </w:tcMar>
            <w:shd w:fill="0B2545"/>
          </w:tcPr>
          <w:p>
            <w:pPr>
              <w:spacing w:before="0" w:after="0" w:line="252" w:lineRule="auto"/>
              <w:jc w:val="center"/>
            </w:pPr>
            <w:r>
              <w:rPr>
                <w:rFonts w:ascii="Calibri" w:hAnsi="Calibri"/>
                <w:b/>
                <w:color w:val="FFFFFF"/>
                <w:sz w:val="18"/>
              </w:rPr>
              <w:t>Resultado</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UT-01</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Unitaria</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Cargar exactamente 8,155 registros del CSV</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UT-02</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Unitaria</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Reconocer 25 departamentos e incluir Callao con 6 casos</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UT-03</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Unitaria</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Filtrar exclusivamente los registros de Callao</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UT-04</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Unitaria</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Combinar año 2021 y modalidad Choque</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UT-05</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Unitaria</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Mantener consistencia entre KPI y filas filtradas</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UT-06</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Unitaria</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Responder vacío ante un departamento inexistente</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API-01</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Integración</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Responder estado saludable en /api/health</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API-02</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Integración</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Exponer 25 departamentos en opciones</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API-03</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Integración</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Devolver resumen de Callao con 6 accidentes</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API-04</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Integración</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Devolver 6 registros coherentes de Callao</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API-05</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Integración</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Rechazar el año inválido 2019 con HTTP 422</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E2E-01</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Funcional</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Cargar la portada y los indicadores reales</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E2E-02</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Funcional</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Navegar desde la portada hasta el dashboard</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E2E-03</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Funcional</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Filtrar Callao y colorear una sola geometría</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E2E-04</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Funcional</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Mostrar 6 filas de Callao en la tabla</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E2E-05</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Funcional</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Combinar filtros de año y modalidad</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r>
        <w:tc>
          <w:tcPr>
            <w:tcW w:type="dxa" w:w="90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E2E-06</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Funcional</w:t>
            </w:r>
          </w:p>
        </w:tc>
        <w:tc>
          <w:tcPr>
            <w:tcW w:type="dxa" w:w="55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Previsualizar y descargar el Excel filtrado</w:t>
            </w:r>
          </w:p>
        </w:tc>
        <w:tc>
          <w:tcPr>
            <w:tcW w:type="dxa" w:w="144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Aprobada</w:t>
            </w:r>
          </w:p>
        </w:tc>
      </w:tr>
    </w:tbl>
    <w:p>
      <w:pPr>
        <w:spacing w:after="40"/>
      </w:pPr>
    </w:p>
    <w:p>
      <w:pPr>
        <w:pStyle w:val="Heading1"/>
      </w:pPr>
      <w:r>
        <w:t>5. Resultados obtenidos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4680"/>
        <w:gridCol w:w="4680"/>
      </w:tblGrid>
      <w:tr>
        <w:trPr>
          <w:tblHeader w:val="true"/>
        </w:trPr>
        <w:tc>
          <w:tcPr>
            <w:tcW w:type="dxa" w:w="468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Indicador</w:t>
            </w:r>
          </w:p>
        </w:tc>
        <w:tc>
          <w:tcPr>
            <w:tcW w:type="dxa" w:w="4680"/>
            <w:vAlign w:val="center"/>
            <w:tcMar>
              <w:top w:w="80" w:type="dxa"/>
              <w:start w:w="120" w:type="dxa"/>
              <w:bottom w:w="80" w:type="dxa"/>
              <w:end w:w="120" w:type="dxa"/>
            </w:tcMar>
            <w:shd w:fill="0B2545"/>
          </w:tcPr>
          <w:p>
            <w:pPr>
              <w:spacing w:before="0" w:after="0" w:line="252" w:lineRule="auto"/>
              <w:jc w:val="center"/>
            </w:pPr>
            <w:r>
              <w:rPr>
                <w:rFonts w:ascii="Calibri" w:hAnsi="Calibri"/>
                <w:b/>
                <w:color w:val="FFFFFF"/>
                <w:sz w:val="18"/>
              </w:rPr>
              <w:t>Resultado</w:t>
            </w:r>
          </w:p>
        </w:tc>
      </w:tr>
      <w:tr>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ejecutadas</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17</w:t>
            </w:r>
          </w:p>
        </w:tc>
      </w:tr>
      <w:tr>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aprobadas</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17</w:t>
            </w:r>
          </w:p>
        </w:tc>
      </w:tr>
      <w:tr>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fallidas</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0</w:t>
            </w:r>
          </w:p>
        </w:tc>
      </w:tr>
      <w:tr>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Errores de ejecución</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0</w:t>
            </w:r>
          </w:p>
        </w:tc>
      </w:tr>
      <w:tr>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omitidas</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0</w:t>
            </w:r>
          </w:p>
        </w:tc>
      </w:tr>
      <w:tr>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Tasa de éxito</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100%</w:t>
            </w:r>
          </w:p>
        </w:tc>
      </w:tr>
      <w:tr>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Duración total</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13.758 segundos</w:t>
            </w:r>
          </w:p>
        </w:tc>
      </w:tr>
      <w:tr>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Capturas generadas</w:t>
            </w:r>
          </w:p>
        </w:tc>
        <w:tc>
          <w:tcPr>
            <w:tcW w:type="dxa" w:w="468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5</w:t>
            </w:r>
          </w:p>
        </w:tc>
      </w:tr>
    </w:tbl>
    <w:p>
      <w:pPr>
        <w:spacing w:after="40"/>
      </w:pPr>
    </w:p>
    <w:p>
      <w:r>
        <w:t>La ejecución final fue satisfactoria: no se detectaron fallos funcionales en los escenarios cubiertos. La API mantuvo coherencia con el dataset y la interfaz reflejó correctamente los filtros, incluido Callao.</w:t>
      </w:r>
    </w:p>
    <w:p>
      <w:pPr>
        <w:pStyle w:val="Heading1"/>
      </w:pPr>
      <w:r>
        <w:t>6. Evaluación de calidad</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980"/>
        <w:gridCol w:w="4680"/>
        <w:gridCol w:w="2700"/>
      </w:tblGrid>
      <w:tr>
        <w:trPr>
          <w:tblHeader w:val="true"/>
        </w:trPr>
        <w:tc>
          <w:tcPr>
            <w:tcW w:type="dxa" w:w="198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Característica</w:t>
            </w:r>
          </w:p>
        </w:tc>
        <w:tc>
          <w:tcPr>
            <w:tcW w:type="dxa" w:w="468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Evidencia observada</w:t>
            </w:r>
          </w:p>
        </w:tc>
        <w:tc>
          <w:tcPr>
            <w:tcW w:type="dxa" w:w="270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Evaluación</w:t>
            </w:r>
          </w:p>
        </w:tc>
      </w:tr>
      <w:tr>
        <w:tc>
          <w:tcPr>
            <w:tcW w:type="dxa" w:w="19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Adecuación funcional</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Filtros, KPI, mapa, tabla y exportación aprobados.</w:t>
            </w:r>
          </w:p>
        </w:tc>
        <w:tc>
          <w:tcPr>
            <w:tcW w:type="dxa" w:w="270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Satisfactoria</w:t>
            </w:r>
          </w:p>
        </w:tc>
      </w:tr>
      <w:tr>
        <w:tc>
          <w:tcPr>
            <w:tcW w:type="dxa" w:w="19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Fiabilidad</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17 casos repetibles sin fallos en la ejecución final.</w:t>
            </w:r>
          </w:p>
        </w:tc>
        <w:tc>
          <w:tcPr>
            <w:tcW w:type="dxa" w:w="270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Satisfactoria en entorno local</w:t>
            </w:r>
          </w:p>
        </w:tc>
      </w:tr>
      <w:tr>
        <w:tc>
          <w:tcPr>
            <w:tcW w:type="dxa" w:w="19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Compatibilidad</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ejecutadas en Google Chrome 149.</w:t>
            </w:r>
          </w:p>
        </w:tc>
        <w:tc>
          <w:tcPr>
            <w:tcW w:type="dxa" w:w="270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Parcial: falta Edge/Firefox</w:t>
            </w:r>
          </w:p>
        </w:tc>
      </w:tr>
      <w:tr>
        <w:tc>
          <w:tcPr>
            <w:tcW w:type="dxa" w:w="19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Usabilidad</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Navegación y respuesta visual verificadas por recorridos E2E.</w:t>
            </w:r>
          </w:p>
        </w:tc>
        <w:tc>
          <w:tcPr>
            <w:tcW w:type="dxa" w:w="270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Satisfactoria en flujos cubiertos</w:t>
            </w:r>
          </w:p>
        </w:tc>
      </w:tr>
      <w:tr>
        <w:tc>
          <w:tcPr>
            <w:tcW w:type="dxa" w:w="19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Mantenibilidad</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separadas por unidad, API y E2E.</w:t>
            </w:r>
          </w:p>
        </w:tc>
        <w:tc>
          <w:tcPr>
            <w:tcW w:type="dxa" w:w="270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Base adecuada para regresión</w:t>
            </w:r>
          </w:p>
        </w:tc>
      </w:tr>
      <w:tr>
        <w:tc>
          <w:tcPr>
            <w:tcW w:type="dxa" w:w="19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Eficiencia</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La suite completa tardó 13.758 segundos.</w:t>
            </w:r>
          </w:p>
        </w:tc>
        <w:tc>
          <w:tcPr>
            <w:tcW w:type="dxa" w:w="270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Sin prueba formal de carga</w:t>
            </w:r>
          </w:p>
        </w:tc>
      </w:tr>
      <w:tr>
        <w:tc>
          <w:tcPr>
            <w:tcW w:type="dxa" w:w="19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Seguridad</w:t>
            </w:r>
          </w:p>
        </w:tc>
        <w:tc>
          <w:tcPr>
            <w:tcW w:type="dxa" w:w="46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Validación de año inválido comprobada.</w:t>
            </w:r>
          </w:p>
        </w:tc>
        <w:tc>
          <w:tcPr>
            <w:tcW w:type="dxa" w:w="270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Evaluación limitada</w:t>
            </w:r>
          </w:p>
        </w:tc>
      </w:tr>
    </w:tbl>
    <w:p>
      <w:pPr>
        <w:spacing w:after="40"/>
      </w:pPr>
    </w:p>
    <w:p>
      <w:pPr>
        <w:pStyle w:val="Heading1"/>
      </w:pPr>
      <w:r>
        <w:t>7. Análisis y diagnóstico</w:t>
      </w:r>
    </w:p>
    <w:p>
      <w:pPr>
        <w:spacing w:after="120"/>
      </w:pPr>
      <w:r>
        <w:rPr>
          <w:rFonts w:ascii="Calibri" w:hAnsi="Calibri"/>
          <w:b/>
          <w:color w:val="0B2545"/>
          <w:sz w:val="22"/>
        </w:rPr>
        <w:t xml:space="preserve">Diagnóstico principal: </w:t>
      </w:r>
      <w:r>
        <w:rPr>
          <w:rFonts w:ascii="Calibri" w:hAnsi="Calibri"/>
          <w:color w:val="111111"/>
          <w:sz w:val="22"/>
        </w:rPr>
        <w:t>La plataforma es funcionalmente estable dentro del alcance evaluado. Los resultados del frontend, la API y el servicio de datos son consistentes entre sí.</w:t>
      </w:r>
    </w:p>
    <w:p>
      <w:pPr>
        <w:spacing w:after="120"/>
      </w:pPr>
      <w:r>
        <w:rPr>
          <w:rFonts w:ascii="Calibri" w:hAnsi="Calibri"/>
          <w:b/>
          <w:color w:val="0B2545"/>
          <w:sz w:val="22"/>
        </w:rPr>
        <w:t xml:space="preserve">Incidencia durante la preparación: </w:t>
      </w:r>
      <w:r>
        <w:rPr>
          <w:rFonts w:ascii="Calibri" w:hAnsi="Calibri"/>
          <w:color w:val="111111"/>
          <w:sz w:val="22"/>
        </w:rPr>
        <w:t>La primera ejecución obtuvo 16 de 17 pruebas aprobadas porque el script interpretó el valor localizado 4,145 con una regla numérica incorrecta. Se clasificó como defecto del código de prueba, no del producto; se corrigió la sincronización y la suite final alcanzó 100% de éxito.</w:t>
      </w:r>
    </w:p>
    <w:p>
      <w:pPr>
        <w:spacing w:after="120"/>
      </w:pPr>
      <w:r>
        <w:rPr>
          <w:rFonts w:ascii="Calibri" w:hAnsi="Calibri"/>
          <w:b/>
          <w:color w:val="0B2545"/>
          <w:sz w:val="22"/>
        </w:rPr>
        <w:t xml:space="preserve">Riesgo externo: </w:t>
      </w:r>
      <w:r>
        <w:rPr>
          <w:rFonts w:ascii="Calibri" w:hAnsi="Calibri"/>
          <w:color w:val="111111"/>
          <w:sz w:val="22"/>
        </w:rPr>
        <w:t>Los mapas y bibliotecas visuales dependen de recursos remotos. Una interrupción de Internet podría afectar pruebas y visualización aun cuando el backend local funcione.</w:t>
      </w:r>
    </w:p>
    <w:p>
      <w:pPr>
        <w:spacing w:after="120"/>
      </w:pPr>
      <w:r>
        <w:rPr>
          <w:rFonts w:ascii="Calibri" w:hAnsi="Calibri"/>
          <w:b/>
          <w:color w:val="0B2545"/>
          <w:sz w:val="22"/>
        </w:rPr>
        <w:t xml:space="preserve">Cobertura pendiente: </w:t>
      </w:r>
      <w:r>
        <w:rPr>
          <w:rFonts w:ascii="Calibri" w:hAnsi="Calibri"/>
          <w:color w:val="111111"/>
          <w:sz w:val="22"/>
        </w:rPr>
        <w:t>No se realizaron pruebas de carga, penetración, accesibilidad, recuperación ante fallos ni ejecución cruzada completa en otros navegadores.</w:t>
      </w:r>
    </w:p>
    <w:p>
      <w:pPr>
        <w:pStyle w:val="Heading1"/>
      </w:pPr>
      <w:r>
        <w:t>8. Recomendaciones</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260"/>
        <w:gridCol w:w="4860"/>
        <w:gridCol w:w="3240"/>
      </w:tblGrid>
      <w:tr>
        <w:trPr>
          <w:tblHeader w:val="true"/>
        </w:trPr>
        <w:tc>
          <w:tcPr>
            <w:tcW w:type="dxa" w:w="1260"/>
            <w:vAlign w:val="center"/>
            <w:tcMar>
              <w:top w:w="80" w:type="dxa"/>
              <w:start w:w="120" w:type="dxa"/>
              <w:bottom w:w="80" w:type="dxa"/>
              <w:end w:w="120" w:type="dxa"/>
            </w:tcMar>
            <w:shd w:fill="0B2545"/>
          </w:tcPr>
          <w:p>
            <w:pPr>
              <w:spacing w:before="0" w:after="0" w:line="252" w:lineRule="auto"/>
              <w:jc w:val="center"/>
            </w:pPr>
            <w:r>
              <w:rPr>
                <w:rFonts w:ascii="Calibri" w:hAnsi="Calibri"/>
                <w:b/>
                <w:color w:val="FFFFFF"/>
                <w:sz w:val="18"/>
              </w:rPr>
              <w:t>Prioridad</w:t>
            </w:r>
          </w:p>
        </w:tc>
        <w:tc>
          <w:tcPr>
            <w:tcW w:type="dxa" w:w="486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Acción recomendada</w:t>
            </w:r>
          </w:p>
        </w:tc>
        <w:tc>
          <w:tcPr>
            <w:tcW w:type="dxa" w:w="324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Beneficio esperado</w:t>
            </w:r>
          </w:p>
        </w:tc>
      </w:tr>
      <w:tr>
        <w:tc>
          <w:tcPr>
            <w:tcW w:type="dxa" w:w="126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Alta</w:t>
            </w:r>
          </w:p>
        </w:tc>
        <w:tc>
          <w:tcPr>
            <w:tcW w:type="dxa" w:w="48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Ejecutar la suite en cada cambio mediante integración continua.</w:t>
            </w:r>
          </w:p>
        </w:tc>
        <w:tc>
          <w:tcPr>
            <w:tcW w:type="dxa" w:w="32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Evitar regresiones.</w:t>
            </w:r>
          </w:p>
        </w:tc>
      </w:tr>
      <w:tr>
        <w:tc>
          <w:tcPr>
            <w:tcW w:type="dxa" w:w="126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Alta</w:t>
            </w:r>
          </w:p>
        </w:tc>
        <w:tc>
          <w:tcPr>
            <w:tcW w:type="dxa" w:w="48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Incorporar Edge y Firefox a las pruebas E2E.</w:t>
            </w:r>
          </w:p>
        </w:tc>
        <w:tc>
          <w:tcPr>
            <w:tcW w:type="dxa" w:w="32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Ampliar compatibilidad.</w:t>
            </w:r>
          </w:p>
        </w:tc>
      </w:tr>
      <w:tr>
        <w:tc>
          <w:tcPr>
            <w:tcW w:type="dxa" w:w="126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Media</w:t>
            </w:r>
          </w:p>
        </w:tc>
        <w:tc>
          <w:tcPr>
            <w:tcW w:type="dxa" w:w="48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Alojar localmente una copia versionada del GeoJSON.</w:t>
            </w:r>
          </w:p>
        </w:tc>
        <w:tc>
          <w:tcPr>
            <w:tcW w:type="dxa" w:w="32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Reducir dependencia externa.</w:t>
            </w:r>
          </w:p>
        </w:tc>
      </w:tr>
      <w:tr>
        <w:tc>
          <w:tcPr>
            <w:tcW w:type="dxa" w:w="126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Media</w:t>
            </w:r>
          </w:p>
        </w:tc>
        <w:tc>
          <w:tcPr>
            <w:tcW w:type="dxa" w:w="48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Agregar pruebas de carga a los endpoints de consulta.</w:t>
            </w:r>
          </w:p>
        </w:tc>
        <w:tc>
          <w:tcPr>
            <w:tcW w:type="dxa" w:w="32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Medir eficiencia y capacidad.</w:t>
            </w:r>
          </w:p>
        </w:tc>
      </w:tr>
      <w:tr>
        <w:tc>
          <w:tcPr>
            <w:tcW w:type="dxa" w:w="126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Media</w:t>
            </w:r>
          </w:p>
        </w:tc>
        <w:tc>
          <w:tcPr>
            <w:tcW w:type="dxa" w:w="48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Añadir revisión de accesibilidad WCAG.</w:t>
            </w:r>
          </w:p>
        </w:tc>
        <w:tc>
          <w:tcPr>
            <w:tcW w:type="dxa" w:w="32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Mejorar inclusión y usabilidad.</w:t>
            </w:r>
          </w:p>
        </w:tc>
      </w:tr>
      <w:tr>
        <w:tc>
          <w:tcPr>
            <w:tcW w:type="dxa" w:w="1260"/>
            <w:vAlign w:val="center"/>
            <w:tcMar>
              <w:top w:w="80" w:type="dxa"/>
              <w:start w:w="120" w:type="dxa"/>
              <w:bottom w:w="80" w:type="dxa"/>
              <w:end w:w="120" w:type="dxa"/>
            </w:tcMar>
          </w:tcPr>
          <w:p>
            <w:pPr>
              <w:spacing w:before="0" w:after="0" w:line="252" w:lineRule="auto"/>
              <w:jc w:val="center"/>
            </w:pPr>
            <w:r>
              <w:rPr>
                <w:rFonts w:ascii="Calibri" w:hAnsi="Calibri"/>
                <w:b w:val="0"/>
                <w:color w:val="111111"/>
                <w:sz w:val="18"/>
              </w:rPr>
              <w:t>Baja</w:t>
            </w:r>
          </w:p>
        </w:tc>
        <w:tc>
          <w:tcPr>
            <w:tcW w:type="dxa" w:w="486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Ampliar validaciones negativas de parámetros y exportación.</w:t>
            </w:r>
          </w:p>
        </w:tc>
        <w:tc>
          <w:tcPr>
            <w:tcW w:type="dxa" w:w="324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Fortalecer robustez.</w:t>
            </w:r>
          </w:p>
        </w:tc>
      </w:tr>
    </w:tbl>
    <w:p>
      <w:pPr>
        <w:spacing w:after="40"/>
      </w:pPr>
    </w:p>
    <w:p>
      <w:pPr>
        <w:pStyle w:val="Heading1"/>
      </w:pPr>
      <w:r>
        <w:t>9. Evidencias de ejecución</w:t>
      </w:r>
    </w:p>
    <w:p>
      <w:r>
        <w:t>Las siguientes capturas fueron generadas automáticamente por Selenium durante la ejecución satisfactoria de la batería de pruebas.</w:t>
      </w:r>
    </w:p>
    <w:p>
      <w:pPr>
        <w:keepNext/>
        <w:spacing w:after="0"/>
        <w:jc w:val="center"/>
      </w:pPr>
      <w:r>
        <w:drawing>
          <wp:inline xmlns:a="http://schemas.openxmlformats.org/drawingml/2006/main" xmlns:pic="http://schemas.openxmlformats.org/drawingml/2006/picture">
            <wp:extent cx="5715000" cy="3808662"/>
            <wp:docPr id="1" name="Picture 1"/>
            <wp:cNvGraphicFramePr>
              <a:graphicFrameLocks noChangeAspect="1"/>
            </wp:cNvGraphicFramePr>
            <a:graphic>
              <a:graphicData uri="http://schemas.openxmlformats.org/drawingml/2006/picture">
                <pic:pic>
                  <pic:nvPicPr>
                    <pic:cNvPr id="0" name="01_portada.png"/>
                    <pic:cNvPicPr/>
                  </pic:nvPicPr>
                  <pic:blipFill>
                    <a:blip r:embed="rId11"/>
                    <a:stretch>
                      <a:fillRect/>
                    </a:stretch>
                  </pic:blipFill>
                  <pic:spPr>
                    <a:xfrm>
                      <a:off x="0" y="0"/>
                      <a:ext cx="5715000" cy="3808662"/>
                    </a:xfrm>
                    <a:prstGeom prst="rect"/>
                  </pic:spPr>
                </pic:pic>
              </a:graphicData>
            </a:graphic>
          </wp:inline>
        </w:drawing>
      </w:r>
    </w:p>
    <w:p>
      <w:pPr>
        <w:pStyle w:val="Caption"/>
        <w:keepNext w:val="0"/>
      </w:pPr>
      <w:r>
        <w:t>Figura 1. Página principal con 25 departamentos y 8,155 accidentes.</w:t>
      </w:r>
    </w:p>
    <w:p>
      <w:r>
        <w:br w:type="page"/>
      </w:r>
    </w:p>
    <w:p>
      <w:pPr>
        <w:keepNext/>
        <w:spacing w:after="0"/>
        <w:jc w:val="center"/>
      </w:pPr>
      <w:r>
        <w:drawing>
          <wp:inline xmlns:a="http://schemas.openxmlformats.org/drawingml/2006/main" xmlns:pic="http://schemas.openxmlformats.org/drawingml/2006/picture">
            <wp:extent cx="5715000" cy="3808662"/>
            <wp:docPr id="2" name="Picture 2"/>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715000" cy="3808662"/>
                    </a:xfrm>
                    <a:prstGeom prst="rect"/>
                  </pic:spPr>
                </pic:pic>
              </a:graphicData>
            </a:graphic>
          </wp:inline>
        </w:drawing>
      </w:r>
    </w:p>
    <w:p>
      <w:pPr>
        <w:pStyle w:val="Caption"/>
        <w:keepNext w:val="0"/>
      </w:pPr>
      <w:r>
        <w:t>Figura 2. Dashboard analítico con KPI, gráficos y mapa de calor temporal.</w:t>
      </w:r>
    </w:p>
    <w:p>
      <w:r>
        <w:br w:type="page"/>
      </w:r>
    </w:p>
    <w:p>
      <w:pPr>
        <w:keepNext/>
        <w:spacing w:after="0"/>
        <w:jc w:val="center"/>
      </w:pPr>
      <w:r>
        <w:drawing>
          <wp:inline xmlns:a="http://schemas.openxmlformats.org/drawingml/2006/main" xmlns:pic="http://schemas.openxmlformats.org/drawingml/2006/picture">
            <wp:extent cx="5715000" cy="2608673"/>
            <wp:docPr id="3" name="Picture 3"/>
            <wp:cNvGraphicFramePr>
              <a:graphicFrameLocks noChangeAspect="1"/>
            </wp:cNvGraphicFramePr>
            <a:graphic>
              <a:graphicData uri="http://schemas.openxmlformats.org/drawingml/2006/picture">
                <pic:pic>
                  <pic:nvPicPr>
                    <pic:cNvPr id="0" name="03_callao_mapa.png"/>
                    <pic:cNvPicPr/>
                  </pic:nvPicPr>
                  <pic:blipFill>
                    <a:blip r:embed="rId13"/>
                    <a:stretch>
                      <a:fillRect/>
                    </a:stretch>
                  </pic:blipFill>
                  <pic:spPr>
                    <a:xfrm>
                      <a:off x="0" y="0"/>
                      <a:ext cx="5715000" cy="2608673"/>
                    </a:xfrm>
                    <a:prstGeom prst="rect"/>
                  </pic:spPr>
                </pic:pic>
              </a:graphicData>
            </a:graphic>
          </wp:inline>
        </w:drawing>
      </w:r>
    </w:p>
    <w:p>
      <w:pPr>
        <w:pStyle w:val="Caption"/>
        <w:keepNext w:val="0"/>
      </w:pPr>
      <w:r>
        <w:t>Figura 3. Filtro Callao: una sola geometría resaltada y 6 registros.</w:t>
      </w:r>
    </w:p>
    <w:p>
      <w:r>
        <w:br w:type="page"/>
      </w:r>
    </w:p>
    <w:p>
      <w:pPr>
        <w:keepNext/>
        <w:spacing w:after="0"/>
        <w:jc w:val="center"/>
      </w:pPr>
      <w:r>
        <w:drawing>
          <wp:inline xmlns:a="http://schemas.openxmlformats.org/drawingml/2006/main" xmlns:pic="http://schemas.openxmlformats.org/drawingml/2006/picture">
            <wp:extent cx="5715000" cy="1605337"/>
            <wp:docPr id="4" name="Picture 4"/>
            <wp:cNvGraphicFramePr>
              <a:graphicFrameLocks noChangeAspect="1"/>
            </wp:cNvGraphicFramePr>
            <a:graphic>
              <a:graphicData uri="http://schemas.openxmlformats.org/drawingml/2006/picture">
                <pic:pic>
                  <pic:nvPicPr>
                    <pic:cNvPr id="0" name="04_callao_tabla.png"/>
                    <pic:cNvPicPr/>
                  </pic:nvPicPr>
                  <pic:blipFill>
                    <a:blip r:embed="rId14"/>
                    <a:stretch>
                      <a:fillRect/>
                    </a:stretch>
                  </pic:blipFill>
                  <pic:spPr>
                    <a:xfrm>
                      <a:off x="0" y="0"/>
                      <a:ext cx="5715000" cy="1605337"/>
                    </a:xfrm>
                    <a:prstGeom prst="rect"/>
                  </pic:spPr>
                </pic:pic>
              </a:graphicData>
            </a:graphic>
          </wp:inline>
        </w:drawing>
      </w:r>
    </w:p>
    <w:p>
      <w:pPr>
        <w:pStyle w:val="Caption"/>
        <w:keepNext w:val="0"/>
      </w:pPr>
      <w:r>
        <w:t>Figura 4. Tabla de datos con los 6 accidentes correspondientes a Callao.</w:t>
      </w:r>
    </w:p>
    <w:p>
      <w:r>
        <w:br w:type="page"/>
      </w:r>
    </w:p>
    <w:p>
      <w:pPr>
        <w:keepNext/>
        <w:spacing w:after="0"/>
        <w:jc w:val="center"/>
      </w:pPr>
      <w:r>
        <w:drawing>
          <wp:inline xmlns:a="http://schemas.openxmlformats.org/drawingml/2006/main" xmlns:pic="http://schemas.openxmlformats.org/drawingml/2006/picture">
            <wp:extent cx="5715000" cy="1806004"/>
            <wp:docPr id="5" name="Picture 5"/>
            <wp:cNvGraphicFramePr>
              <a:graphicFrameLocks noChangeAspect="1"/>
            </wp:cNvGraphicFramePr>
            <a:graphic>
              <a:graphicData uri="http://schemas.openxmlformats.org/drawingml/2006/picture">
                <pic:pic>
                  <pic:nvPicPr>
                    <pic:cNvPr id="0" name="05_callao_reporte.png"/>
                    <pic:cNvPicPr/>
                  </pic:nvPicPr>
                  <pic:blipFill>
                    <a:blip r:embed="rId15"/>
                    <a:stretch>
                      <a:fillRect/>
                    </a:stretch>
                  </pic:blipFill>
                  <pic:spPr>
                    <a:xfrm>
                      <a:off x="0" y="0"/>
                      <a:ext cx="5715000" cy="1806004"/>
                    </a:xfrm>
                    <a:prstGeom prst="rect"/>
                  </pic:spPr>
                </pic:pic>
              </a:graphicData>
            </a:graphic>
          </wp:inline>
        </w:drawing>
      </w:r>
    </w:p>
    <w:p>
      <w:pPr>
        <w:pStyle w:val="Caption"/>
        <w:keepNext w:val="0"/>
      </w:pPr>
      <w:r>
        <w:t>Figura 5. Previsualización del reporte Excel filtrado para Callao.</w:t>
      </w:r>
    </w:p>
    <w:p>
      <w:r>
        <w:br w:type="page"/>
      </w:r>
    </w:p>
    <w:p>
      <w:pPr>
        <w:pStyle w:val="Heading1"/>
      </w:pPr>
      <w:r>
        <w:t>10. Reproducción de la práctica</w:t>
      </w:r>
    </w:p>
    <w:p>
      <w:r>
        <w:t>Con el backend y el frontend activos, la batería completa se ejecuta desde la raíz del proyecto con el siguiente comando:</w:t>
      </w:r>
    </w:p>
    <w:p>
      <w:pPr>
        <w:spacing w:before="80" w:after="160"/>
        <w:ind w:left="360" w:right="360"/>
        <w:shd w:fill="F2F4F7"/>
      </w:pPr>
      <w:r>
        <w:rPr>
          <w:rFonts w:ascii="Consolas" w:hAnsi="Consolas"/>
          <w:b/>
          <w:color w:val="0B2545"/>
          <w:sz w:val="20"/>
        </w:rPr>
        <w:t>python tests\run_activity6.py</w:t>
      </w:r>
    </w:p>
    <w:tbl>
      <w:tblPr>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880"/>
        <w:gridCol w:w="6480"/>
      </w:tblGrid>
      <w:tr>
        <w:trPr>
          <w:tblHeader w:val="true"/>
        </w:trPr>
        <w:tc>
          <w:tcPr>
            <w:tcW w:type="dxa" w:w="288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Artefacto</w:t>
            </w:r>
          </w:p>
        </w:tc>
        <w:tc>
          <w:tcPr>
            <w:tcW w:type="dxa" w:w="6480"/>
            <w:vAlign w:val="center"/>
            <w:tcMar>
              <w:top w:w="80" w:type="dxa"/>
              <w:start w:w="120" w:type="dxa"/>
              <w:bottom w:w="80" w:type="dxa"/>
              <w:end w:w="120" w:type="dxa"/>
            </w:tcMar>
            <w:shd w:fill="0B2545"/>
          </w:tcPr>
          <w:p>
            <w:pPr>
              <w:spacing w:before="0" w:after="0" w:line="252" w:lineRule="auto"/>
              <w:jc w:val="left"/>
            </w:pPr>
            <w:r>
              <w:rPr>
                <w:rFonts w:ascii="Calibri" w:hAnsi="Calibri"/>
                <w:b/>
                <w:color w:val="FFFFFF"/>
                <w:sz w:val="18"/>
              </w:rPr>
              <w:t>Ubicación</w:t>
            </w:r>
          </w:p>
        </w:tc>
      </w:tr>
      <w:tr>
        <w:tc>
          <w:tcPr>
            <w:tcW w:type="dxa" w:w="28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unitarias</w:t>
            </w:r>
          </w:p>
        </w:tc>
        <w:tc>
          <w:tcPr>
            <w:tcW w:type="dxa" w:w="64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tests/test_data_service.py</w:t>
            </w:r>
          </w:p>
        </w:tc>
      </w:tr>
      <w:tr>
        <w:tc>
          <w:tcPr>
            <w:tcW w:type="dxa" w:w="28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de API</w:t>
            </w:r>
          </w:p>
        </w:tc>
        <w:tc>
          <w:tcPr>
            <w:tcW w:type="dxa" w:w="64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tests/test_api.py</w:t>
            </w:r>
          </w:p>
        </w:tc>
      </w:tr>
      <w:tr>
        <w:tc>
          <w:tcPr>
            <w:tcW w:type="dxa" w:w="28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Pruebas Selenium</w:t>
            </w:r>
          </w:p>
        </w:tc>
        <w:tc>
          <w:tcPr>
            <w:tcW w:type="dxa" w:w="64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tests/test_selenium.py</w:t>
            </w:r>
          </w:p>
        </w:tc>
      </w:tr>
      <w:tr>
        <w:tc>
          <w:tcPr>
            <w:tcW w:type="dxa" w:w="28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Ejecutor y resultados</w:t>
            </w:r>
          </w:p>
        </w:tc>
        <w:tc>
          <w:tcPr>
            <w:tcW w:type="dxa" w:w="64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tests/run_activity6.py</w:t>
            </w:r>
          </w:p>
        </w:tc>
      </w:tr>
      <w:tr>
        <w:tc>
          <w:tcPr>
            <w:tcW w:type="dxa" w:w="28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Evidencias</w:t>
            </w:r>
          </w:p>
        </w:tc>
        <w:tc>
          <w:tcPr>
            <w:tcW w:type="dxa" w:w="64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evidencias/actividad_6/</w:t>
            </w:r>
          </w:p>
        </w:tc>
      </w:tr>
      <w:tr>
        <w:tc>
          <w:tcPr>
            <w:tcW w:type="dxa" w:w="28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Dependencias</w:t>
            </w:r>
          </w:p>
        </w:tc>
        <w:tc>
          <w:tcPr>
            <w:tcW w:type="dxa" w:w="6480"/>
            <w:vAlign w:val="center"/>
            <w:tcMar>
              <w:top w:w="80" w:type="dxa"/>
              <w:start w:w="120" w:type="dxa"/>
              <w:bottom w:w="80" w:type="dxa"/>
              <w:end w:w="120" w:type="dxa"/>
            </w:tcMar>
          </w:tcPr>
          <w:p>
            <w:pPr>
              <w:spacing w:before="0" w:after="0" w:line="252" w:lineRule="auto"/>
              <w:jc w:val="left"/>
            </w:pPr>
            <w:r>
              <w:rPr>
                <w:rFonts w:ascii="Calibri" w:hAnsi="Calibri"/>
                <w:b w:val="0"/>
                <w:color w:val="111111"/>
                <w:sz w:val="18"/>
              </w:rPr>
              <w:t>requirements-test.txt</w:t>
            </w:r>
          </w:p>
        </w:tc>
      </w:tr>
    </w:tbl>
    <w:p>
      <w:pPr>
        <w:spacing w:after="40"/>
      </w:pPr>
    </w:p>
    <w:p>
      <w:pPr>
        <w:pStyle w:val="Heading1"/>
      </w:pPr>
      <w:r>
        <w:t>11. Conclusiones</w:t>
      </w:r>
    </w:p>
    <w:p>
      <w:r>
        <w:t>La instalación de Selenium y la implementación de pruebas en tres niveles permitieron evaluar el comportamiento del proyecto con evidencia objetiva y repetible. La ejecución final alcanzó 17 de 17 pruebas aprobadas, sin fallos funcionales en el alcance definido.</w:t>
      </w:r>
    </w:p>
    <w:p>
      <w:r>
        <w:t>El diagnóstico es favorable para una presentación académica y una demostración local. La siguiente etapa de madurez debe ampliar la cobertura a compatibilidad cruzada, rendimiento, accesibilidad, seguridad e integración continua.</w:t>
      </w:r>
    </w:p>
    <w:p>
      <w:pPr>
        <w:pStyle w:val="Heading1"/>
      </w:pPr>
      <w:r>
        <w:t>12. Referencias</w:t>
      </w:r>
    </w:p>
    <w:p>
      <w:pPr>
        <w:spacing w:after="100"/>
      </w:pPr>
      <w:hyperlink r:id="rId16">
        <w:r>
          <w:rPr>
            <w:color w:val="2E74B5"/>
            <w:u w:val="single"/>
          </w:rPr>
          <w:t>Selenium WebDriver - Getting Started</w:t>
        </w:r>
      </w:hyperlink>
    </w:p>
    <w:p>
      <w:pPr>
        <w:spacing w:after="100"/>
      </w:pPr>
      <w:hyperlink r:id="rId17">
        <w:r>
          <w:rPr>
            <w:color w:val="2E74B5"/>
            <w:u w:val="single"/>
          </w:rPr>
          <w:t>Selenium Python API 4.45.0</w:t>
        </w:r>
      </w:hyperlink>
    </w:p>
    <w:p>
      <w:pPr>
        <w:spacing w:after="100"/>
      </w:pPr>
      <w:hyperlink r:id="rId18">
        <w:r>
          <w:rPr>
            <w:color w:val="2E74B5"/>
            <w:u w:val="single"/>
          </w:rPr>
          <w:t>ISO/IEC 25010:2023 - Product quality model</w:t>
        </w:r>
      </w:hyperlink>
    </w:p>
    <w:p>
      <w:pPr>
        <w:spacing w:after="100"/>
      </w:pPr>
      <w:hyperlink r:id="rId19">
        <w:r>
          <w:rPr>
            <w:color w:val="2E74B5"/>
            <w:u w:val="single"/>
          </w:rPr>
          <w:t>W3C WebDriver</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SUTRAN VIAL  |  ACTIVIDAD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selenium.dev/documentation/webdriver/getting_started/" TargetMode="External"/><Relationship Id="rId17" Type="http://schemas.openxmlformats.org/officeDocument/2006/relationships/hyperlink" Target="https://www.selenium.dev/selenium/docs/api/py/" TargetMode="External"/><Relationship Id="rId18" Type="http://schemas.openxmlformats.org/officeDocument/2006/relationships/hyperlink" Target="https://www.iso.org/standard/78176.html" TargetMode="External"/><Relationship Id="rId19" Type="http://schemas.openxmlformats.org/officeDocument/2006/relationships/hyperlink" Target="https://www.w3.org/TR/webdr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6 - Evaluación de calidad con Selenium</dc:title>
  <dc:subject>Pruebas de software, resultados, diagnóstico y evidencias</dc:subject>
  <dc:creator>Equipo del proyecto SUTRAN VIAL</dc:creator>
  <cp:keywords>Selenium, pruebas de software, calidad, SUTRAN</cp:keywords>
  <dc:description>generated by python-docx</dc:description>
  <cp:lastModifiedBy/>
  <cp:revision>1</cp:revision>
  <dcterms:created xsi:type="dcterms:W3CDTF">2013-12-23T23:15:00Z</dcterms:created>
  <dcterms:modified xsi:type="dcterms:W3CDTF">2013-12-23T23:15:00Z</dcterms:modified>
  <cp:category/>
</cp:coreProperties>
</file>