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644ADDB3" w:rsidR="00845B57" w:rsidRPr="00C4567E" w:rsidRDefault="00ED12B1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272807C7" w:rsidR="00845B57" w:rsidRPr="00C4567E" w:rsidRDefault="00ED12B1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  <w:tr w:rsidR="00384942" w14:paraId="30C60F50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626CF71" w14:textId="77777777" w:rsidR="00384942" w:rsidRDefault="00384942" w:rsidP="00EB76A6">
            <w:pPr>
              <w:jc w:val="center"/>
            </w:pPr>
          </w:p>
        </w:tc>
        <w:tc>
          <w:tcPr>
            <w:tcW w:w="1418" w:type="dxa"/>
          </w:tcPr>
          <w:p w14:paraId="49F10A80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F2CB26F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45BF1869" w:rsidR="00DD0FBA" w:rsidRPr="00D1387E" w:rsidRDefault="00ED12B1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7419A3DF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°C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742BE8C4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1A0EB5D" w14:textId="20E65DE9" w:rsidR="00D1387E" w:rsidRDefault="00D1387E" w:rsidP="003E6D3F">
      <w:pPr>
        <w:pStyle w:val="Tablas"/>
        <w:ind w:left="0" w:firstLine="0"/>
        <w:jc w:val="left"/>
      </w:pPr>
      <w:r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4F185A0C" w:rsidR="00EF198E" w:rsidRDefault="00ED12B1" w:rsidP="00EF198E">
            <w:pPr>
              <w:jc w:val="center"/>
            </w:pPr>
            <w:r>
              <w:t>5</w:t>
            </w: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lastRenderedPageBreak/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52461F05" w:rsidR="00EF198E" w:rsidRPr="00EF198E" w:rsidRDefault="00ED12B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0193027E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61FB5259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6"/>
    <w:p w14:paraId="6E0D1437" w14:textId="5B8D4E89" w:rsidR="00EF198E" w:rsidRDefault="00896279" w:rsidP="003E6D3F">
      <w:pPr>
        <w:pStyle w:val="Tablas"/>
        <w:ind w:left="0" w:firstLine="0"/>
        <w:jc w:val="left"/>
      </w:pPr>
      <w:r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6720DF21" w:rsidR="00896279" w:rsidRDefault="00ED12B1" w:rsidP="00D309C1">
            <w:pPr>
              <w:jc w:val="center"/>
            </w:pPr>
            <w:r>
              <w:t>7</w:t>
            </w: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77777777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6C86083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10"/>
    <w:p w14:paraId="361BF781" w14:textId="5540C868" w:rsidR="00022744" w:rsidRDefault="00D626B5" w:rsidP="003E6D3F">
      <w:pPr>
        <w:pStyle w:val="Tablas"/>
        <w:ind w:left="0" w:hanging="11"/>
        <w:jc w:val="left"/>
      </w:pPr>
      <w:r>
        <w:lastRenderedPageBreak/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3567F378" w:rsidR="00D626B5" w:rsidRDefault="00ED12B1" w:rsidP="00D626B5">
            <w:pPr>
              <w:jc w:val="center"/>
            </w:pPr>
            <w:r>
              <w:t>10</w:t>
            </w: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332DD28" w:rsidR="00673CE4" w:rsidRPr="00EF198E" w:rsidRDefault="00ED12B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38AA29" w14:textId="177DD1BD" w:rsidR="00673CE4" w:rsidRDefault="00673CE4" w:rsidP="003E6D3F">
      <w:pPr>
        <w:pStyle w:val="Tablas"/>
        <w:ind w:left="0" w:firstLine="0"/>
        <w:jc w:val="both"/>
      </w:pPr>
      <w:r w:rsidRPr="00673CE4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7BA466B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2177422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38CF16A4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8281BDF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37EB0ED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2E5619C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61983E3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1BB0FDC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305C579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6D450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62F1C5E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28600609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C241111" w14:textId="7E918B58" w:rsidR="00673CE4" w:rsidRDefault="00673CE4" w:rsidP="00673CE4">
      <w:pPr>
        <w:pStyle w:val="Tablas"/>
      </w:pPr>
      <w:r w:rsidRPr="00673CE4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09BBB03" w14:textId="1761CD9B" w:rsidR="00673CE4" w:rsidRDefault="00673CE4" w:rsidP="00312123"/>
    <w:p w14:paraId="1E1960DE" w14:textId="59C44B9D" w:rsidR="00D97C19" w:rsidRDefault="00D97C19" w:rsidP="003E6D3F">
      <w:pPr>
        <w:pStyle w:val="Tablas"/>
        <w:ind w:left="0" w:hanging="11"/>
        <w:jc w:val="left"/>
      </w:pPr>
      <w:r w:rsidRPr="00D97C19">
        <w:t>Resultados de la determinación de número de capas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4C5904" w14:textId="53C3BE74" w:rsidR="00312123" w:rsidRDefault="00D97C19" w:rsidP="003E6D3F">
      <w:pPr>
        <w:pStyle w:val="Tablas"/>
        <w:ind w:left="0" w:hanging="11"/>
        <w:jc w:val="left"/>
      </w:pPr>
      <w:r w:rsidRPr="00D97C19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182027" w14:textId="358F0C47" w:rsidR="00F17BE2" w:rsidRDefault="00F17BE2" w:rsidP="003E6D3F">
      <w:pPr>
        <w:pStyle w:val="Tablas"/>
        <w:ind w:left="0" w:hanging="11"/>
        <w:jc w:val="left"/>
      </w:pPr>
      <w:r w:rsidRPr="00F17BE2">
        <w:t>Resultados de la determinación de compuestos</w:t>
      </w:r>
      <w:r w:rsidR="00127CD5">
        <w:t xml:space="preserve"> </w:t>
      </w:r>
      <w:r w:rsidRPr="00F17BE2">
        <w:t>por espectrometría infrarroja por transformada</w:t>
      </w:r>
      <w:r w:rsidR="00127CD5">
        <w:t xml:space="preserve"> </w:t>
      </w:r>
      <w:r w:rsidRPr="00F17BE2">
        <w:t>de Fourier FTIR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Analizador termogravimétrico, modelo: 209 F3 Tarsus Netzsch</w:t>
            </w:r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FE830E2" w14:textId="25312C1E" w:rsidR="0091649A" w:rsidRDefault="0091649A" w:rsidP="003E6D3F">
      <w:pPr>
        <w:pStyle w:val="Tablas"/>
        <w:ind w:left="0" w:hanging="11"/>
        <w:jc w:val="both"/>
      </w:pPr>
      <w:r w:rsidRPr="0091649A">
        <w:t>Resultados de la determinación de compuestos por termogravimetría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734" w14:paraId="03F2AED8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D75D87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112BFBC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F66E552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6B24F5B2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4C2A96A" w:rsidR="0091649A" w:rsidRDefault="0091649A" w:rsidP="0091649A">
      <w:pPr>
        <w:jc w:val="center"/>
        <w:rPr>
          <w:b/>
          <w:bCs/>
          <w:color w:val="808080" w:themeColor="background1" w:themeShade="80"/>
        </w:rPr>
      </w:pPr>
      <w:r w:rsidRPr="0091649A">
        <w:rPr>
          <w:b/>
          <w:bCs/>
          <w:color w:val="808080" w:themeColor="background1" w:themeShade="80"/>
        </w:rPr>
        <w:t>Termograma 1. Determinación de compuestos por termogravimetría de la muestra “</w:t>
      </w:r>
      <w:r w:rsidRPr="0091649A">
        <w:rPr>
          <w:rFonts w:cs="Arial"/>
          <w:b/>
          <w:bCs/>
          <w:color w:val="808080" w:themeColor="background1" w:themeShade="80"/>
          <w:szCs w:val="20"/>
        </w:rPr>
        <w:t xml:space="preserve"> </w:t>
      </w:r>
      <w:r w:rsidRPr="0091649A">
        <w:rPr>
          <w:b/>
          <w:bCs/>
          <w:color w:val="808080" w:themeColor="background1" w:themeShade="80"/>
        </w:rPr>
        <w:t>”.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2834663C" w:rsidR="00D309C1" w:rsidRPr="0091649A" w:rsidRDefault="00ED12B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91DCF54" w14:textId="161E394B" w:rsidR="00D309C1" w:rsidRDefault="00D309C1" w:rsidP="003E6D3F">
      <w:pPr>
        <w:pStyle w:val="Tablas"/>
        <w:ind w:left="0" w:hanging="11"/>
        <w:jc w:val="left"/>
      </w:pPr>
      <w:r w:rsidRPr="00D309C1">
        <w:t>Resultados de la determinación del índice y densidad óptica de carbonilo por envejecimiento y espectroscopia</w:t>
      </w:r>
      <w:r>
        <w:t>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770EFD8D" w:rsidR="00747616" w:rsidRDefault="00ED12B1" w:rsidP="00747616">
      <w:r>
        <w:t>27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A680357" w14:textId="4126D6D0" w:rsidR="00747616" w:rsidRDefault="00747616" w:rsidP="003E6D3F">
      <w:pPr>
        <w:pStyle w:val="Tablas"/>
        <w:ind w:left="0" w:hanging="11"/>
        <w:jc w:val="left"/>
      </w:pPr>
      <w:r w:rsidRPr="00747616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3C292304" w:rsidR="00747616" w:rsidRDefault="00ED12B1" w:rsidP="00747616">
      <w:r>
        <w:t>30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3ADCAC9" w14:textId="73867728" w:rsidR="00747616" w:rsidRDefault="00270E4A" w:rsidP="003E6D3F">
      <w:pPr>
        <w:pStyle w:val="Tablas"/>
        <w:ind w:left="0" w:hanging="11"/>
        <w:jc w:val="left"/>
      </w:pPr>
      <w:r w:rsidRPr="00270E4A">
        <w:t>Resultados del envejecimiento acelerado por UV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0D75B12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516BCD8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64578AD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2467457C" w:rsidR="00270E4A" w:rsidRDefault="00ED12B1" w:rsidP="00270E4A">
      <w:r>
        <w:t>33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9725E94" w14:textId="4C18EB4D" w:rsidR="00270E4A" w:rsidRDefault="00270E4A" w:rsidP="003E6D3F">
      <w:pPr>
        <w:pStyle w:val="Tablas"/>
        <w:ind w:left="0" w:hanging="11"/>
        <w:jc w:val="left"/>
      </w:pPr>
      <w:r w:rsidRPr="00270E4A">
        <w:t>Resultados del envejecimiento acelerado por xenón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188AF5F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6898D6D3" w:rsidR="003C69F1" w:rsidRDefault="00ED12B1" w:rsidP="003C69F1">
      <w:r>
        <w:t>36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B25B4CE" w14:textId="1F95537E" w:rsidR="009F457E" w:rsidRDefault="009F457E" w:rsidP="003E6D3F">
      <w:pPr>
        <w:pStyle w:val="Tablas"/>
        <w:ind w:left="0" w:hanging="11"/>
        <w:jc w:val="left"/>
      </w:pPr>
      <w:r w:rsidRPr="009F457E">
        <w:t>Resultados de la determinación de la estabilidad oxidativa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  <w:tr w:rsidR="009F457E" w14:paraId="18162F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36F6A0" w14:textId="77777777" w:rsidR="009F457E" w:rsidRDefault="009F457E" w:rsidP="00F95B95">
            <w:pPr>
              <w:jc w:val="center"/>
            </w:pPr>
          </w:p>
        </w:tc>
        <w:tc>
          <w:tcPr>
            <w:tcW w:w="4414" w:type="dxa"/>
          </w:tcPr>
          <w:p w14:paraId="63A04F7C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36F41F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4795228" w:rsidR="009F457E" w:rsidRDefault="009F457E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  <w:r w:rsidRPr="009F457E">
        <w:rPr>
          <w:b/>
          <w:bCs/>
          <w:color w:val="A6A6A6" w:themeColor="background1" w:themeShade="A6"/>
        </w:rPr>
        <w:t>Termograma 1. Indica el tiempo de inducción a la oxidación de la muestra “</w:t>
      </w:r>
      <w:r w:rsidRPr="009F457E">
        <w:rPr>
          <w:rFonts w:cs="Arial"/>
          <w:b/>
          <w:bCs/>
          <w:color w:val="A6A6A6" w:themeColor="background1" w:themeShade="A6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3BA3FEC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</w:t>
      </w:r>
      <w:r w:rsidR="003A32FA">
        <w:t>12</w:t>
      </w:r>
      <w:r w:rsidRPr="001539C3">
        <w:t xml:space="preserve">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Calorímetro diferencial de barrido, modelo: 200F3 Maia Netzsch.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6A06016" w:rsidR="001539C3" w:rsidRDefault="00ED12B1" w:rsidP="001539C3">
      <w:r>
        <w:t>39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61BBAA0" w14:textId="718C634E" w:rsidR="001539C3" w:rsidRDefault="001539C3" w:rsidP="003E6D3F">
      <w:pPr>
        <w:pStyle w:val="Tablas"/>
        <w:ind w:left="0" w:hanging="11"/>
        <w:jc w:val="left"/>
      </w:pPr>
      <w:r w:rsidRPr="001539C3">
        <w:t>Resultados de la determinación de transiciones térmicas de polímeros correspondientes al segundo calentamiento</w:t>
      </w:r>
      <w:r>
        <w:t>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047C438C" w:rsidR="00BC283B" w:rsidRDefault="00BC283B" w:rsidP="00BC283B">
      <w:pPr>
        <w:jc w:val="center"/>
        <w:rPr>
          <w:b/>
          <w:bCs/>
          <w:color w:val="A6A6A6" w:themeColor="background1" w:themeShade="A6"/>
        </w:rPr>
      </w:pPr>
      <w:r w:rsidRPr="00BC283B">
        <w:rPr>
          <w:b/>
          <w:bCs/>
          <w:color w:val="A6A6A6" w:themeColor="background1" w:themeShade="A6"/>
        </w:rPr>
        <w:t>Termograma 1. Determinación de transiciones térmicas de polímeros de la muestra “ ”.</w:t>
      </w: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Hot tack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lastRenderedPageBreak/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410CBCF8" w:rsidR="00182AF6" w:rsidRDefault="00EC376F" w:rsidP="00182AF6">
      <w:r>
        <w:t>42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48D5C9DB" w:rsidR="001250EE" w:rsidRDefault="001250EE" w:rsidP="001250EE"/>
    <w:p w14:paraId="4CADB5A4" w14:textId="77777777" w:rsidR="001250EE" w:rsidRPr="001250EE" w:rsidRDefault="001250EE" w:rsidP="001250EE"/>
    <w:p w14:paraId="7CAD9CCD" w14:textId="78B900DE" w:rsidR="001250EE" w:rsidRDefault="001250EE" w:rsidP="003E6D3F">
      <w:pPr>
        <w:pStyle w:val="Tablas"/>
        <w:ind w:left="0" w:hanging="11"/>
        <w:jc w:val="left"/>
      </w:pPr>
      <w:r w:rsidRPr="001250EE">
        <w:t>Resultados de la determinación de la curva de sellado en caliente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893794D" w:rsidR="001250EE" w:rsidRDefault="00EC376F" w:rsidP="001250EE">
      <w:r>
        <w:t>45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3D5E0D" w14:textId="1575C7AF" w:rsidR="001250EE" w:rsidRDefault="001562EB" w:rsidP="003E6D3F">
      <w:pPr>
        <w:pStyle w:val="Tablas"/>
        <w:ind w:left="0" w:hanging="11"/>
        <w:jc w:val="left"/>
      </w:pPr>
      <w:r w:rsidRPr="001562EB">
        <w:t>Resultados de la determinación del índice de fluidez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2AAA4226" w:rsidR="001562EB" w:rsidRDefault="00EC376F" w:rsidP="001562EB">
      <w:r>
        <w:t>48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2E21CFE" w14:textId="32E567DD" w:rsidR="001562EB" w:rsidRDefault="001562EB" w:rsidP="003E6D3F">
      <w:pPr>
        <w:pStyle w:val="Tablas"/>
        <w:ind w:left="0" w:hanging="11"/>
        <w:jc w:val="left"/>
      </w:pPr>
      <w:r w:rsidRPr="001562EB">
        <w:t>Resultados de la determinación de la permeabilidad al oxígeno</w:t>
      </w:r>
      <w:r>
        <w:t>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4872731D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07A7F720" w:rsidR="001562EB" w:rsidRDefault="00F648EF" w:rsidP="001562EB">
      <w:r>
        <w:t>51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41B3818" w14:textId="030FC79B" w:rsidR="006007A6" w:rsidRDefault="006007A6" w:rsidP="003E6D3F">
      <w:pPr>
        <w:pStyle w:val="Tablas"/>
        <w:ind w:left="0" w:hanging="11"/>
        <w:jc w:val="left"/>
      </w:pPr>
      <w:r w:rsidRPr="006007A6">
        <w:lastRenderedPageBreak/>
        <w:t>Resultados de la determinación de resistencia al rasgado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(mN)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3447E2C0" w:rsidR="00A378E1" w:rsidRDefault="00DC6C3B" w:rsidP="00A378E1">
      <w:r>
        <w:t>54</w:t>
      </w:r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6BED29E" w14:textId="5AC6FFCB" w:rsidR="00A378E1" w:rsidRDefault="00A378E1" w:rsidP="00DB2FB4">
      <w:pPr>
        <w:pStyle w:val="Tablas"/>
        <w:ind w:left="0" w:hanging="11"/>
        <w:jc w:val="left"/>
      </w:pPr>
      <w:r w:rsidRPr="00A378E1">
        <w:t>Resultados de la determinación de resistencia a la tensión y elongación a la ruptura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E21" w14:paraId="4FEBABF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F9B4F3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99FB59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06C14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3226BF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0558B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4280F9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E21" w14:paraId="7D28796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7A6C5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3B95920F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4110FA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92817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7C84A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2BF8A6E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704F4EA" w14:textId="0C213CF7" w:rsidR="00A70E2F" w:rsidRDefault="00A70E2F" w:rsidP="00DB2FB4">
      <w:pPr>
        <w:pStyle w:val="Tablas"/>
        <w:ind w:left="0" w:hanging="11"/>
        <w:jc w:val="left"/>
      </w:pPr>
      <w:r w:rsidRPr="00A70E2F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14895E" w14:textId="7A00FEAC" w:rsidR="00A70E2F" w:rsidRDefault="00A70E2F" w:rsidP="00DB2FB4">
      <w:pPr>
        <w:pStyle w:val="Tablas"/>
        <w:ind w:left="0" w:hanging="11"/>
        <w:jc w:val="left"/>
      </w:pPr>
      <w:r w:rsidRPr="00A70E2F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>Dirección donde se realizan las actividades del laboratorio: Calle 21 Este 205 Bodega F, Civac,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524E" w14:textId="77777777" w:rsidR="00A95202" w:rsidRDefault="00A95202" w:rsidP="00A23072">
      <w:pPr>
        <w:spacing w:after="0" w:line="240" w:lineRule="auto"/>
      </w:pPr>
      <w:r>
        <w:separator/>
      </w:r>
    </w:p>
  </w:endnote>
  <w:endnote w:type="continuationSeparator" w:id="0">
    <w:p w14:paraId="4EDA0AA7" w14:textId="77777777" w:rsidR="00A95202" w:rsidRDefault="00A95202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ED12B1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ED12B1" w:rsidRPr="00A44C12" w:rsidRDefault="00ED12B1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ED12B1" w:rsidRPr="00840723" w:rsidRDefault="00ED12B1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ED12B1" w:rsidRPr="00A44C12" w:rsidRDefault="00ED12B1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ED12B1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ED12B1" w:rsidRPr="00845B57" w:rsidRDefault="00ED12B1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ED12B1" w:rsidRPr="00840723" w:rsidRDefault="00ED12B1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ED12B1" w:rsidRPr="00A44C12" w:rsidRDefault="00ED12B1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ED12B1" w:rsidRPr="00A23072" w:rsidRDefault="00ED12B1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ED12B1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ED12B1" w:rsidRPr="00A44C12" w:rsidRDefault="00ED12B1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ED12B1" w:rsidRPr="00840723" w:rsidRDefault="00ED12B1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ED12B1" w:rsidRPr="00A44C12" w:rsidRDefault="00ED12B1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ED12B1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ED12B1" w:rsidRPr="00845B57" w:rsidRDefault="00ED12B1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ED12B1" w:rsidRPr="00840723" w:rsidRDefault="00ED12B1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ED12B1" w:rsidRPr="00A44C12" w:rsidRDefault="00ED12B1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ED12B1" w:rsidRDefault="00ED12B1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BCC41" w14:textId="77777777" w:rsidR="00A95202" w:rsidRDefault="00A95202" w:rsidP="00A23072">
      <w:pPr>
        <w:spacing w:after="0" w:line="240" w:lineRule="auto"/>
      </w:pPr>
      <w:r>
        <w:separator/>
      </w:r>
    </w:p>
  </w:footnote>
  <w:footnote w:type="continuationSeparator" w:id="0">
    <w:p w14:paraId="1613ABC2" w14:textId="77777777" w:rsidR="00A95202" w:rsidRDefault="00A95202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ED12B1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ED12B1" w:rsidRPr="0059732C" w:rsidRDefault="00ED12B1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ED12B1" w:rsidRPr="0059732C" w:rsidRDefault="00ED12B1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ED12B1" w:rsidRPr="00042D76" w:rsidRDefault="00ED12B1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ED12B1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ED12B1" w:rsidRPr="0059732C" w:rsidRDefault="00ED12B1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ED12B1" w:rsidRPr="0059732C" w:rsidRDefault="00ED12B1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ED12B1" w:rsidRPr="0059732C" w:rsidRDefault="00ED12B1" w:rsidP="00A23072">
          <w:pPr>
            <w:pStyle w:val="Encabezado"/>
          </w:pPr>
        </w:p>
      </w:tc>
    </w:tr>
    <w:tr w:rsidR="00ED12B1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ED12B1" w:rsidRPr="0059732C" w:rsidRDefault="00ED12B1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ED12B1" w:rsidRPr="0059732C" w:rsidRDefault="00ED12B1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ED12B1" w:rsidRPr="0059732C" w:rsidRDefault="00ED12B1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ED12B1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ED12B1" w:rsidRPr="0059732C" w:rsidRDefault="00ED12B1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ED12B1" w:rsidRPr="0059732C" w:rsidRDefault="00ED12B1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ED12B1" w:rsidRPr="0059732C" w:rsidRDefault="00ED12B1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ED12B1" w:rsidRDefault="00ED12B1">
    <w:pPr>
      <w:pStyle w:val="Encabezado"/>
    </w:pPr>
  </w:p>
  <w:p w14:paraId="58B7A96C" w14:textId="77777777" w:rsidR="00ED12B1" w:rsidRDefault="00ED12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ED12B1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ED12B1" w:rsidRPr="0059732C" w:rsidRDefault="00ED12B1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ED12B1" w:rsidRPr="0059732C" w:rsidRDefault="00ED12B1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ED12B1" w:rsidRPr="00042D76" w:rsidRDefault="00ED12B1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ED12B1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ED12B1" w:rsidRPr="0059732C" w:rsidRDefault="00ED12B1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ED12B1" w:rsidRPr="0059732C" w:rsidRDefault="00ED12B1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ED12B1" w:rsidRPr="0059732C" w:rsidRDefault="00ED12B1" w:rsidP="00127CD5">
          <w:pPr>
            <w:pStyle w:val="Encabezado"/>
          </w:pPr>
        </w:p>
      </w:tc>
    </w:tr>
    <w:tr w:rsidR="00ED12B1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ED12B1" w:rsidRPr="0059732C" w:rsidRDefault="00ED12B1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ED12B1" w:rsidRPr="0059732C" w:rsidRDefault="00ED12B1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ED12B1" w:rsidRPr="0059732C" w:rsidRDefault="00ED12B1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ED12B1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ED12B1" w:rsidRPr="0059732C" w:rsidRDefault="00ED12B1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ED12B1" w:rsidRPr="0059732C" w:rsidRDefault="00ED12B1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ED12B1" w:rsidRPr="0059732C" w:rsidRDefault="00ED12B1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ED12B1" w:rsidRPr="00127CD5" w:rsidRDefault="00ED12B1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613BD"/>
    <w:rsid w:val="00270E4A"/>
    <w:rsid w:val="00312123"/>
    <w:rsid w:val="003652E3"/>
    <w:rsid w:val="00384942"/>
    <w:rsid w:val="003A32FA"/>
    <w:rsid w:val="003B3338"/>
    <w:rsid w:val="003C69F1"/>
    <w:rsid w:val="003E6D3F"/>
    <w:rsid w:val="00414637"/>
    <w:rsid w:val="00426B91"/>
    <w:rsid w:val="004E6972"/>
    <w:rsid w:val="006007A6"/>
    <w:rsid w:val="006155BA"/>
    <w:rsid w:val="00673CE4"/>
    <w:rsid w:val="0069610F"/>
    <w:rsid w:val="006A61EF"/>
    <w:rsid w:val="00734082"/>
    <w:rsid w:val="00747616"/>
    <w:rsid w:val="007F5C13"/>
    <w:rsid w:val="00840723"/>
    <w:rsid w:val="00845B57"/>
    <w:rsid w:val="00891647"/>
    <w:rsid w:val="00896279"/>
    <w:rsid w:val="0091649A"/>
    <w:rsid w:val="00933E21"/>
    <w:rsid w:val="009B664A"/>
    <w:rsid w:val="009F457E"/>
    <w:rsid w:val="00A01FA5"/>
    <w:rsid w:val="00A23072"/>
    <w:rsid w:val="00A378E1"/>
    <w:rsid w:val="00A37CA9"/>
    <w:rsid w:val="00A403E4"/>
    <w:rsid w:val="00A44C12"/>
    <w:rsid w:val="00A70E2F"/>
    <w:rsid w:val="00A95202"/>
    <w:rsid w:val="00AC66D0"/>
    <w:rsid w:val="00AE24BB"/>
    <w:rsid w:val="00B4268A"/>
    <w:rsid w:val="00B978A7"/>
    <w:rsid w:val="00BB597E"/>
    <w:rsid w:val="00BC283B"/>
    <w:rsid w:val="00C4567E"/>
    <w:rsid w:val="00C90E13"/>
    <w:rsid w:val="00D0066D"/>
    <w:rsid w:val="00D1387E"/>
    <w:rsid w:val="00D22396"/>
    <w:rsid w:val="00D309C1"/>
    <w:rsid w:val="00D608E0"/>
    <w:rsid w:val="00D626B5"/>
    <w:rsid w:val="00D97C19"/>
    <w:rsid w:val="00DB2FB4"/>
    <w:rsid w:val="00DC6C3B"/>
    <w:rsid w:val="00DD0FBA"/>
    <w:rsid w:val="00E012FB"/>
    <w:rsid w:val="00E13316"/>
    <w:rsid w:val="00E3796C"/>
    <w:rsid w:val="00E734D6"/>
    <w:rsid w:val="00EA0B6C"/>
    <w:rsid w:val="00EB76A6"/>
    <w:rsid w:val="00EC376F"/>
    <w:rsid w:val="00ED12B1"/>
    <w:rsid w:val="00EF198E"/>
    <w:rsid w:val="00F17BE2"/>
    <w:rsid w:val="00F648EF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117</TotalTime>
  <Pages>17</Pages>
  <Words>2108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14</cp:revision>
  <dcterms:created xsi:type="dcterms:W3CDTF">2020-07-06T23:37:00Z</dcterms:created>
  <dcterms:modified xsi:type="dcterms:W3CDTF">2020-10-08T20:23:00Z</dcterms:modified>
</cp:coreProperties>
</file>