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271C9" w14:textId="77777777" w:rsidR="00937644" w:rsidRPr="00937644" w:rsidRDefault="00937644" w:rsidP="00937644">
      <w:r w:rsidRPr="00937644">
        <w:t>Instalación móvil y temporal de GNL</w:t>
      </w:r>
    </w:p>
    <w:p w14:paraId="1C03F334" w14:textId="77777777" w:rsidR="00937644" w:rsidRPr="00937644" w:rsidRDefault="00937644" w:rsidP="00937644">
      <w:r w:rsidRPr="00937644">
        <w:t>14.1 Utilización temporal del servicio.</w:t>
      </w:r>
    </w:p>
    <w:p w14:paraId="5E95DACB" w14:textId="77777777" w:rsidR="00937644" w:rsidRPr="00937644" w:rsidRDefault="00937644" w:rsidP="00937644">
      <w:r w:rsidRPr="00937644">
        <w:t>Cuando se utilicen equipos móviles y temporales de GNL para uso temporal, para mantenimiento del servicio durante la reparación o alteración de los sistemas de gas, o para otras aplicaciones a corto plazo, se deberán cumplir los siguientes requisitos:</w:t>
      </w:r>
    </w:p>
    <w:p w14:paraId="35F793D6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(1)</w:t>
      </w:r>
    </w:p>
    <w:p w14:paraId="75EF3668" w14:textId="77777777" w:rsidR="00937644" w:rsidRPr="00937644" w:rsidRDefault="00937644" w:rsidP="00937644">
      <w:r w:rsidRPr="00937644">
        <w:t>Los equipos móviles y temporales de GNL no podrán permanecer en servicio más de 180 días en la instalación del equipo móvil y temporal.</w:t>
      </w:r>
    </w:p>
    <w:p w14:paraId="7507206D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(2)</w:t>
      </w:r>
    </w:p>
    <w:p w14:paraId="2D73DE20" w14:textId="77777777" w:rsidR="00937644" w:rsidRPr="00937644" w:rsidRDefault="00937644" w:rsidP="00937644">
      <w:r w:rsidRPr="00937644">
        <w:t>Las instalaciones móviles y temporales en servicio durante más de 180 días deberán cumplir uno de los siguientes requisitos:</w:t>
      </w:r>
    </w:p>
    <w:p w14:paraId="511D3416" w14:textId="77777777" w:rsidR="00937644" w:rsidRPr="00937644" w:rsidRDefault="00937644" w:rsidP="00937644">
      <w:pPr>
        <w:numPr>
          <w:ilvl w:val="1"/>
          <w:numId w:val="1"/>
        </w:numPr>
      </w:pPr>
      <w:r w:rsidRPr="00937644">
        <w:t>(a)</w:t>
      </w:r>
    </w:p>
    <w:p w14:paraId="68640E40" w14:textId="77777777" w:rsidR="00937644" w:rsidRPr="00937644" w:rsidRDefault="00937644" w:rsidP="00937644">
      <w:r w:rsidRPr="00937644">
        <w:t>Aprobación de la AHJ para permanecer por un período superior a 180 días</w:t>
      </w:r>
    </w:p>
    <w:p w14:paraId="61839A6B" w14:textId="77777777" w:rsidR="00937644" w:rsidRPr="00937644" w:rsidRDefault="00937644" w:rsidP="00937644">
      <w:pPr>
        <w:numPr>
          <w:ilvl w:val="1"/>
          <w:numId w:val="1"/>
        </w:numPr>
      </w:pPr>
      <w:r w:rsidRPr="00937644">
        <w:t>(b)</w:t>
      </w:r>
    </w:p>
    <w:p w14:paraId="10C7EDAA" w14:textId="77777777" w:rsidR="00937644" w:rsidRPr="00937644" w:rsidRDefault="00937644" w:rsidP="00937644">
      <w:r w:rsidRPr="00937644">
        <w:t>Cumplimiento de todos los requisitos aplicables del Capítulo  </w:t>
      </w:r>
      <w:hyperlink r:id="rId5" w:history="1">
        <w:r w:rsidRPr="00937644">
          <w:rPr>
            <w:rStyle w:val="Hipervnculo"/>
            <w:b/>
            <w:bCs/>
          </w:rPr>
          <w:t>17</w:t>
        </w:r>
      </w:hyperlink>
      <w:r w:rsidRPr="00937644">
        <w:t> para aplicaciones estacionarias que utilizan contenedores ASME y con los requisitos de seguridad de la Sección  </w:t>
      </w:r>
      <w:hyperlink r:id="rId6" w:anchor="ID00059A000963" w:history="1">
        <w:r w:rsidRPr="00937644">
          <w:rPr>
            <w:rStyle w:val="Hipervnculo"/>
            <w:b/>
            <w:bCs/>
          </w:rPr>
          <w:t>16.8</w:t>
        </w:r>
      </w:hyperlink>
    </w:p>
    <w:p w14:paraId="60F550B9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(3)</w:t>
      </w:r>
    </w:p>
    <w:p w14:paraId="3E26AB5D" w14:textId="77777777" w:rsidR="00937644" w:rsidRPr="00937644" w:rsidRDefault="00937644" w:rsidP="00937644">
      <w:r w:rsidRPr="00937644">
        <w:t>Se utilizarán como contenedores de suministro vehículos de transporte de GNL que cumplan con los requisitos del Departamento de Transporte de EE. UU. (DOT).</w:t>
      </w:r>
    </w:p>
    <w:p w14:paraId="6C88E6AC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(4)</w:t>
      </w:r>
    </w:p>
    <w:p w14:paraId="5B065728" w14:textId="77777777" w:rsidR="00937644" w:rsidRPr="00937644" w:rsidRDefault="00937644" w:rsidP="00937644">
      <w:r w:rsidRPr="00937644">
        <w:t>Todos los equipos móviles y temporales de GNL deberán ser operados por al menos una persona calificada por su experiencia y capacitación en la operación segura de estos sistemas de acuerdo con los requisitos de </w:t>
      </w:r>
      <w:hyperlink r:id="rId7" w:anchor="ID00059A001470" w:history="1">
        <w:r w:rsidRPr="00937644">
          <w:rPr>
            <w:rStyle w:val="Hipervnculo"/>
            <w:b/>
            <w:bCs/>
          </w:rPr>
          <w:t>18.11.3</w:t>
        </w:r>
      </w:hyperlink>
      <w:r w:rsidRPr="00937644">
        <w:t> y </w:t>
      </w:r>
      <w:hyperlink r:id="rId8" w:anchor="ID00059A001473" w:history="1">
        <w:r w:rsidRPr="00937644">
          <w:rPr>
            <w:rStyle w:val="Hipervnculo"/>
            <w:b/>
            <w:bCs/>
          </w:rPr>
          <w:t>18.11.4</w:t>
        </w:r>
      </w:hyperlink>
      <w:r w:rsidRPr="00937644">
        <w:t> , con base en los requisitos del plan de capacitación escrito de </w:t>
      </w:r>
      <w:hyperlink r:id="rId9" w:anchor="ID00059A001462" w:history="1">
        <w:r w:rsidRPr="00937644">
          <w:rPr>
            <w:rStyle w:val="Hipervnculo"/>
            <w:b/>
            <w:bCs/>
          </w:rPr>
          <w:t>18.11.1</w:t>
        </w:r>
      </w:hyperlink>
      <w:r w:rsidRPr="00937644">
        <w:t> y </w:t>
      </w:r>
      <w:hyperlink r:id="rId10" w:anchor="ID00059A001463" w:history="1">
        <w:r w:rsidRPr="00937644">
          <w:rPr>
            <w:rStyle w:val="Hipervnculo"/>
            <w:b/>
            <w:bCs/>
          </w:rPr>
          <w:t>18.11.2</w:t>
        </w:r>
      </w:hyperlink>
      <w:r w:rsidRPr="00937644">
        <w:t> .</w:t>
      </w:r>
    </w:p>
    <w:p w14:paraId="1D4A9158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(5)</w:t>
      </w:r>
    </w:p>
    <w:p w14:paraId="50B6A174" w14:textId="77777777" w:rsidR="00937644" w:rsidRPr="00937644" w:rsidRDefault="00937644" w:rsidP="00937644">
      <w:r w:rsidRPr="00937644">
        <w:t>Todo el resto del personal operativo, como mínimo, deberá estar calificado mediante capacitación de acuerdo con los requisitos de </w:t>
      </w:r>
      <w:hyperlink r:id="rId11" w:anchor="ID00059A001470" w:history="1">
        <w:r w:rsidRPr="00937644">
          <w:rPr>
            <w:rStyle w:val="Hipervnculo"/>
            <w:b/>
            <w:bCs/>
          </w:rPr>
          <w:t>18.11.3</w:t>
        </w:r>
      </w:hyperlink>
      <w:r w:rsidRPr="00937644">
        <w:t> y </w:t>
      </w:r>
      <w:hyperlink r:id="rId12" w:anchor="ID00059A001473" w:history="1">
        <w:r w:rsidRPr="00937644">
          <w:rPr>
            <w:rStyle w:val="Hipervnculo"/>
            <w:b/>
            <w:bCs/>
          </w:rPr>
          <w:t>18.11.4</w:t>
        </w:r>
      </w:hyperlink>
      <w:r w:rsidRPr="00937644">
        <w:t> , con base en los requisitos del plan de capacitación escrito de </w:t>
      </w:r>
      <w:hyperlink r:id="rId13" w:anchor="ID00059A001462" w:history="1">
        <w:r w:rsidRPr="00937644">
          <w:rPr>
            <w:rStyle w:val="Hipervnculo"/>
            <w:b/>
            <w:bCs/>
          </w:rPr>
          <w:t>18.11.1</w:t>
        </w:r>
      </w:hyperlink>
      <w:r w:rsidRPr="00937644">
        <w:t> y </w:t>
      </w:r>
      <w:hyperlink r:id="rId14" w:anchor="ID00059A001463" w:history="1">
        <w:r w:rsidRPr="00937644">
          <w:rPr>
            <w:rStyle w:val="Hipervnculo"/>
            <w:b/>
            <w:bCs/>
          </w:rPr>
          <w:t>18.11.2</w:t>
        </w:r>
      </w:hyperlink>
      <w:r w:rsidRPr="00937644">
        <w:t> .</w:t>
      </w:r>
    </w:p>
    <w:p w14:paraId="095CB9BC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(6)</w:t>
      </w:r>
    </w:p>
    <w:p w14:paraId="454E0590" w14:textId="77777777" w:rsidR="00937644" w:rsidRPr="00937644" w:rsidRDefault="00937644" w:rsidP="00937644">
      <w:r w:rsidRPr="00937644">
        <w:lastRenderedPageBreak/>
        <w:t>Todo el personal que requiera capacitación en las Secciones  </w:t>
      </w:r>
      <w:hyperlink r:id="rId15" w:anchor="ID00059A001727" w:history="1">
        <w:r w:rsidRPr="00937644">
          <w:rPr>
            <w:rStyle w:val="Hipervnculo"/>
            <w:b/>
            <w:bCs/>
          </w:rPr>
          <w:t>14.1(3)</w:t>
        </w:r>
      </w:hyperlink>
      <w:r w:rsidRPr="00937644">
        <w:t> y </w:t>
      </w:r>
      <w:hyperlink r:id="rId16" w:anchor="ID00059A000293" w:history="1">
        <w:r w:rsidRPr="00937644">
          <w:rPr>
            <w:rStyle w:val="Hipervnculo"/>
            <w:b/>
            <w:bCs/>
          </w:rPr>
          <w:t>14.1(4)</w:t>
        </w:r>
      </w:hyperlink>
      <w:r w:rsidRPr="00937644">
        <w:t> deberá recibir capacitación de actualización de acuerdo con los requisitos de </w:t>
      </w:r>
      <w:hyperlink r:id="rId17" w:anchor="ID00059A001485" w:history="1">
        <w:r w:rsidRPr="00937644">
          <w:rPr>
            <w:rStyle w:val="Hipervnculo"/>
            <w:b/>
            <w:bCs/>
          </w:rPr>
          <w:t>18.11.6.1</w:t>
        </w:r>
      </w:hyperlink>
      <w:r w:rsidRPr="00937644">
        <w:t> .</w:t>
      </w:r>
    </w:p>
    <w:p w14:paraId="5D383BDA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(7)</w:t>
      </w:r>
    </w:p>
    <w:p w14:paraId="515D1288" w14:textId="77777777" w:rsidR="00937644" w:rsidRPr="00937644" w:rsidRDefault="00937644" w:rsidP="00937644">
      <w:r w:rsidRPr="00937644">
        <w:t>Toda capacitación del personal deberá documentarse de acuerdo con los requisitos de registros establecidos en </w:t>
      </w:r>
      <w:hyperlink r:id="rId18" w:anchor="ID00059A001491" w:history="1">
        <w:r w:rsidRPr="00937644">
          <w:rPr>
            <w:rStyle w:val="Hipervnculo"/>
            <w:b/>
            <w:bCs/>
          </w:rPr>
          <w:t>18.12.4</w:t>
        </w:r>
      </w:hyperlink>
      <w:r w:rsidRPr="00937644">
        <w:t> .</w:t>
      </w:r>
    </w:p>
    <w:p w14:paraId="7A9CBA4D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(8)</w:t>
      </w:r>
    </w:p>
    <w:p w14:paraId="69A42670" w14:textId="77777777" w:rsidR="00937644" w:rsidRPr="00937644" w:rsidRDefault="00937644" w:rsidP="00937644">
      <w:r w:rsidRPr="00937644">
        <w:t>Cada operador deberá proporcionar e implementar un plan escrito de capacitación inicial de acuerdo con los requisitos de </w:t>
      </w:r>
      <w:hyperlink r:id="rId19" w:anchor="ID00059A001462" w:history="1">
        <w:r w:rsidRPr="00937644">
          <w:rPr>
            <w:rStyle w:val="Hipervnculo"/>
            <w:b/>
            <w:bCs/>
          </w:rPr>
          <w:t>18.11.1</w:t>
        </w:r>
      </w:hyperlink>
      <w:r w:rsidRPr="00937644">
        <w:t> y </w:t>
      </w:r>
      <w:hyperlink r:id="rId20" w:anchor="ID00059A001463" w:history="1">
        <w:r w:rsidRPr="00937644">
          <w:rPr>
            <w:rStyle w:val="Hipervnculo"/>
            <w:b/>
            <w:bCs/>
          </w:rPr>
          <w:t>18.11.2</w:t>
        </w:r>
      </w:hyperlink>
      <w:r w:rsidRPr="00937644">
        <w:t> para instruir a todo el personal operativo y de supervisión designado.</w:t>
      </w:r>
    </w:p>
    <w:p w14:paraId="59638A4D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(9)</w:t>
      </w:r>
    </w:p>
    <w:p w14:paraId="5ABD903A" w14:textId="77777777" w:rsidR="00937644" w:rsidRPr="00937644" w:rsidRDefault="00937644" w:rsidP="00937644">
      <w:r w:rsidRPr="00937644">
        <w:t>Se deberán tomar disposiciones para minimizar la posibilidad de una descarga accidental de GNL en contenedores que ponga en peligro propiedades adyacentes o equipos y estructuras de proceso importantes o que llegue al drenaje de aguas superficiales.</w:t>
      </w:r>
    </w:p>
    <w:p w14:paraId="3552DC42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(10)</w:t>
      </w:r>
    </w:p>
    <w:p w14:paraId="46D8ABFD" w14:textId="77777777" w:rsidR="00937644" w:rsidRPr="00937644" w:rsidRDefault="00937644" w:rsidP="00937644">
      <w:r w:rsidRPr="00937644">
        <w:t>Se permitirá el uso de medios de contención móviles y temporales.</w:t>
      </w:r>
    </w:p>
    <w:p w14:paraId="014AE4DA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(11)</w:t>
      </w:r>
    </w:p>
    <w:p w14:paraId="313A2DCD" w14:textId="77777777" w:rsidR="00937644" w:rsidRPr="00937644" w:rsidRDefault="00937644" w:rsidP="00937644">
      <w:r w:rsidRPr="00937644">
        <w:t>Los vaporizadores y controles deberán cumplir con las Secciones  </w:t>
      </w:r>
      <w:hyperlink r:id="rId21" w:anchor="ID00059A000548" w:history="1">
        <w:r w:rsidRPr="00937644">
          <w:rPr>
            <w:rStyle w:val="Hipervnculo"/>
            <w:b/>
            <w:bCs/>
          </w:rPr>
          <w:t>9.3</w:t>
        </w:r>
      </w:hyperlink>
      <w:r w:rsidRPr="00937644">
        <w:t> , </w:t>
      </w:r>
      <w:hyperlink r:id="rId22" w:anchor="ID00059A000562" w:history="1">
        <w:r w:rsidRPr="00937644">
          <w:rPr>
            <w:rStyle w:val="Hipervnculo"/>
            <w:b/>
            <w:bCs/>
          </w:rPr>
          <w:t>9.4.1(1)</w:t>
        </w:r>
      </w:hyperlink>
      <w:r w:rsidRPr="00937644">
        <w:t> , </w:t>
      </w:r>
      <w:hyperlink r:id="rId23" w:anchor="ID00059A000563" w:history="1">
        <w:r w:rsidRPr="00937644">
          <w:rPr>
            <w:rStyle w:val="Hipervnculo"/>
            <w:b/>
            <w:bCs/>
          </w:rPr>
          <w:t>9.4.1(2)</w:t>
        </w:r>
      </w:hyperlink>
      <w:r w:rsidRPr="00937644">
        <w:t> y  </w:t>
      </w:r>
      <w:hyperlink r:id="rId24" w:anchor="ID00059A000578" w:history="1">
        <w:r w:rsidRPr="00937644">
          <w:rPr>
            <w:rStyle w:val="Hipervnculo"/>
            <w:b/>
            <w:bCs/>
          </w:rPr>
          <w:t>9.5</w:t>
        </w:r>
      </w:hyperlink>
      <w:r w:rsidRPr="00937644">
        <w:t> .</w:t>
      </w:r>
    </w:p>
    <w:p w14:paraId="1FFBEA91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(12)</w:t>
      </w:r>
    </w:p>
    <w:p w14:paraId="1E627A88" w14:textId="77777777" w:rsidR="00937644" w:rsidRPr="00937644" w:rsidRDefault="00937644" w:rsidP="00937644">
      <w:r w:rsidRPr="00937644">
        <w:t>Cada vaporizador calentado deberá estar provisto de un medio para apagar la fuente de combustible de forma remota y en la ubicación de instalación.</w:t>
      </w:r>
    </w:p>
    <w:p w14:paraId="430377EE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(13)</w:t>
      </w:r>
    </w:p>
    <w:p w14:paraId="771CB059" w14:textId="77777777" w:rsidR="00937644" w:rsidRPr="00937644" w:rsidRDefault="00937644" w:rsidP="00937644">
      <w:r w:rsidRPr="00937644">
        <w:t>El diseño de equipos y procesos, incluyendo tuberías, componentes de tuberías, instrumentación y sistemas eléctricos, y sistemas de transferencia, deberán cumplir con las Secciones </w:t>
      </w:r>
      <w:hyperlink r:id="rId25" w:anchor="ID00059A000629" w:history="1">
        <w:r w:rsidRPr="00937644">
          <w:rPr>
            <w:rStyle w:val="Hipervnculo"/>
            <w:b/>
            <w:bCs/>
          </w:rPr>
          <w:t>4.2 </w:t>
        </w:r>
      </w:hyperlink>
      <w:hyperlink r:id="rId26" w:anchor="ID00059A000269" w:history="1">
        <w:r w:rsidRPr="00937644">
          <w:rPr>
            <w:rStyle w:val="Hipervnculo"/>
            <w:b/>
            <w:bCs/>
          </w:rPr>
          <w:t>y</w:t>
        </w:r>
      </w:hyperlink>
      <w:r w:rsidRPr="00937644">
        <w:t> 4.9 </w:t>
      </w:r>
      <w:hyperlink r:id="rId27" w:anchor="ID00059A000114" w:history="1">
        <w:r w:rsidRPr="00937644">
          <w:rPr>
            <w:rStyle w:val="Hipervnculo"/>
            <w:b/>
            <w:bCs/>
          </w:rPr>
          <w:t>;</w:t>
        </w:r>
      </w:hyperlink>
      <w:r w:rsidRPr="00937644">
        <w:t> 7.4.3 </w:t>
      </w:r>
      <w:hyperlink r:id="rId28" w:anchor="ID00059A000320" w:history="1">
        <w:r w:rsidRPr="00937644">
          <w:rPr>
            <w:rStyle w:val="Hipervnculo"/>
            <w:b/>
            <w:bCs/>
          </w:rPr>
          <w:t>,</w:t>
        </w:r>
      </w:hyperlink>
      <w:r w:rsidRPr="00937644">
        <w:t> 7.4.5 </w:t>
      </w:r>
      <w:hyperlink r:id="rId29" w:anchor="ID00059A000322" w:history="1">
        <w:r w:rsidRPr="00937644">
          <w:rPr>
            <w:rStyle w:val="Hipervnculo"/>
            <w:b/>
            <w:bCs/>
          </w:rPr>
          <w:t>,</w:t>
        </w:r>
      </w:hyperlink>
      <w:r w:rsidRPr="00937644">
        <w:t> 7.4.6 </w:t>
      </w:r>
      <w:hyperlink r:id="rId30" w:anchor="ID00059A000323" w:history="1">
        <w:r w:rsidRPr="00937644">
          <w:rPr>
            <w:rStyle w:val="Hipervnculo"/>
            <w:b/>
            <w:bCs/>
          </w:rPr>
          <w:t>,</w:t>
        </w:r>
      </w:hyperlink>
      <w:r w:rsidRPr="00937644">
        <w:t> 7.4.7 </w:t>
      </w:r>
      <w:hyperlink r:id="rId31" w:anchor="ID00059A000324" w:history="1">
        <w:r w:rsidRPr="00937644">
          <w:rPr>
            <w:rStyle w:val="Hipervnculo"/>
            <w:b/>
            <w:bCs/>
          </w:rPr>
          <w:t>,</w:t>
        </w:r>
      </w:hyperlink>
      <w:r w:rsidRPr="00937644">
        <w:t> 7.6.1 </w:t>
      </w:r>
      <w:hyperlink r:id="rId32" w:anchor="ID00059A000328" w:history="1">
        <w:r w:rsidRPr="00937644">
          <w:rPr>
            <w:rStyle w:val="Hipervnculo"/>
            <w:b/>
            <w:bCs/>
          </w:rPr>
          <w:t>,</w:t>
        </w:r>
      </w:hyperlink>
      <w:r w:rsidRPr="00937644">
        <w:t> 7.6.2, </w:t>
      </w:r>
      <w:hyperlink r:id="rId33" w:anchor="ID00059A000329" w:history="1">
        <w:r w:rsidRPr="00937644">
          <w:rPr>
            <w:rStyle w:val="Hipervnculo"/>
            <w:b/>
            <w:bCs/>
          </w:rPr>
          <w:t>7.6.6.1</w:t>
        </w:r>
      </w:hyperlink>
      <w:r w:rsidRPr="00937644">
        <w:t> , </w:t>
      </w:r>
      <w:hyperlink r:id="rId34" w:anchor="ID00059A001931" w:history="1">
        <w:r w:rsidRPr="00937644">
          <w:rPr>
            <w:rStyle w:val="Hipervnculo"/>
            <w:b/>
            <w:bCs/>
          </w:rPr>
          <w:t>7.6.6.2</w:t>
        </w:r>
      </w:hyperlink>
      <w:r w:rsidRPr="00937644">
        <w:t> , </w:t>
      </w:r>
      <w:hyperlink r:id="rId35" w:anchor="ID00059A000332" w:history="1">
        <w:r w:rsidRPr="00937644">
          <w:rPr>
            <w:rStyle w:val="Hipervnculo"/>
            <w:b/>
            <w:bCs/>
          </w:rPr>
          <w:t>10.2.1 </w:t>
        </w:r>
      </w:hyperlink>
      <w:hyperlink r:id="rId36" w:anchor="ID00059A000587" w:history="1">
        <w:r w:rsidRPr="00937644">
          <w:rPr>
            <w:rStyle w:val="Hipervnculo"/>
            <w:b/>
            <w:bCs/>
          </w:rPr>
          <w:t>,</w:t>
        </w:r>
      </w:hyperlink>
      <w:r w:rsidRPr="00937644">
        <w:t> 10.2.1.2 </w:t>
      </w:r>
      <w:hyperlink r:id="rId37" w:anchor="ID00059A000588" w:history="1">
        <w:r w:rsidRPr="00937644">
          <w:rPr>
            <w:rStyle w:val="Hipervnculo"/>
            <w:b/>
            <w:bCs/>
          </w:rPr>
          <w:t>,</w:t>
        </w:r>
      </w:hyperlink>
      <w:r w:rsidRPr="00937644">
        <w:t> 10.2.1.3 </w:t>
      </w:r>
      <w:hyperlink r:id="rId38" w:anchor="ID00059A000589" w:history="1">
        <w:r w:rsidRPr="00937644">
          <w:rPr>
            <w:rStyle w:val="Hipervnculo"/>
            <w:b/>
            <w:bCs/>
          </w:rPr>
          <w:t>,</w:t>
        </w:r>
      </w:hyperlink>
      <w:r w:rsidRPr="00937644">
        <w:t> 10.3.1.1 </w:t>
      </w:r>
      <w:hyperlink r:id="rId39" w:anchor="ID00059A000607" w:history="1">
        <w:r w:rsidRPr="00937644">
          <w:rPr>
            <w:rStyle w:val="Hipervnculo"/>
            <w:b/>
            <w:bCs/>
          </w:rPr>
          <w:t>,</w:t>
        </w:r>
      </w:hyperlink>
      <w:r w:rsidRPr="00937644">
        <w:t> 10.3.1.2 </w:t>
      </w:r>
      <w:hyperlink r:id="rId40" w:anchor="ID00059A000611" w:history="1">
        <w:r w:rsidRPr="00937644">
          <w:rPr>
            <w:rStyle w:val="Hipervnculo"/>
            <w:b/>
            <w:bCs/>
          </w:rPr>
          <w:t>(3)</w:t>
        </w:r>
      </w:hyperlink>
      <w:r w:rsidRPr="00937644">
        <w:t> , </w:t>
      </w:r>
      <w:hyperlink r:id="rId41" w:anchor="ID00059A000619" w:history="1">
        <w:r w:rsidRPr="00937644">
          <w:rPr>
            <w:rStyle w:val="Hipervnculo"/>
            <w:b/>
            <w:bCs/>
          </w:rPr>
          <w:t>10.3.2.1</w:t>
        </w:r>
      </w:hyperlink>
      <w:r w:rsidRPr="00937644">
        <w:t> a 10.3.2.4 , </w:t>
      </w:r>
      <w:hyperlink r:id="rId42" w:anchor="ID00059A000622" w:history="1">
        <w:r w:rsidRPr="00937644">
          <w:rPr>
            <w:rStyle w:val="Hipervnculo"/>
            <w:b/>
            <w:bCs/>
          </w:rPr>
          <w:t>10.3.3</w:t>
        </w:r>
      </w:hyperlink>
      <w:r w:rsidRPr="00937644">
        <w:t> y </w:t>
      </w:r>
      <w:hyperlink r:id="rId43" w:anchor="ID00059A000641" w:history="1">
        <w:r w:rsidRPr="00937644">
          <w:rPr>
            <w:rStyle w:val="Hipervnculo"/>
            <w:b/>
            <w:bCs/>
          </w:rPr>
          <w:t>10.3.4</w:t>
        </w:r>
      </w:hyperlink>
      <w:r w:rsidRPr="00937644">
        <w:t> ; Secciones </w:t>
      </w:r>
      <w:hyperlink r:id="rId44" w:anchor="ID00059A000647" w:history="1">
        <w:r w:rsidRPr="00937644">
          <w:rPr>
            <w:rStyle w:val="Hipervnculo"/>
            <w:b/>
            <w:bCs/>
          </w:rPr>
          <w:t>10.4</w:t>
        </w:r>
      </w:hyperlink>
      <w:r w:rsidRPr="00937644">
        <w:t> a </w:t>
      </w:r>
      <w:hyperlink r:id="rId45" w:anchor="ID00059A000730" w:history="1">
        <w:r w:rsidRPr="00937644">
          <w:rPr>
            <w:rStyle w:val="Hipervnculo"/>
            <w:b/>
            <w:bCs/>
          </w:rPr>
          <w:t>10.10</w:t>
        </w:r>
      </w:hyperlink>
      <w:r w:rsidRPr="00937644">
        <w:t> ; y si se utilizan, los sistemas criogénicos de tubería dentro de tubería deberán cumplir con las Secciones  </w:t>
      </w:r>
      <w:hyperlink r:id="rId46" w:anchor="ID00059A000742" w:history="1">
        <w:r w:rsidRPr="00937644">
          <w:rPr>
            <w:rStyle w:val="Hipervnculo"/>
            <w:b/>
            <w:bCs/>
          </w:rPr>
          <w:t>10.13</w:t>
        </w:r>
      </w:hyperlink>
      <w:r w:rsidRPr="00937644">
        <w:t> , </w:t>
      </w:r>
      <w:hyperlink r:id="rId47" w:anchor="ID00059A000791" w:history="1">
        <w:r w:rsidRPr="00937644">
          <w:rPr>
            <w:rStyle w:val="Hipervnculo"/>
            <w:b/>
            <w:bCs/>
          </w:rPr>
          <w:t>11.9.1</w:t>
        </w:r>
      </w:hyperlink>
      <w:r w:rsidRPr="00937644">
        <w:t> , </w:t>
      </w:r>
      <w:hyperlink r:id="rId48" w:anchor="ID00059A000792" w:history="1">
        <w:r w:rsidRPr="00937644">
          <w:rPr>
            <w:rStyle w:val="Hipervnculo"/>
            <w:b/>
            <w:bCs/>
          </w:rPr>
          <w:t>11.9.2</w:t>
        </w:r>
      </w:hyperlink>
      <w:r w:rsidRPr="00937644">
        <w:t> , </w:t>
      </w:r>
      <w:hyperlink r:id="rId49" w:anchor="ID00059A000807" w:history="1">
        <w:r w:rsidRPr="00937644">
          <w:rPr>
            <w:rStyle w:val="Hipervnculo"/>
            <w:b/>
            <w:bCs/>
          </w:rPr>
          <w:t>11.9.6</w:t>
        </w:r>
      </w:hyperlink>
      <w:r w:rsidRPr="00937644">
        <w:t> , Sección  </w:t>
      </w:r>
      <w:hyperlink r:id="rId50" w:anchor="ID00059A000820" w:history="1">
        <w:r w:rsidRPr="00937644">
          <w:rPr>
            <w:rStyle w:val="Hipervnculo"/>
            <w:b/>
            <w:bCs/>
          </w:rPr>
          <w:t>11.10</w:t>
        </w:r>
      </w:hyperlink>
      <w:r w:rsidRPr="00937644">
        <w:t> , </w:t>
      </w:r>
      <w:hyperlink r:id="rId51" w:anchor="ID00059A000834" w:history="1">
        <w:r w:rsidRPr="00937644">
          <w:rPr>
            <w:rStyle w:val="Hipervnculo"/>
            <w:b/>
            <w:bCs/>
          </w:rPr>
          <w:t>15.4.1</w:t>
        </w:r>
      </w:hyperlink>
      <w:r w:rsidRPr="00937644">
        <w:t> , </w:t>
      </w:r>
      <w:hyperlink r:id="rId52" w:anchor="ID00059A000873" w:history="1">
        <w:r w:rsidRPr="00937644">
          <w:rPr>
            <w:rStyle w:val="Hipervnculo"/>
            <w:b/>
            <w:bCs/>
          </w:rPr>
          <w:t>15.6.1</w:t>
        </w:r>
      </w:hyperlink>
      <w:r w:rsidRPr="00937644">
        <w:t> , </w:t>
      </w:r>
      <w:hyperlink r:id="rId53" w:anchor="ID00059A000874" w:history="1">
        <w:r w:rsidRPr="00937644">
          <w:rPr>
            <w:rStyle w:val="Hipervnculo"/>
            <w:b/>
            <w:bCs/>
          </w:rPr>
          <w:t>15.6.2</w:t>
        </w:r>
      </w:hyperlink>
      <w:r w:rsidRPr="00937644">
        <w:t> , </w:t>
      </w:r>
      <w:hyperlink r:id="rId54" w:anchor="ID00059A000895" w:history="1">
        <w:r w:rsidRPr="00937644">
          <w:rPr>
            <w:rStyle w:val="Hipervnculo"/>
            <w:b/>
            <w:bCs/>
          </w:rPr>
          <w:t>15.8.1</w:t>
        </w:r>
      </w:hyperlink>
      <w:r w:rsidRPr="00937644">
        <w:t> , </w:t>
      </w:r>
      <w:hyperlink r:id="rId55" w:anchor="ID00059A000896" w:history="1">
        <w:r w:rsidRPr="00937644">
          <w:rPr>
            <w:rStyle w:val="Hipervnculo"/>
            <w:b/>
            <w:bCs/>
          </w:rPr>
          <w:t>15.8.2</w:t>
        </w:r>
      </w:hyperlink>
      <w:r w:rsidRPr="00937644">
        <w:t> , </w:t>
      </w:r>
      <w:hyperlink r:id="rId56" w:anchor="ID00059A000897" w:history="1">
        <w:r w:rsidRPr="00937644">
          <w:rPr>
            <w:rStyle w:val="Hipervnculo"/>
            <w:b/>
            <w:bCs/>
          </w:rPr>
          <w:t>15.8.3</w:t>
        </w:r>
      </w:hyperlink>
      <w:r w:rsidRPr="00937644">
        <w:t> , </w:t>
      </w:r>
      <w:hyperlink r:id="rId57" w:anchor="ID00059A000900" w:history="1">
        <w:r w:rsidRPr="00937644">
          <w:rPr>
            <w:rStyle w:val="Hipervnculo"/>
            <w:b/>
            <w:bCs/>
          </w:rPr>
          <w:t>15.8.6</w:t>
        </w:r>
      </w:hyperlink>
      <w:r w:rsidRPr="00937644">
        <w:t> , </w:t>
      </w:r>
      <w:hyperlink r:id="rId58" w:anchor="ID00059A000903" w:history="1">
        <w:r w:rsidRPr="00937644">
          <w:rPr>
            <w:rStyle w:val="Hipervnculo"/>
            <w:b/>
            <w:bCs/>
          </w:rPr>
          <w:t>15.9.1</w:t>
        </w:r>
      </w:hyperlink>
      <w:r w:rsidRPr="00937644">
        <w:t> , </w:t>
      </w:r>
      <w:hyperlink r:id="rId59" w:anchor="ID00059A000904" w:history="1">
        <w:r w:rsidRPr="00937644">
          <w:rPr>
            <w:rStyle w:val="Hipervnculo"/>
            <w:b/>
            <w:bCs/>
          </w:rPr>
          <w:t>15.9.2</w:t>
        </w:r>
      </w:hyperlink>
      <w:r w:rsidRPr="00937644">
        <w:t> y </w:t>
      </w:r>
      <w:hyperlink r:id="rId60" w:anchor="ID00059A000913" w:history="1">
        <w:r w:rsidRPr="00937644">
          <w:rPr>
            <w:rStyle w:val="Hipervnculo"/>
            <w:b/>
            <w:bCs/>
          </w:rPr>
          <w:t>16.2.1</w:t>
        </w:r>
      </w:hyperlink>
      <w:r w:rsidRPr="00937644">
        <w:t> .</w:t>
      </w:r>
    </w:p>
    <w:p w14:paraId="22A64869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(14)</w:t>
      </w:r>
    </w:p>
    <w:p w14:paraId="6034A435" w14:textId="77777777" w:rsidR="00937644" w:rsidRPr="00937644" w:rsidRDefault="00937644" w:rsidP="00937644">
      <w:r w:rsidRPr="00937644">
        <w:lastRenderedPageBreak/>
        <w:t>El espaciamiento de las instalaciones de GNL especificado en </w:t>
      </w:r>
      <w:hyperlink r:id="rId61" w:anchor="ID00059A000214" w:history="1">
        <w:r w:rsidRPr="00937644">
          <w:rPr>
            <w:rStyle w:val="Hipervnculo"/>
            <w:b/>
            <w:bCs/>
          </w:rPr>
          <w:t>la Tabla 6.3.1</w:t>
        </w:r>
      </w:hyperlink>
      <w:r w:rsidRPr="00937644">
        <w:t> se deberá mantener, excepto cuando sea necesario para proporcionar un servicio temporal en una vía pública o en una propiedad donde los espacios libres especificados en </w:t>
      </w:r>
      <w:hyperlink r:id="rId62" w:anchor="ID00059A000214" w:history="1">
        <w:r w:rsidRPr="00937644">
          <w:rPr>
            <w:rStyle w:val="Hipervnculo"/>
            <w:b/>
            <w:bCs/>
          </w:rPr>
          <w:t>la Tabla 6.3.1</w:t>
        </w:r>
      </w:hyperlink>
      <w:r w:rsidRPr="00937644">
        <w:t> no sean factibles y donde se cumplan los siguientes requisitos adicionales:</w:t>
      </w:r>
    </w:p>
    <w:p w14:paraId="5E8C6AB5" w14:textId="77777777" w:rsidR="00937644" w:rsidRPr="00937644" w:rsidRDefault="00937644" w:rsidP="00937644">
      <w:pPr>
        <w:numPr>
          <w:ilvl w:val="1"/>
          <w:numId w:val="1"/>
        </w:numPr>
      </w:pPr>
      <w:r w:rsidRPr="00937644">
        <w:t>(a)</w:t>
      </w:r>
    </w:p>
    <w:p w14:paraId="4BE67958" w14:textId="77777777" w:rsidR="00937644" w:rsidRPr="00937644" w:rsidRDefault="00937644" w:rsidP="00937644">
      <w:r w:rsidRPr="00937644">
        <w:t>Se deberán instalar barreras de tráfico en todos los lados de las instalaciones sujetas al tránsito vehicular.</w:t>
      </w:r>
    </w:p>
    <w:p w14:paraId="63CA0BC5" w14:textId="77777777" w:rsidR="00937644" w:rsidRPr="00937644" w:rsidRDefault="00937644" w:rsidP="00937644">
      <w:pPr>
        <w:numPr>
          <w:ilvl w:val="1"/>
          <w:numId w:val="1"/>
        </w:numPr>
      </w:pPr>
      <w:r w:rsidRPr="00937644">
        <w:t>(b)</w:t>
      </w:r>
    </w:p>
    <w:p w14:paraId="5932667F" w14:textId="77777777" w:rsidR="00937644" w:rsidRPr="00937644" w:rsidRDefault="00937644" w:rsidP="00937644">
      <w:r w:rsidRPr="00937644">
        <w:t>La operación deberá ser supervisada continuamente para monitorear el funcionamiento siempre que haya GNL presente en las instalaciones.</w:t>
      </w:r>
    </w:p>
    <w:p w14:paraId="7D92FF7C" w14:textId="77777777" w:rsidR="00937644" w:rsidRPr="00937644" w:rsidRDefault="00937644" w:rsidP="00937644">
      <w:pPr>
        <w:numPr>
          <w:ilvl w:val="1"/>
          <w:numId w:val="1"/>
        </w:numPr>
      </w:pPr>
      <w:r w:rsidRPr="00937644">
        <w:t>(do)</w:t>
      </w:r>
    </w:p>
    <w:p w14:paraId="0B6020BA" w14:textId="77777777" w:rsidR="00937644" w:rsidRPr="00937644" w:rsidRDefault="00937644" w:rsidP="00937644">
      <w:r w:rsidRPr="00937644">
        <w:t>Si la instalación o la operación causa cualquier restricción al flujo normal del tráfico vehicular, además del monitoreo del personal requerido en la Sección  </w:t>
      </w:r>
      <w:hyperlink r:id="rId63" w:anchor="ID00059A000298" w:history="1">
        <w:r w:rsidRPr="00937644">
          <w:rPr>
            <w:rStyle w:val="Hipervnculo"/>
            <w:b/>
            <w:bCs/>
          </w:rPr>
          <w:t>14.1(11)</w:t>
        </w:r>
      </w:hyperlink>
      <w:r w:rsidRPr="00937644">
        <w:t> , las personas a cargo de la bandera deberán estar continuamente de servicio para dirigir dicho tráfico.</w:t>
      </w:r>
    </w:p>
    <w:p w14:paraId="01D4299C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(15)</w:t>
      </w:r>
    </w:p>
    <w:p w14:paraId="434CF554" w14:textId="77777777" w:rsidR="00937644" w:rsidRPr="00937644" w:rsidRDefault="00937644" w:rsidP="00937644">
      <w:r w:rsidRPr="00937644">
        <w:t>Se deberán tomar disposiciones para minimizar la posibilidad de ignición accidental en caso de fuga.</w:t>
      </w:r>
    </w:p>
    <w:p w14:paraId="7A6C5F12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(16)</w:t>
      </w:r>
    </w:p>
    <w:p w14:paraId="2A88384A" w14:textId="77777777" w:rsidR="00937644" w:rsidRPr="00937644" w:rsidRDefault="00937644" w:rsidP="00937644">
      <w:r w:rsidRPr="00937644">
        <w:t>Los sistemas de protección contra incendios deberán cumplir con </w:t>
      </w:r>
      <w:hyperlink r:id="rId64" w:anchor="ID00059A000913" w:history="1">
        <w:r w:rsidRPr="00937644">
          <w:rPr>
            <w:rStyle w:val="Hipervnculo"/>
            <w:b/>
            <w:bCs/>
          </w:rPr>
          <w:t>16.2.1</w:t>
        </w:r>
      </w:hyperlink>
      <w:r w:rsidRPr="00937644">
        <w:t> , Sección  </w:t>
      </w:r>
      <w:hyperlink r:id="rId65" w:anchor="ID00059A000925" w:history="1">
        <w:r w:rsidRPr="00937644">
          <w:rPr>
            <w:rStyle w:val="Hipervnculo"/>
            <w:b/>
            <w:bCs/>
          </w:rPr>
          <w:t>16.3</w:t>
        </w:r>
      </w:hyperlink>
      <w:r w:rsidRPr="00937644">
        <w:t> , </w:t>
      </w:r>
      <w:hyperlink r:id="rId66" w:anchor="ID00059A000936" w:history="1">
        <w:r w:rsidRPr="00937644">
          <w:rPr>
            <w:rStyle w:val="Hipervnculo"/>
            <w:b/>
            <w:bCs/>
          </w:rPr>
          <w:t>16.4.1</w:t>
        </w:r>
      </w:hyperlink>
      <w:r w:rsidRPr="00937644">
        <w:t> , </w:t>
      </w:r>
      <w:hyperlink r:id="rId67" w:anchor="ID00059A000939" w:history="1">
        <w:r w:rsidRPr="00937644">
          <w:rPr>
            <w:rStyle w:val="Hipervnculo"/>
            <w:b/>
            <w:bCs/>
          </w:rPr>
          <w:t>16.4.2.2</w:t>
        </w:r>
      </w:hyperlink>
      <w:r w:rsidRPr="00937644">
        <w:t> , </w:t>
      </w:r>
      <w:hyperlink r:id="rId68" w:anchor="ID00059A000948" w:history="1">
        <w:r w:rsidRPr="00937644">
          <w:rPr>
            <w:rStyle w:val="Hipervnculo"/>
            <w:b/>
            <w:bCs/>
          </w:rPr>
          <w:t>16.6.1</w:t>
        </w:r>
      </w:hyperlink>
      <w:r w:rsidRPr="00937644">
        <w:t> , </w:t>
      </w:r>
      <w:hyperlink r:id="rId69" w:anchor="ID00059A000959" w:history="1">
        <w:r w:rsidRPr="00937644">
          <w:rPr>
            <w:rStyle w:val="Hipervnculo"/>
            <w:b/>
            <w:bCs/>
          </w:rPr>
          <w:t>16.7.1</w:t>
        </w:r>
      </w:hyperlink>
      <w:r w:rsidRPr="00937644">
        <w:t> , </w:t>
      </w:r>
      <w:hyperlink r:id="rId70" w:anchor="ID00059A000964" w:history="1">
        <w:r w:rsidRPr="00937644">
          <w:rPr>
            <w:rStyle w:val="Hipervnculo"/>
            <w:b/>
            <w:bCs/>
          </w:rPr>
          <w:t>16.8.1</w:t>
        </w:r>
      </w:hyperlink>
      <w:r w:rsidRPr="00937644">
        <w:t> y </w:t>
      </w:r>
      <w:hyperlink r:id="rId71" w:anchor="ID00059A000967" w:history="1">
        <w:r w:rsidRPr="00937644">
          <w:rPr>
            <w:rStyle w:val="Hipervnculo"/>
            <w:b/>
            <w:bCs/>
          </w:rPr>
          <w:t>16.8.2</w:t>
        </w:r>
      </w:hyperlink>
      <w:r w:rsidRPr="00937644">
        <w:t> .</w:t>
      </w:r>
    </w:p>
    <w:p w14:paraId="46E4475F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(17)</w:t>
      </w:r>
    </w:p>
    <w:p w14:paraId="3E92F535" w14:textId="77777777" w:rsidR="00937644" w:rsidRPr="00937644" w:rsidRDefault="00937644" w:rsidP="00937644">
      <w:r w:rsidRPr="00937644">
        <w:t>Los extintores portátiles o con ruedas recomendados por su fabricante para incendios de gas deberán estar disponibles en ubicaciones estratégicas y deberán proporcionarse y mantenerse de acuerdo con la norma NFPA 10.</w:t>
      </w:r>
    </w:p>
    <w:p w14:paraId="26D5C919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(18)</w:t>
      </w:r>
    </w:p>
    <w:p w14:paraId="72908B90" w14:textId="77777777" w:rsidR="00937644" w:rsidRPr="00937644" w:rsidRDefault="00937644" w:rsidP="00937644">
      <w:r w:rsidRPr="00937644">
        <w:t>Las actividades de operación y mantenimiento deberán cumplir con las Secciones </w:t>
      </w:r>
      <w:hyperlink r:id="rId72" w:anchor="ID00059A001236" w:history="1">
        <w:r w:rsidRPr="00937644">
          <w:rPr>
            <w:rStyle w:val="Hipervnculo"/>
            <w:b/>
            <w:bCs/>
          </w:rPr>
          <w:t>18.1</w:t>
        </w:r>
      </w:hyperlink>
      <w:r w:rsidRPr="00937644">
        <w:t> a </w:t>
      </w:r>
      <w:hyperlink r:id="rId73" w:anchor="ID00059A001269" w:history="1">
        <w:r w:rsidRPr="00937644">
          <w:rPr>
            <w:rStyle w:val="Hipervnculo"/>
            <w:b/>
            <w:bCs/>
          </w:rPr>
          <w:t>18.4</w:t>
        </w:r>
      </w:hyperlink>
      <w:r w:rsidRPr="00937644">
        <w:t> ; </w:t>
      </w:r>
      <w:hyperlink r:id="rId74" w:anchor="ID00059A001311" w:history="1">
        <w:r w:rsidRPr="00937644">
          <w:rPr>
            <w:rStyle w:val="Hipervnculo"/>
            <w:b/>
            <w:bCs/>
          </w:rPr>
          <w:t>18.8.1</w:t>
        </w:r>
      </w:hyperlink>
      <w:r w:rsidRPr="00937644">
        <w:t> , </w:t>
      </w:r>
      <w:hyperlink r:id="rId75" w:anchor="ID00059A001312" w:history="1">
        <w:r w:rsidRPr="00937644">
          <w:rPr>
            <w:rStyle w:val="Hipervnculo"/>
            <w:b/>
            <w:bCs/>
          </w:rPr>
          <w:t>18.8.2</w:t>
        </w:r>
      </w:hyperlink>
      <w:r w:rsidRPr="00937644">
        <w:t> , </w:t>
      </w:r>
      <w:hyperlink r:id="rId76" w:anchor="ID00059A001314" w:history="1">
        <w:r w:rsidRPr="00937644">
          <w:rPr>
            <w:rStyle w:val="Hipervnculo"/>
            <w:b/>
            <w:bCs/>
          </w:rPr>
          <w:t>18.8.4</w:t>
        </w:r>
      </w:hyperlink>
      <w:r w:rsidRPr="00937644">
        <w:t> , </w:t>
      </w:r>
      <w:hyperlink r:id="rId77" w:anchor="ID00059A001315" w:history="1">
        <w:r w:rsidRPr="00937644">
          <w:rPr>
            <w:rStyle w:val="Hipervnculo"/>
            <w:b/>
            <w:bCs/>
          </w:rPr>
          <w:t>18.8.5</w:t>
        </w:r>
      </w:hyperlink>
      <w:r w:rsidRPr="00937644">
        <w:t> , </w:t>
      </w:r>
      <w:hyperlink r:id="rId78" w:anchor="ID00059A001321" w:history="1">
        <w:r w:rsidRPr="00937644">
          <w:rPr>
            <w:rStyle w:val="Hipervnculo"/>
            <w:b/>
            <w:bCs/>
          </w:rPr>
          <w:t>18.8.6.5</w:t>
        </w:r>
      </w:hyperlink>
      <w:r w:rsidRPr="00937644">
        <w:t> a </w:t>
      </w:r>
      <w:hyperlink r:id="rId79" w:anchor="ID00059A001324" w:history="1">
        <w:r w:rsidRPr="00937644">
          <w:rPr>
            <w:rStyle w:val="Hipervnculo"/>
            <w:b/>
            <w:bCs/>
          </w:rPr>
          <w:t>18.8.6.8</w:t>
        </w:r>
      </w:hyperlink>
      <w:r w:rsidRPr="00937644">
        <w:t> , </w:t>
      </w:r>
      <w:hyperlink r:id="rId80" w:anchor="ID00059A001327" w:history="1">
        <w:r w:rsidRPr="00937644">
          <w:rPr>
            <w:rStyle w:val="Hipervnculo"/>
            <w:b/>
            <w:bCs/>
          </w:rPr>
          <w:t>18</w:t>
        </w:r>
        <w:r w:rsidRPr="00937644">
          <w:rPr>
            <w:rStyle w:val="Hipervnculo"/>
            <w:b/>
            <w:bCs/>
          </w:rPr>
          <w:t>.</w:t>
        </w:r>
        <w:r w:rsidRPr="00937644">
          <w:rPr>
            <w:rStyle w:val="Hipervnculo"/>
            <w:b/>
            <w:bCs/>
          </w:rPr>
          <w:t>8.6.8.3</w:t>
        </w:r>
      </w:hyperlink>
      <w:r w:rsidRPr="00937644">
        <w:t> , </w:t>
      </w:r>
      <w:hyperlink r:id="rId81" w:anchor="ID00059A001328" w:history="1">
        <w:r w:rsidRPr="00937644">
          <w:rPr>
            <w:rStyle w:val="Hipervnculo"/>
            <w:b/>
            <w:bCs/>
          </w:rPr>
          <w:t>18.8.6.8.4</w:t>
        </w:r>
      </w:hyperlink>
      <w:r w:rsidRPr="00937644">
        <w:t> , </w:t>
      </w:r>
      <w:hyperlink r:id="rId82" w:anchor="ID00059A001329" w:history="1">
        <w:r w:rsidRPr="00937644">
          <w:rPr>
            <w:rStyle w:val="Hipervnculo"/>
            <w:b/>
            <w:bCs/>
          </w:rPr>
          <w:t>18.8.6.8.5</w:t>
        </w:r>
      </w:hyperlink>
      <w:r w:rsidRPr="00937644">
        <w:t> ; Sección  </w:t>
      </w:r>
      <w:hyperlink r:id="rId83" w:anchor="ID00059A001390" w:history="1">
        <w:r w:rsidRPr="00937644">
          <w:rPr>
            <w:rStyle w:val="Hipervnculo"/>
            <w:b/>
            <w:bCs/>
          </w:rPr>
          <w:t>18.9</w:t>
        </w:r>
      </w:hyperlink>
      <w:r w:rsidRPr="00937644">
        <w:t> ; y </w:t>
      </w:r>
      <w:hyperlink r:id="rId84" w:anchor="ID00059A001402" w:history="1">
        <w:r w:rsidRPr="00937644">
          <w:rPr>
            <w:rStyle w:val="Hipervnculo"/>
            <w:b/>
            <w:bCs/>
          </w:rPr>
          <w:t>18.10.1</w:t>
        </w:r>
      </w:hyperlink>
      <w:r w:rsidRPr="00937644">
        <w:t> , </w:t>
      </w:r>
      <w:hyperlink r:id="rId85" w:anchor="ID00059A001403" w:history="1">
        <w:r w:rsidRPr="00937644">
          <w:rPr>
            <w:rStyle w:val="Hipervnculo"/>
            <w:b/>
            <w:bCs/>
          </w:rPr>
          <w:t>18.10.2</w:t>
        </w:r>
      </w:hyperlink>
      <w:r w:rsidRPr="00937644">
        <w:t> , </w:t>
      </w:r>
      <w:hyperlink r:id="rId86" w:anchor="ID00059A001409" w:history="1">
        <w:r w:rsidRPr="00937644">
          <w:rPr>
            <w:rStyle w:val="Hipervnculo"/>
            <w:b/>
            <w:bCs/>
          </w:rPr>
          <w:t>18.10.6</w:t>
        </w:r>
      </w:hyperlink>
      <w:r w:rsidRPr="00937644">
        <w:t> , </w:t>
      </w:r>
      <w:hyperlink r:id="rId87" w:anchor="ID00059A001411" w:history="1">
        <w:r w:rsidRPr="00937644">
          <w:rPr>
            <w:rStyle w:val="Hipervnculo"/>
            <w:b/>
            <w:bCs/>
          </w:rPr>
          <w:t>18.10.8</w:t>
        </w:r>
      </w:hyperlink>
      <w:r w:rsidRPr="00937644">
        <w:t> , </w:t>
      </w:r>
      <w:hyperlink r:id="rId88" w:anchor="ID00059A001415" w:history="1">
        <w:r w:rsidRPr="00937644">
          <w:rPr>
            <w:rStyle w:val="Hipervnculo"/>
            <w:b/>
            <w:bCs/>
          </w:rPr>
          <w:t>18.10.9</w:t>
        </w:r>
      </w:hyperlink>
      <w:r w:rsidRPr="00937644">
        <w:t> , </w:t>
      </w:r>
      <w:hyperlink r:id="rId89" w:anchor="ID00059A001421" w:history="1">
        <w:r w:rsidRPr="00937644">
          <w:rPr>
            <w:rStyle w:val="Hipervnculo"/>
            <w:b/>
            <w:bCs/>
          </w:rPr>
          <w:t>18.10.10.1</w:t>
        </w:r>
      </w:hyperlink>
      <w:r w:rsidRPr="00937644">
        <w:t> , </w:t>
      </w:r>
      <w:hyperlink r:id="rId90" w:anchor="ID00059A001422" w:history="1">
        <w:r w:rsidRPr="00937644">
          <w:rPr>
            <w:rStyle w:val="Hipervnculo"/>
            <w:b/>
            <w:bCs/>
          </w:rPr>
          <w:t>18.10.10.2</w:t>
        </w:r>
      </w:hyperlink>
      <w:r w:rsidRPr="00937644">
        <w:t> , </w:t>
      </w:r>
      <w:hyperlink r:id="rId91" w:anchor="ID00059A001423" w:history="1">
        <w:r w:rsidRPr="00937644">
          <w:rPr>
            <w:rStyle w:val="Hipervnculo"/>
            <w:b/>
            <w:bCs/>
          </w:rPr>
          <w:t>18.10.10.3</w:t>
        </w:r>
      </w:hyperlink>
      <w:r w:rsidRPr="00937644">
        <w:t> , </w:t>
      </w:r>
      <w:hyperlink r:id="rId92" w:anchor="ID00059A001431" w:history="1">
        <w:r w:rsidRPr="00937644">
          <w:rPr>
            <w:rStyle w:val="Hipervnculo"/>
            <w:b/>
            <w:bCs/>
          </w:rPr>
          <w:t>18.10.10.7</w:t>
        </w:r>
      </w:hyperlink>
      <w:r w:rsidRPr="00937644">
        <w:t> , </w:t>
      </w:r>
      <w:hyperlink r:id="rId93" w:anchor="ID00059A002100" w:history="1">
        <w:r w:rsidRPr="00937644">
          <w:rPr>
            <w:rStyle w:val="Hipervnculo"/>
            <w:b/>
            <w:bCs/>
          </w:rPr>
          <w:t>18.10.13.1</w:t>
        </w:r>
      </w:hyperlink>
      <w:r w:rsidRPr="00937644">
        <w:t> , </w:t>
      </w:r>
      <w:hyperlink r:id="rId94" w:anchor="ID00059A002141" w:history="1">
        <w:r w:rsidRPr="00937644">
          <w:rPr>
            <w:rStyle w:val="Hipervnculo"/>
            <w:b/>
            <w:bCs/>
          </w:rPr>
          <w:t>18.10.13.6</w:t>
        </w:r>
      </w:hyperlink>
      <w:r w:rsidRPr="00937644">
        <w:t> y </w:t>
      </w:r>
      <w:hyperlink r:id="rId95" w:anchor="ID00059A002162" w:history="1">
        <w:r w:rsidRPr="00937644">
          <w:rPr>
            <w:rStyle w:val="Hipervnculo"/>
            <w:b/>
            <w:bCs/>
          </w:rPr>
          <w:t>18.10.13.7</w:t>
        </w:r>
      </w:hyperlink>
      <w:r w:rsidRPr="00937644">
        <w:t> .</w:t>
      </w:r>
    </w:p>
    <w:p w14:paraId="2E46F818" w14:textId="77777777" w:rsidR="00937644" w:rsidRPr="00937644" w:rsidRDefault="00937644" w:rsidP="00937644">
      <w:pPr>
        <w:numPr>
          <w:ilvl w:val="0"/>
          <w:numId w:val="1"/>
        </w:numPr>
      </w:pPr>
      <w:r w:rsidRPr="00937644">
        <w:t>(19)</w:t>
      </w:r>
    </w:p>
    <w:p w14:paraId="73A87008" w14:textId="77777777" w:rsidR="00937644" w:rsidRPr="00937644" w:rsidRDefault="00937644" w:rsidP="00937644">
      <w:r w:rsidRPr="00937644">
        <w:lastRenderedPageBreak/>
        <w:t>El sitio deberá contar con atención continua y se deberán tomar disposiciones para restringir el acceso público al mismo siempre que haya GNL.</w:t>
      </w:r>
    </w:p>
    <w:p w14:paraId="1FDECF68" w14:textId="77777777" w:rsidR="00937644" w:rsidRPr="00937644" w:rsidRDefault="00937644" w:rsidP="00937644">
      <w:r w:rsidRPr="00937644">
        <w:pict w14:anchorId="4BA891E9">
          <v:rect id="_x0000_i1031" style="width:0;height:1.5pt" o:hralign="center" o:hrstd="t" o:hr="t" fillcolor="#a0a0a0" stroked="f"/>
        </w:pict>
      </w:r>
    </w:p>
    <w:p w14:paraId="41C77CDB" w14:textId="77777777" w:rsidR="00937644" w:rsidRPr="00937644" w:rsidRDefault="00937644" w:rsidP="00937644">
      <w:r w:rsidRPr="00937644">
        <w:t>14.2 Equipo de odorización.</w:t>
      </w:r>
    </w:p>
    <w:p w14:paraId="1D0DC09E" w14:textId="77777777" w:rsidR="00937644" w:rsidRPr="00937644" w:rsidRDefault="00937644" w:rsidP="00937644">
      <w:r w:rsidRPr="00937644">
        <w:t>Si se requiere odorización de la instalación temporal, las restricciones de </w:t>
      </w:r>
      <w:hyperlink r:id="rId96" w:anchor="ID00059A000213" w:history="1">
        <w:r w:rsidRPr="00937644">
          <w:rPr>
            <w:rStyle w:val="Hipervnculo"/>
            <w:b/>
            <w:bCs/>
          </w:rPr>
          <w:t>6.3.1</w:t>
        </w:r>
      </w:hyperlink>
      <w:r w:rsidRPr="00937644">
        <w:t> no se aplicarán a la ubicación del equipo de odorización que contenga 20 gal (76 L) o menos de odorante inflamable dentro del sistema de retención.</w:t>
      </w:r>
    </w:p>
    <w:p w14:paraId="260A58E6" w14:textId="77777777" w:rsidR="00493D72" w:rsidRDefault="00493D72"/>
    <w:sectPr w:rsidR="00493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46A92"/>
    <w:multiLevelType w:val="multilevel"/>
    <w:tmpl w:val="5F56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38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0D"/>
    <w:rsid w:val="00002A0D"/>
    <w:rsid w:val="00493D72"/>
    <w:rsid w:val="004F5726"/>
    <w:rsid w:val="00937644"/>
    <w:rsid w:val="00F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DE953-6A1C-4FA0-B93D-E62927C9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A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A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A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A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A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A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A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A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A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A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A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7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76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0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0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9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nfpa.org/publications/59A/2023/chapters/4" TargetMode="External"/><Relationship Id="rId21" Type="http://schemas.openxmlformats.org/officeDocument/2006/relationships/hyperlink" Target="https://link.nfpa.org/publications/59A/2023/chapters/9" TargetMode="External"/><Relationship Id="rId42" Type="http://schemas.openxmlformats.org/officeDocument/2006/relationships/hyperlink" Target="https://link.nfpa.org/publications/59A/2023/chapters/10" TargetMode="External"/><Relationship Id="rId47" Type="http://schemas.openxmlformats.org/officeDocument/2006/relationships/hyperlink" Target="https://link.nfpa.org/publications/59A/2023/chapters/11" TargetMode="External"/><Relationship Id="rId63" Type="http://schemas.openxmlformats.org/officeDocument/2006/relationships/hyperlink" Target="https://link.nfpa.org/publications/59A/2023/chapters/14" TargetMode="External"/><Relationship Id="rId68" Type="http://schemas.openxmlformats.org/officeDocument/2006/relationships/hyperlink" Target="https://link.nfpa.org/publications/59A/2023/chapters/16" TargetMode="External"/><Relationship Id="rId84" Type="http://schemas.openxmlformats.org/officeDocument/2006/relationships/hyperlink" Target="https://link.nfpa.org/publications/59A/2023/chapters/18" TargetMode="External"/><Relationship Id="rId89" Type="http://schemas.openxmlformats.org/officeDocument/2006/relationships/hyperlink" Target="https://link.nfpa.org/publications/59A/2023/chapters/18" TargetMode="External"/><Relationship Id="rId16" Type="http://schemas.openxmlformats.org/officeDocument/2006/relationships/hyperlink" Target="https://link.nfpa.org/publications/59A/2023/chapters/14" TargetMode="External"/><Relationship Id="rId11" Type="http://schemas.openxmlformats.org/officeDocument/2006/relationships/hyperlink" Target="https://link.nfpa.org/publications/59A/2023/chapters/18" TargetMode="External"/><Relationship Id="rId32" Type="http://schemas.openxmlformats.org/officeDocument/2006/relationships/hyperlink" Target="https://link.nfpa.org/publications/59A/2023/chapters/7" TargetMode="External"/><Relationship Id="rId37" Type="http://schemas.openxmlformats.org/officeDocument/2006/relationships/hyperlink" Target="https://link.nfpa.org/publications/59A/2023/chapters/10" TargetMode="External"/><Relationship Id="rId53" Type="http://schemas.openxmlformats.org/officeDocument/2006/relationships/hyperlink" Target="https://link.nfpa.org/publications/59A/2023/chapters/15" TargetMode="External"/><Relationship Id="rId58" Type="http://schemas.openxmlformats.org/officeDocument/2006/relationships/hyperlink" Target="https://link.nfpa.org/publications/59A/2023/chapters/15" TargetMode="External"/><Relationship Id="rId74" Type="http://schemas.openxmlformats.org/officeDocument/2006/relationships/hyperlink" Target="https://link.nfpa.org/publications/59A/2023/chapters/18" TargetMode="External"/><Relationship Id="rId79" Type="http://schemas.openxmlformats.org/officeDocument/2006/relationships/hyperlink" Target="https://link.nfpa.org/publications/59A/2023/chapters/18" TargetMode="External"/><Relationship Id="rId5" Type="http://schemas.openxmlformats.org/officeDocument/2006/relationships/hyperlink" Target="https://link.nfpa.org/publications/59A/2023/chapters/17" TargetMode="External"/><Relationship Id="rId90" Type="http://schemas.openxmlformats.org/officeDocument/2006/relationships/hyperlink" Target="https://link.nfpa.org/publications/59A/2023/chapters/18" TargetMode="External"/><Relationship Id="rId95" Type="http://schemas.openxmlformats.org/officeDocument/2006/relationships/hyperlink" Target="https://link.nfpa.org/publications/59A/2023/chapters/18" TargetMode="External"/><Relationship Id="rId22" Type="http://schemas.openxmlformats.org/officeDocument/2006/relationships/hyperlink" Target="https://link.nfpa.org/publications/59A/2023/chapters/9" TargetMode="External"/><Relationship Id="rId27" Type="http://schemas.openxmlformats.org/officeDocument/2006/relationships/hyperlink" Target="https://link.nfpa.org/publications/59A/2023/chapters/4" TargetMode="External"/><Relationship Id="rId43" Type="http://schemas.openxmlformats.org/officeDocument/2006/relationships/hyperlink" Target="https://link.nfpa.org/publications/59A/2023/chapters/10" TargetMode="External"/><Relationship Id="rId48" Type="http://schemas.openxmlformats.org/officeDocument/2006/relationships/hyperlink" Target="https://link.nfpa.org/publications/59A/2023/chapters/11" TargetMode="External"/><Relationship Id="rId64" Type="http://schemas.openxmlformats.org/officeDocument/2006/relationships/hyperlink" Target="https://link.nfpa.org/publications/59A/2023/chapters/16" TargetMode="External"/><Relationship Id="rId69" Type="http://schemas.openxmlformats.org/officeDocument/2006/relationships/hyperlink" Target="https://link.nfpa.org/publications/59A/2023/chapters/16" TargetMode="External"/><Relationship Id="rId80" Type="http://schemas.openxmlformats.org/officeDocument/2006/relationships/hyperlink" Target="https://link.nfpa.org/publications/59A/2023/chapters/18" TargetMode="External"/><Relationship Id="rId85" Type="http://schemas.openxmlformats.org/officeDocument/2006/relationships/hyperlink" Target="https://link.nfpa.org/publications/59A/2023/chapters/1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nfpa.org/publications/59A/2023/chapters/18" TargetMode="External"/><Relationship Id="rId17" Type="http://schemas.openxmlformats.org/officeDocument/2006/relationships/hyperlink" Target="https://link.nfpa.org/publications/59A/2023/chapters/18" TargetMode="External"/><Relationship Id="rId25" Type="http://schemas.openxmlformats.org/officeDocument/2006/relationships/hyperlink" Target="https://link.nfpa.org/publications/59A/2023/chapters/10" TargetMode="External"/><Relationship Id="rId33" Type="http://schemas.openxmlformats.org/officeDocument/2006/relationships/hyperlink" Target="https://link.nfpa.org/publications/59A/2023/chapters/7" TargetMode="External"/><Relationship Id="rId38" Type="http://schemas.openxmlformats.org/officeDocument/2006/relationships/hyperlink" Target="https://link.nfpa.org/publications/59A/2023/chapters/10" TargetMode="External"/><Relationship Id="rId46" Type="http://schemas.openxmlformats.org/officeDocument/2006/relationships/hyperlink" Target="https://link.nfpa.org/publications/59A/2023/chapters/10" TargetMode="External"/><Relationship Id="rId59" Type="http://schemas.openxmlformats.org/officeDocument/2006/relationships/hyperlink" Target="https://link.nfpa.org/publications/59A/2023/chapters/15" TargetMode="External"/><Relationship Id="rId67" Type="http://schemas.openxmlformats.org/officeDocument/2006/relationships/hyperlink" Target="https://link.nfpa.org/publications/59A/2023/chapters/16" TargetMode="External"/><Relationship Id="rId20" Type="http://schemas.openxmlformats.org/officeDocument/2006/relationships/hyperlink" Target="https://link.nfpa.org/publications/59A/2023/chapters/18" TargetMode="External"/><Relationship Id="rId41" Type="http://schemas.openxmlformats.org/officeDocument/2006/relationships/hyperlink" Target="https://link.nfpa.org/publications/59A/2023/chapters/10" TargetMode="External"/><Relationship Id="rId54" Type="http://schemas.openxmlformats.org/officeDocument/2006/relationships/hyperlink" Target="https://link.nfpa.org/publications/59A/2023/chapters/15" TargetMode="External"/><Relationship Id="rId62" Type="http://schemas.openxmlformats.org/officeDocument/2006/relationships/hyperlink" Target="https://link.nfpa.org/publications/59A/2023/chapters/6" TargetMode="External"/><Relationship Id="rId70" Type="http://schemas.openxmlformats.org/officeDocument/2006/relationships/hyperlink" Target="https://link.nfpa.org/publications/59A/2023/chapters/16" TargetMode="External"/><Relationship Id="rId75" Type="http://schemas.openxmlformats.org/officeDocument/2006/relationships/hyperlink" Target="https://link.nfpa.org/publications/59A/2023/chapters/18" TargetMode="External"/><Relationship Id="rId83" Type="http://schemas.openxmlformats.org/officeDocument/2006/relationships/hyperlink" Target="https://link.nfpa.org/publications/59A/2023/chapters/18" TargetMode="External"/><Relationship Id="rId88" Type="http://schemas.openxmlformats.org/officeDocument/2006/relationships/hyperlink" Target="https://link.nfpa.org/publications/59A/2023/chapters/18" TargetMode="External"/><Relationship Id="rId91" Type="http://schemas.openxmlformats.org/officeDocument/2006/relationships/hyperlink" Target="https://link.nfpa.org/publications/59A/2023/chapters/18" TargetMode="External"/><Relationship Id="rId96" Type="http://schemas.openxmlformats.org/officeDocument/2006/relationships/hyperlink" Target="https://link.nfpa.org/publications/59A/2023/chapters/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nfpa.org/publications/59A/2023/chapters/16" TargetMode="External"/><Relationship Id="rId15" Type="http://schemas.openxmlformats.org/officeDocument/2006/relationships/hyperlink" Target="https://link.nfpa.org/publications/59A/2023/chapters/14" TargetMode="External"/><Relationship Id="rId23" Type="http://schemas.openxmlformats.org/officeDocument/2006/relationships/hyperlink" Target="https://link.nfpa.org/publications/59A/2023/chapters/9" TargetMode="External"/><Relationship Id="rId28" Type="http://schemas.openxmlformats.org/officeDocument/2006/relationships/hyperlink" Target="https://link.nfpa.org/publications/59A/2023/chapters/7" TargetMode="External"/><Relationship Id="rId36" Type="http://schemas.openxmlformats.org/officeDocument/2006/relationships/hyperlink" Target="https://link.nfpa.org/publications/59A/2023/chapters/10" TargetMode="External"/><Relationship Id="rId49" Type="http://schemas.openxmlformats.org/officeDocument/2006/relationships/hyperlink" Target="https://link.nfpa.org/publications/59A/2023/chapters/11" TargetMode="External"/><Relationship Id="rId57" Type="http://schemas.openxmlformats.org/officeDocument/2006/relationships/hyperlink" Target="https://link.nfpa.org/publications/59A/2023/chapters/15" TargetMode="External"/><Relationship Id="rId10" Type="http://schemas.openxmlformats.org/officeDocument/2006/relationships/hyperlink" Target="https://link.nfpa.org/publications/59A/2023/chapters/18" TargetMode="External"/><Relationship Id="rId31" Type="http://schemas.openxmlformats.org/officeDocument/2006/relationships/hyperlink" Target="https://link.nfpa.org/publications/59A/2023/chapters/7" TargetMode="External"/><Relationship Id="rId44" Type="http://schemas.openxmlformats.org/officeDocument/2006/relationships/hyperlink" Target="https://link.nfpa.org/publications/59A/2023/chapters/10" TargetMode="External"/><Relationship Id="rId52" Type="http://schemas.openxmlformats.org/officeDocument/2006/relationships/hyperlink" Target="https://link.nfpa.org/publications/59A/2023/chapters/15" TargetMode="External"/><Relationship Id="rId60" Type="http://schemas.openxmlformats.org/officeDocument/2006/relationships/hyperlink" Target="https://link.nfpa.org/publications/59A/2023/chapters/16" TargetMode="External"/><Relationship Id="rId65" Type="http://schemas.openxmlformats.org/officeDocument/2006/relationships/hyperlink" Target="https://link.nfpa.org/publications/59A/2023/chapters/16" TargetMode="External"/><Relationship Id="rId73" Type="http://schemas.openxmlformats.org/officeDocument/2006/relationships/hyperlink" Target="https://link.nfpa.org/publications/59A/2023/chapters/18" TargetMode="External"/><Relationship Id="rId78" Type="http://schemas.openxmlformats.org/officeDocument/2006/relationships/hyperlink" Target="https://link.nfpa.org/publications/59A/2023/chapters/18" TargetMode="External"/><Relationship Id="rId81" Type="http://schemas.openxmlformats.org/officeDocument/2006/relationships/hyperlink" Target="https://link.nfpa.org/publications/59A/2023/chapters/18" TargetMode="External"/><Relationship Id="rId86" Type="http://schemas.openxmlformats.org/officeDocument/2006/relationships/hyperlink" Target="https://link.nfpa.org/publications/59A/2023/chapters/18" TargetMode="External"/><Relationship Id="rId94" Type="http://schemas.openxmlformats.org/officeDocument/2006/relationships/hyperlink" Target="https://link.nfpa.org/publications/59A/2023/chapters/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nfpa.org/publications/59A/2023/chapters/18" TargetMode="External"/><Relationship Id="rId13" Type="http://schemas.openxmlformats.org/officeDocument/2006/relationships/hyperlink" Target="https://link.nfpa.org/publications/59A/2023/chapters/18" TargetMode="External"/><Relationship Id="rId18" Type="http://schemas.openxmlformats.org/officeDocument/2006/relationships/hyperlink" Target="https://link.nfpa.org/publications/59A/2023/chapters/18" TargetMode="External"/><Relationship Id="rId39" Type="http://schemas.openxmlformats.org/officeDocument/2006/relationships/hyperlink" Target="https://link.nfpa.org/publications/59A/2023/chapters/10" TargetMode="External"/><Relationship Id="rId34" Type="http://schemas.openxmlformats.org/officeDocument/2006/relationships/hyperlink" Target="https://link.nfpa.org/publications/59A/2023/chapters/7" TargetMode="External"/><Relationship Id="rId50" Type="http://schemas.openxmlformats.org/officeDocument/2006/relationships/hyperlink" Target="https://link.nfpa.org/publications/59A/2023/chapters/11" TargetMode="External"/><Relationship Id="rId55" Type="http://schemas.openxmlformats.org/officeDocument/2006/relationships/hyperlink" Target="https://link.nfpa.org/publications/59A/2023/chapters/15" TargetMode="External"/><Relationship Id="rId76" Type="http://schemas.openxmlformats.org/officeDocument/2006/relationships/hyperlink" Target="https://link.nfpa.org/publications/59A/2023/chapters/18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link.nfpa.org/publications/59A/2023/chapters/18" TargetMode="External"/><Relationship Id="rId71" Type="http://schemas.openxmlformats.org/officeDocument/2006/relationships/hyperlink" Target="https://link.nfpa.org/publications/59A/2023/chapters/16" TargetMode="External"/><Relationship Id="rId92" Type="http://schemas.openxmlformats.org/officeDocument/2006/relationships/hyperlink" Target="https://link.nfpa.org/publications/59A/2023/chapters/18" TargetMode="External"/><Relationship Id="rId2" Type="http://schemas.openxmlformats.org/officeDocument/2006/relationships/styles" Target="styles.xml"/><Relationship Id="rId29" Type="http://schemas.openxmlformats.org/officeDocument/2006/relationships/hyperlink" Target="https://link.nfpa.org/publications/59A/2023/chapters/7" TargetMode="External"/><Relationship Id="rId24" Type="http://schemas.openxmlformats.org/officeDocument/2006/relationships/hyperlink" Target="https://link.nfpa.org/publications/59A/2023/chapters/9" TargetMode="External"/><Relationship Id="rId40" Type="http://schemas.openxmlformats.org/officeDocument/2006/relationships/hyperlink" Target="https://link.nfpa.org/publications/59A/2023/chapters/10" TargetMode="External"/><Relationship Id="rId45" Type="http://schemas.openxmlformats.org/officeDocument/2006/relationships/hyperlink" Target="https://link.nfpa.org/publications/59A/2023/chapters/10" TargetMode="External"/><Relationship Id="rId66" Type="http://schemas.openxmlformats.org/officeDocument/2006/relationships/hyperlink" Target="https://link.nfpa.org/publications/59A/2023/chapters/16" TargetMode="External"/><Relationship Id="rId87" Type="http://schemas.openxmlformats.org/officeDocument/2006/relationships/hyperlink" Target="https://link.nfpa.org/publications/59A/2023/chapters/18" TargetMode="External"/><Relationship Id="rId61" Type="http://schemas.openxmlformats.org/officeDocument/2006/relationships/hyperlink" Target="https://link.nfpa.org/publications/59A/2023/chapters/6" TargetMode="External"/><Relationship Id="rId82" Type="http://schemas.openxmlformats.org/officeDocument/2006/relationships/hyperlink" Target="https://link.nfpa.org/publications/59A/2023/chapters/18" TargetMode="External"/><Relationship Id="rId19" Type="http://schemas.openxmlformats.org/officeDocument/2006/relationships/hyperlink" Target="https://link.nfpa.org/publications/59A/2023/chapters/18" TargetMode="External"/><Relationship Id="rId14" Type="http://schemas.openxmlformats.org/officeDocument/2006/relationships/hyperlink" Target="https://link.nfpa.org/publications/59A/2023/chapters/18" TargetMode="External"/><Relationship Id="rId30" Type="http://schemas.openxmlformats.org/officeDocument/2006/relationships/hyperlink" Target="https://link.nfpa.org/publications/59A/2023/chapters/7" TargetMode="External"/><Relationship Id="rId35" Type="http://schemas.openxmlformats.org/officeDocument/2006/relationships/hyperlink" Target="https://link.nfpa.org/publications/59A/2023/chapters/7" TargetMode="External"/><Relationship Id="rId56" Type="http://schemas.openxmlformats.org/officeDocument/2006/relationships/hyperlink" Target="https://link.nfpa.org/publications/59A/2023/chapters/15" TargetMode="External"/><Relationship Id="rId77" Type="http://schemas.openxmlformats.org/officeDocument/2006/relationships/hyperlink" Target="https://link.nfpa.org/publications/59A/2023/chapters/18" TargetMode="External"/><Relationship Id="rId8" Type="http://schemas.openxmlformats.org/officeDocument/2006/relationships/hyperlink" Target="https://link.nfpa.org/publications/59A/2023/chapters/18" TargetMode="External"/><Relationship Id="rId51" Type="http://schemas.openxmlformats.org/officeDocument/2006/relationships/hyperlink" Target="https://link.nfpa.org/publications/59A/2023/chapters/15" TargetMode="External"/><Relationship Id="rId72" Type="http://schemas.openxmlformats.org/officeDocument/2006/relationships/hyperlink" Target="https://link.nfpa.org/publications/59A/2023/chapters/18" TargetMode="External"/><Relationship Id="rId93" Type="http://schemas.openxmlformats.org/officeDocument/2006/relationships/hyperlink" Target="https://link.nfpa.org/publications/59A/2023/chapters/18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2116</Words>
  <Characters>11639</Characters>
  <Application>Microsoft Office Word</Application>
  <DocSecurity>0</DocSecurity>
  <Lines>96</Lines>
  <Paragraphs>27</Paragraphs>
  <ScaleCrop>false</ScaleCrop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I202403378 (Arias LEDESMA,LUIS ALBERTO)</dc:creator>
  <cp:keywords/>
  <dc:description/>
  <cp:lastModifiedBy>I202403378 (Arias LEDESMA,LUIS ALBERTO)</cp:lastModifiedBy>
  <cp:revision>2</cp:revision>
  <dcterms:created xsi:type="dcterms:W3CDTF">2025-05-07T21:56:00Z</dcterms:created>
  <dcterms:modified xsi:type="dcterms:W3CDTF">2025-05-07T21:57:00Z</dcterms:modified>
</cp:coreProperties>
</file>