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78FCB" w14:textId="77777777" w:rsidR="00904BA5" w:rsidRPr="00904BA5" w:rsidRDefault="00904BA5" w:rsidP="00904BA5">
      <w:r w:rsidRPr="00904BA5">
        <w:t>Requisitos para aplicaciones estacionarias para instalaciones de GNL a pequeña escala</w:t>
      </w:r>
    </w:p>
    <w:p w14:paraId="2E543F08" w14:textId="77777777" w:rsidR="00904BA5" w:rsidRPr="00904BA5" w:rsidRDefault="00904BA5" w:rsidP="00904BA5">
      <w:r w:rsidRPr="00904BA5">
        <w:t>17.1 Alcance.</w:t>
      </w:r>
    </w:p>
    <w:p w14:paraId="7102D90A" w14:textId="77777777" w:rsidR="00904BA5" w:rsidRPr="00904BA5" w:rsidRDefault="00904BA5" w:rsidP="00904BA5">
      <w:pPr>
        <w:rPr>
          <w:b/>
          <w:bCs/>
        </w:rPr>
      </w:pPr>
      <w:r w:rsidRPr="00904BA5">
        <w:rPr>
          <w:b/>
          <w:bCs/>
        </w:rPr>
        <w:t>17.1.1 </w:t>
      </w:r>
    </w:p>
    <w:p w14:paraId="154D4B3F" w14:textId="77777777" w:rsidR="00904BA5" w:rsidRPr="00904BA5" w:rsidRDefault="00904BA5" w:rsidP="00904BA5">
      <w:r w:rsidRPr="00904BA5">
        <w:t>El Capítulo  </w:t>
      </w:r>
      <w:hyperlink r:id="rId5" w:history="1">
        <w:r w:rsidRPr="00904BA5">
          <w:rPr>
            <w:rStyle w:val="Hipervnculo"/>
            <w:b/>
            <w:bCs/>
          </w:rPr>
          <w:t>1</w:t>
        </w:r>
      </w:hyperlink>
      <w:r w:rsidRPr="00904BA5">
        <w:t> , Administración , se aplicará al presente capítulo.</w:t>
      </w:r>
    </w:p>
    <w:p w14:paraId="514C780B" w14:textId="77777777" w:rsidR="00904BA5" w:rsidRPr="00904BA5" w:rsidRDefault="00904BA5" w:rsidP="00904BA5">
      <w:pPr>
        <w:rPr>
          <w:b/>
          <w:bCs/>
        </w:rPr>
      </w:pPr>
      <w:r w:rsidRPr="00904BA5">
        <w:rPr>
          <w:b/>
          <w:bCs/>
        </w:rPr>
        <w:t>17.1.2 </w:t>
      </w:r>
    </w:p>
    <w:p w14:paraId="7DA614C2" w14:textId="77777777" w:rsidR="00904BA5" w:rsidRPr="00904BA5" w:rsidRDefault="00904BA5" w:rsidP="00904BA5">
      <w:r w:rsidRPr="00904BA5">
        <w:t>Este capítulo proporciona un conjunto alternativo de requisitos para las plantas de GNL que cumple todas las siguientes limitaciones:</w:t>
      </w:r>
    </w:p>
    <w:p w14:paraId="677763B7" w14:textId="77777777" w:rsidR="00904BA5" w:rsidRPr="00904BA5" w:rsidRDefault="00904BA5" w:rsidP="00904BA5">
      <w:pPr>
        <w:numPr>
          <w:ilvl w:val="0"/>
          <w:numId w:val="1"/>
        </w:numPr>
      </w:pPr>
      <w:r w:rsidRPr="00904BA5">
        <w:t>(1)</w:t>
      </w:r>
    </w:p>
    <w:p w14:paraId="6A394C74" w14:textId="77777777" w:rsidR="00904BA5" w:rsidRPr="00904BA5" w:rsidRDefault="00904BA5" w:rsidP="00904BA5">
      <w:r w:rsidRPr="00904BA5">
        <w:t>La capacidad de almacenamiento de GNL cumple con una de las siguientes condiciones:</w:t>
      </w:r>
    </w:p>
    <w:p w14:paraId="3336EA57" w14:textId="77777777" w:rsidR="00904BA5" w:rsidRPr="00904BA5" w:rsidRDefault="00904BA5" w:rsidP="00904BA5">
      <w:pPr>
        <w:numPr>
          <w:ilvl w:val="1"/>
          <w:numId w:val="1"/>
        </w:numPr>
      </w:pPr>
      <w:r w:rsidRPr="00904BA5">
        <w:t>(a)</w:t>
      </w:r>
    </w:p>
    <w:p w14:paraId="5CC8CA2B" w14:textId="77777777" w:rsidR="00904BA5" w:rsidRPr="00904BA5" w:rsidRDefault="00904BA5" w:rsidP="00904BA5">
      <w:r w:rsidRPr="00904BA5">
        <w:t>Capacidad de agua de cada contenedor de GNL que no exceda 264 000 gal (1000 m </w:t>
      </w:r>
      <w:r w:rsidRPr="00904BA5">
        <w:rPr>
          <w:vertAlign w:val="superscript"/>
        </w:rPr>
        <w:t>3</w:t>
      </w:r>
      <w:r w:rsidRPr="00904BA5">
        <w:t> ) de capacidad de agua con una capacidad total de agua de 1 056 000 gal (3997 m </w:t>
      </w:r>
      <w:r w:rsidRPr="00904BA5">
        <w:rPr>
          <w:vertAlign w:val="superscript"/>
        </w:rPr>
        <w:t>3</w:t>
      </w:r>
      <w:r w:rsidRPr="00904BA5">
        <w:t> ) de almacenamiento de GNL construido de acuerdo con el </w:t>
      </w:r>
      <w:r w:rsidRPr="00904BA5">
        <w:rPr>
          <w:i/>
          <w:iCs/>
        </w:rPr>
        <w:t>Código de calderas y recipientes a presión de ASME</w:t>
      </w:r>
    </w:p>
    <w:p w14:paraId="1E00C72A" w14:textId="77777777" w:rsidR="00904BA5" w:rsidRPr="00904BA5" w:rsidRDefault="00904BA5" w:rsidP="00904BA5">
      <w:pPr>
        <w:numPr>
          <w:ilvl w:val="1"/>
          <w:numId w:val="1"/>
        </w:numPr>
      </w:pPr>
      <w:r w:rsidRPr="00904BA5">
        <w:t>(b)</w:t>
      </w:r>
    </w:p>
    <w:p w14:paraId="1EE54D2F" w14:textId="77777777" w:rsidR="00904BA5" w:rsidRPr="00904BA5" w:rsidRDefault="00904BA5" w:rsidP="00904BA5">
      <w:r w:rsidRPr="00904BA5">
        <w:t>Sistemas de tanques de GNL con una capacidad agregada que no exceda los 1.056.000 galones (3997 m </w:t>
      </w:r>
      <w:r w:rsidRPr="00904BA5">
        <w:rPr>
          <w:vertAlign w:val="superscript"/>
        </w:rPr>
        <w:t>3</w:t>
      </w:r>
      <w:r w:rsidRPr="00904BA5">
        <w:t> ) de capacidad de agua de almacenamiento de GNL</w:t>
      </w:r>
    </w:p>
    <w:p w14:paraId="5DCEBD05" w14:textId="77777777" w:rsidR="00904BA5" w:rsidRPr="00904BA5" w:rsidRDefault="00904BA5" w:rsidP="00904BA5">
      <w:pPr>
        <w:numPr>
          <w:ilvl w:val="0"/>
          <w:numId w:val="1"/>
        </w:numPr>
      </w:pPr>
      <w:r w:rsidRPr="00904BA5">
        <w:t>(2)</w:t>
      </w:r>
    </w:p>
    <w:p w14:paraId="5F364474" w14:textId="77777777" w:rsidR="00904BA5" w:rsidRPr="00904BA5" w:rsidRDefault="00904BA5" w:rsidP="00904BA5">
      <w:r w:rsidRPr="00904BA5">
        <w:t>Masa agregada de fluidos inflamables , excluidos el metano y el GNL, que no exceda las 25 000 lb (11 340 kg) y tanques individuales con una capacidad de almacenamiento que no exceda las 10 000 lb (4536 kg)</w:t>
      </w:r>
    </w:p>
    <w:p w14:paraId="3FECF599" w14:textId="77777777" w:rsidR="00904BA5" w:rsidRPr="00904BA5" w:rsidRDefault="00904BA5" w:rsidP="00904BA5">
      <w:pPr>
        <w:numPr>
          <w:ilvl w:val="0"/>
          <w:numId w:val="1"/>
        </w:numPr>
      </w:pPr>
      <w:r w:rsidRPr="00904BA5">
        <w:lastRenderedPageBreak/>
        <w:t>(3)</w:t>
      </w:r>
    </w:p>
    <w:p w14:paraId="0096D829" w14:textId="77777777" w:rsidR="00904BA5" w:rsidRPr="00904BA5" w:rsidRDefault="00904BA5" w:rsidP="00904BA5">
      <w:r w:rsidRPr="00904BA5">
        <w:t>Fluidos tóxicos con un AEGL-2 de 60 minutos de 10 000 ppm o menos y una masa agregada de fluidos tóxicos que no exceda las 25 000 lb (11 340 kg) y tanques individuales con una capacidad de almacenamiento que no exceda las 10 000 lb (4536 kg)</w:t>
      </w:r>
    </w:p>
    <w:p w14:paraId="35EF4DC0" w14:textId="77777777" w:rsidR="00904BA5" w:rsidRPr="00904BA5" w:rsidRDefault="00904BA5" w:rsidP="00904BA5">
      <w:pPr>
        <w:numPr>
          <w:ilvl w:val="0"/>
          <w:numId w:val="1"/>
        </w:numPr>
      </w:pPr>
      <w:r w:rsidRPr="00904BA5">
        <w:t>(4)</w:t>
      </w:r>
    </w:p>
    <w:p w14:paraId="388682B6" w14:textId="77777777" w:rsidR="00904BA5" w:rsidRPr="00904BA5" w:rsidRDefault="00904BA5" w:rsidP="00904BA5">
      <w:r w:rsidRPr="00904BA5">
        <w:t>Penetraciones en la línea de líquido del contenedor de GNL que no excedan el tamaño nominal de la tubería de 6 pulgadas (15,24 cm)</w:t>
      </w:r>
    </w:p>
    <w:p w14:paraId="1B515BC2" w14:textId="77777777" w:rsidR="00904BA5" w:rsidRPr="00904BA5" w:rsidRDefault="00904BA5" w:rsidP="00904BA5">
      <w:pPr>
        <w:numPr>
          <w:ilvl w:val="0"/>
          <w:numId w:val="1"/>
        </w:numPr>
      </w:pPr>
      <w:r w:rsidRPr="00904BA5">
        <w:t>(5)</w:t>
      </w:r>
    </w:p>
    <w:p w14:paraId="1B39DA93" w14:textId="77777777" w:rsidR="00904BA5" w:rsidRPr="00904BA5" w:rsidRDefault="00904BA5" w:rsidP="00904BA5">
      <w:r w:rsidRPr="00904BA5">
        <w:t>Presión de diseño del contenedor de GNL que no exceda las 300  psi (2068 kPa)</w:t>
      </w:r>
    </w:p>
    <w:p w14:paraId="1582FC9E" w14:textId="77777777" w:rsidR="00904BA5" w:rsidRPr="00904BA5" w:rsidRDefault="00000000" w:rsidP="00904BA5">
      <w:r>
        <w:pict w14:anchorId="0C5E515E">
          <v:rect id="_x0000_i1025" style="width:0;height:1.5pt" o:hralign="center" o:hrstd="t" o:hr="t" fillcolor="#a0a0a0" stroked="f"/>
        </w:pict>
      </w:r>
    </w:p>
    <w:p w14:paraId="5D21EA40" w14:textId="77777777" w:rsidR="00904BA5" w:rsidRPr="00904BA5" w:rsidRDefault="00904BA5" w:rsidP="00904BA5">
      <w:r w:rsidRPr="00904BA5">
        <w:t>17.2 Salas de control.</w:t>
      </w:r>
    </w:p>
    <w:p w14:paraId="79248392" w14:textId="77777777" w:rsidR="00904BA5" w:rsidRPr="00904BA5" w:rsidRDefault="00904BA5" w:rsidP="00904BA5">
      <w:r w:rsidRPr="00904BA5">
        <w:t>Las plantas de GNL de pequeña escala con una capacidad de agua inferior a 264 000 gal (1000 m </w:t>
      </w:r>
      <w:r w:rsidRPr="00904BA5">
        <w:rPr>
          <w:vertAlign w:val="superscript"/>
        </w:rPr>
        <w:t>3</w:t>
      </w:r>
      <w:r w:rsidRPr="00904BA5">
        <w:t> ) que utilizan contenedores construidos de acuerdo con el </w:t>
      </w:r>
      <w:r w:rsidRPr="00904BA5">
        <w:rPr>
          <w:i/>
          <w:iCs/>
        </w:rPr>
        <w:t>Código de calderas y recipientes a presión</w:t>
      </w:r>
      <w:r w:rsidRPr="00904BA5">
        <w:t> de ASME y sin capacidad de licuefacción no estarán obligadas a cumplir con los requisitos para un centro de control en la Sección  </w:t>
      </w:r>
      <w:hyperlink r:id="rId6" w:anchor="ID00059A000101" w:history="1">
        <w:r w:rsidRPr="00904BA5">
          <w:rPr>
            <w:rStyle w:val="Hipervnculo"/>
            <w:b/>
            <w:bCs/>
          </w:rPr>
          <w:t>4.7</w:t>
        </w:r>
      </w:hyperlink>
      <w:r w:rsidRPr="00904BA5">
        <w:t> .</w:t>
      </w:r>
    </w:p>
    <w:p w14:paraId="08D86E94" w14:textId="77777777" w:rsidR="00904BA5" w:rsidRPr="00904BA5" w:rsidRDefault="00000000" w:rsidP="00904BA5">
      <w:r>
        <w:pict w14:anchorId="19644337">
          <v:rect id="_x0000_i1026" style="width:0;height:1.5pt" o:hralign="center" o:hrstd="t" o:hr="t" fillcolor="#a0a0a0" stroked="f"/>
        </w:pict>
      </w:r>
    </w:p>
    <w:p w14:paraId="7216E507" w14:textId="77777777" w:rsidR="00904BA5" w:rsidRPr="00904BA5" w:rsidRDefault="00904BA5" w:rsidP="00904BA5">
      <w:r w:rsidRPr="00904BA5">
        <w:t>17.3 Ubicación de la planta.</w:t>
      </w:r>
    </w:p>
    <w:p w14:paraId="735D1F66" w14:textId="77777777" w:rsidR="00904BA5" w:rsidRPr="00904BA5" w:rsidRDefault="00904BA5" w:rsidP="00904BA5">
      <w:pPr>
        <w:rPr>
          <w:b/>
          <w:bCs/>
        </w:rPr>
      </w:pPr>
      <w:hyperlink r:id="rId7" w:anchor="ID00059A002279" w:history="1">
        <w:r w:rsidRPr="00904BA5">
          <w:rPr>
            <w:rStyle w:val="Hipervnculo"/>
            <w:b/>
            <w:bCs/>
          </w:rPr>
          <w:t>17.3.1*</w:t>
        </w:r>
      </w:hyperlink>
      <w:r w:rsidRPr="00904BA5">
        <w:rPr>
          <w:b/>
          <w:bCs/>
        </w:rPr>
        <w:t xml:space="preserve">  Disposiciones del sitio de la planta.</w:t>
      </w:r>
    </w:p>
    <w:p w14:paraId="568A6E96" w14:textId="77777777" w:rsidR="00904BA5" w:rsidRPr="00904BA5" w:rsidRDefault="00904BA5" w:rsidP="00904BA5">
      <w:r w:rsidRPr="00904BA5">
        <w:rPr>
          <w:b/>
          <w:bCs/>
        </w:rPr>
        <w:t>17.3.1.1 </w:t>
      </w:r>
    </w:p>
    <w:p w14:paraId="17C144F0" w14:textId="77777777" w:rsidR="00904BA5" w:rsidRPr="00904BA5" w:rsidRDefault="00904BA5" w:rsidP="00904BA5">
      <w:r w:rsidRPr="00904BA5">
        <w:t>Una evaluación escrita de la planta y del sitio deberá identificar y analizar los posibles incidentes que tengan incidencia en la seguridad del personal de la planta y del público circundante.</w:t>
      </w:r>
    </w:p>
    <w:p w14:paraId="6C7E79DC" w14:textId="77777777" w:rsidR="00904BA5" w:rsidRPr="00904BA5" w:rsidRDefault="00904BA5" w:rsidP="00904BA5">
      <w:pPr>
        <w:rPr>
          <w:b/>
          <w:bCs/>
        </w:rPr>
      </w:pPr>
      <w:r w:rsidRPr="00904BA5">
        <w:rPr>
          <w:b/>
          <w:bCs/>
        </w:rPr>
        <w:lastRenderedPageBreak/>
        <w:t>17.3.1.2 </w:t>
      </w:r>
    </w:p>
    <w:p w14:paraId="4B15E27C" w14:textId="77777777" w:rsidR="00904BA5" w:rsidRPr="00904BA5" w:rsidRDefault="00904BA5" w:rsidP="00904BA5">
      <w:r w:rsidRPr="00904BA5">
        <w:t>La evaluación de la planta y del sitio también deberá identificar las medidas de seguridad incorporadas en el diseño y operación de la planta considerando lo siguiente, según corresponda:</w:t>
      </w:r>
    </w:p>
    <w:p w14:paraId="219E88BD" w14:textId="77777777" w:rsidR="00904BA5" w:rsidRPr="00904BA5" w:rsidRDefault="00904BA5" w:rsidP="00904BA5">
      <w:pPr>
        <w:numPr>
          <w:ilvl w:val="0"/>
          <w:numId w:val="2"/>
        </w:numPr>
      </w:pPr>
      <w:r w:rsidRPr="00904BA5">
        <w:t>(1)</w:t>
      </w:r>
    </w:p>
    <w:p w14:paraId="59F07E65" w14:textId="77777777" w:rsidR="00904BA5" w:rsidRPr="00904BA5" w:rsidRDefault="00904BA5" w:rsidP="00904BA5">
      <w:r w:rsidRPr="00904BA5">
        <w:t>Análisis de peligros del proceso</w:t>
      </w:r>
    </w:p>
    <w:p w14:paraId="7A2DCA52" w14:textId="77777777" w:rsidR="00904BA5" w:rsidRPr="00904BA5" w:rsidRDefault="00904BA5" w:rsidP="00904BA5">
      <w:pPr>
        <w:numPr>
          <w:ilvl w:val="0"/>
          <w:numId w:val="2"/>
        </w:numPr>
      </w:pPr>
      <w:r w:rsidRPr="00904BA5">
        <w:t>(2)</w:t>
      </w:r>
    </w:p>
    <w:p w14:paraId="49B79FA1" w14:textId="77777777" w:rsidR="00904BA5" w:rsidRPr="00904BA5" w:rsidRDefault="00904BA5" w:rsidP="00904BA5">
      <w:r w:rsidRPr="00904BA5">
        <w:t>Actividades de transporte que podrían afectar la planta propuesta</w:t>
      </w:r>
    </w:p>
    <w:p w14:paraId="2473B670" w14:textId="77777777" w:rsidR="00904BA5" w:rsidRPr="00904BA5" w:rsidRDefault="00904BA5" w:rsidP="00904BA5">
      <w:pPr>
        <w:numPr>
          <w:ilvl w:val="0"/>
          <w:numId w:val="2"/>
        </w:numPr>
      </w:pPr>
      <w:r w:rsidRPr="00904BA5">
        <w:t>(3)</w:t>
      </w:r>
    </w:p>
    <w:p w14:paraId="062A9D17" w14:textId="77777777" w:rsidR="00904BA5" w:rsidRPr="00904BA5" w:rsidRDefault="00904BA5" w:rsidP="00904BA5">
      <w:r w:rsidRPr="00904BA5">
        <w:t>Peligros en las instalaciones adyacentes</w:t>
      </w:r>
    </w:p>
    <w:p w14:paraId="2BD929E3" w14:textId="77777777" w:rsidR="00904BA5" w:rsidRPr="00904BA5" w:rsidRDefault="00904BA5" w:rsidP="00904BA5">
      <w:pPr>
        <w:numPr>
          <w:ilvl w:val="0"/>
          <w:numId w:val="2"/>
        </w:numPr>
      </w:pPr>
      <w:r w:rsidRPr="00904BA5">
        <w:t>(4)</w:t>
      </w:r>
    </w:p>
    <w:p w14:paraId="4528BB96" w14:textId="77777777" w:rsidR="00904BA5" w:rsidRPr="00904BA5" w:rsidRDefault="00904BA5" w:rsidP="00904BA5">
      <w:r w:rsidRPr="00904BA5">
        <w:t>Condiciones meteorológicas y geológicas</w:t>
      </w:r>
    </w:p>
    <w:p w14:paraId="46B14654" w14:textId="77777777" w:rsidR="00904BA5" w:rsidRPr="00904BA5" w:rsidRDefault="00904BA5" w:rsidP="00904BA5">
      <w:pPr>
        <w:numPr>
          <w:ilvl w:val="0"/>
          <w:numId w:val="2"/>
        </w:numPr>
      </w:pPr>
      <w:r w:rsidRPr="00904BA5">
        <w:t>(5)</w:t>
      </w:r>
    </w:p>
    <w:p w14:paraId="19E3E061" w14:textId="77777777" w:rsidR="00904BA5" w:rsidRPr="00904BA5" w:rsidRDefault="00904BA5" w:rsidP="00904BA5">
      <w:r w:rsidRPr="00904BA5">
        <w:t>Análisis de amenazas y vulnerabilidades de seguridad</w:t>
      </w:r>
    </w:p>
    <w:p w14:paraId="5623B73D" w14:textId="77777777" w:rsidR="00904BA5" w:rsidRPr="00904BA5" w:rsidRDefault="00904BA5" w:rsidP="00904BA5">
      <w:pPr>
        <w:rPr>
          <w:b/>
          <w:bCs/>
        </w:rPr>
      </w:pPr>
      <w:r w:rsidRPr="00904BA5">
        <w:rPr>
          <w:b/>
          <w:bCs/>
        </w:rPr>
        <w:t>17.3.1.3 </w:t>
      </w:r>
    </w:p>
    <w:p w14:paraId="33397C5F" w14:textId="77777777" w:rsidR="00904BA5" w:rsidRPr="00904BA5" w:rsidRDefault="00904BA5" w:rsidP="00904BA5">
      <w:r w:rsidRPr="00904BA5">
        <w:t>Una evaluación escrita de la planta y del sitio deberá evaluar las consecuencias asociadas con incidentes potenciales derivados de los peligros identificados.</w:t>
      </w:r>
    </w:p>
    <w:p w14:paraId="3F6520DA" w14:textId="77777777" w:rsidR="00904BA5" w:rsidRPr="00904BA5" w:rsidRDefault="00904BA5" w:rsidP="00904BA5">
      <w:pPr>
        <w:rPr>
          <w:b/>
          <w:bCs/>
        </w:rPr>
      </w:pPr>
      <w:r w:rsidRPr="00904BA5">
        <w:rPr>
          <w:b/>
          <w:bCs/>
        </w:rPr>
        <w:t>17.3.1.4 </w:t>
      </w:r>
    </w:p>
    <w:p w14:paraId="25AA2AF5" w14:textId="77777777" w:rsidR="00904BA5" w:rsidRPr="00904BA5" w:rsidRDefault="00904BA5" w:rsidP="00904BA5">
      <w:r w:rsidRPr="00904BA5">
        <w:t>Se deberá proporcionar accesibilidad a la planta en todo tipo de clima para la seguridad del personal y la protección contra incendios.</w:t>
      </w:r>
    </w:p>
    <w:p w14:paraId="0C3EB1BA" w14:textId="77777777" w:rsidR="00904BA5" w:rsidRPr="00904BA5" w:rsidRDefault="00904BA5" w:rsidP="00904BA5">
      <w:pPr>
        <w:rPr>
          <w:b/>
          <w:bCs/>
        </w:rPr>
      </w:pPr>
      <w:r w:rsidRPr="00904BA5">
        <w:rPr>
          <w:b/>
          <w:bCs/>
        </w:rPr>
        <w:lastRenderedPageBreak/>
        <w:t>17.3.1.5 </w:t>
      </w:r>
    </w:p>
    <w:p w14:paraId="5C34F34D" w14:textId="77777777" w:rsidR="00904BA5" w:rsidRPr="00904BA5" w:rsidRDefault="00904BA5" w:rsidP="00904BA5">
      <w:r w:rsidRPr="00904BA5">
        <w:t>Se realizarán investigaciones del suelo y generales del sitio para determinar la base de diseño para la instalación.</w:t>
      </w:r>
    </w:p>
    <w:p w14:paraId="7666BCCB" w14:textId="77777777" w:rsidR="00904BA5" w:rsidRPr="00904BA5" w:rsidRDefault="00904BA5" w:rsidP="00904BA5">
      <w:pPr>
        <w:rPr>
          <w:b/>
          <w:bCs/>
        </w:rPr>
      </w:pPr>
      <w:r w:rsidRPr="00904BA5">
        <w:rPr>
          <w:b/>
          <w:bCs/>
        </w:rPr>
        <w:t>17.3.2 Disposiciones del sitio para el control de derrames y fugas.</w:t>
      </w:r>
    </w:p>
    <w:p w14:paraId="5E65A032" w14:textId="77777777" w:rsidR="00904BA5" w:rsidRPr="00904BA5" w:rsidRDefault="00904BA5" w:rsidP="00904BA5">
      <w:r w:rsidRPr="00904BA5">
        <w:rPr>
          <w:b/>
          <w:bCs/>
        </w:rPr>
        <w:t>17.3.2.1 Generalidades.</w:t>
      </w:r>
    </w:p>
    <w:p w14:paraId="7BBF8018" w14:textId="77777777" w:rsidR="00904BA5" w:rsidRPr="00904BA5" w:rsidRDefault="00904BA5" w:rsidP="00904BA5">
      <w:pPr>
        <w:rPr>
          <w:b/>
          <w:bCs/>
        </w:rPr>
      </w:pPr>
      <w:r w:rsidRPr="00904BA5">
        <w:rPr>
          <w:b/>
          <w:bCs/>
        </w:rPr>
        <w:t>17.3.2.1.1 </w:t>
      </w:r>
    </w:p>
    <w:p w14:paraId="7CA20211" w14:textId="77777777" w:rsidR="00904BA5" w:rsidRPr="00904BA5" w:rsidRDefault="00904BA5" w:rsidP="00904BA5">
      <w:r w:rsidRPr="00904BA5">
        <w:t>Se deberán tomar disposiciones para minimizar el potencial de descarga de líquidos peligrosos en contenedores, tuberías y otros equipos, de modo que una descarga de cualquiera de ellos no ponga en peligro propiedades adyacentes, edificios ocupados o equipos y estructuras de proceso importantes, ni llegue a vías fluviales.</w:t>
      </w:r>
    </w:p>
    <w:p w14:paraId="6E362EFF" w14:textId="77777777" w:rsidR="00904BA5" w:rsidRPr="00904BA5" w:rsidRDefault="00904BA5" w:rsidP="00904BA5">
      <w:pPr>
        <w:rPr>
          <w:b/>
          <w:bCs/>
        </w:rPr>
      </w:pPr>
      <w:hyperlink r:id="rId8" w:anchor="ID00059A002486" w:history="1">
        <w:r w:rsidRPr="00904BA5">
          <w:rPr>
            <w:rStyle w:val="Hipervnculo"/>
            <w:b/>
            <w:bCs/>
          </w:rPr>
          <w:t>17.3.2.1.1.1*</w:t>
        </w:r>
      </w:hyperlink>
      <w:r w:rsidRPr="00904BA5">
        <w:rPr>
          <w:b/>
          <w:bCs/>
        </w:rPr>
        <w:t> </w:t>
      </w:r>
    </w:p>
    <w:p w14:paraId="2FB5F156" w14:textId="77777777" w:rsidR="00904BA5" w:rsidRPr="00904BA5" w:rsidRDefault="00904BA5" w:rsidP="00904BA5">
      <w:r w:rsidRPr="00904BA5">
        <w:t>Se realizará un análisis que determine los límites prácticos de derrames de líquidos no represados.</w:t>
      </w:r>
    </w:p>
    <w:p w14:paraId="71F83E17" w14:textId="77777777" w:rsidR="00904BA5" w:rsidRPr="00904BA5" w:rsidRDefault="00904BA5" w:rsidP="00904BA5">
      <w:pPr>
        <w:rPr>
          <w:b/>
          <w:bCs/>
        </w:rPr>
      </w:pPr>
      <w:r w:rsidRPr="00904BA5">
        <w:rPr>
          <w:b/>
          <w:bCs/>
        </w:rPr>
        <w:t>17.3.2.1.1.2 </w:t>
      </w:r>
    </w:p>
    <w:p w14:paraId="5B72EDFE" w14:textId="77777777" w:rsidR="00904BA5" w:rsidRPr="00904BA5" w:rsidRDefault="00904BA5" w:rsidP="00904BA5">
      <w:r w:rsidRPr="00904BA5">
        <w:t>Si el análisis determina que el líquido no permanece en la propiedad o podría ingresar a conductos subterráneos, los contenedores de GNL y líquidos peligrosos deberán estar provistos de uno de los siguientes métodos para contener cualquier liberación:</w:t>
      </w:r>
    </w:p>
    <w:p w14:paraId="63210A01" w14:textId="77777777" w:rsidR="00904BA5" w:rsidRPr="00904BA5" w:rsidRDefault="00904BA5" w:rsidP="00904BA5">
      <w:pPr>
        <w:numPr>
          <w:ilvl w:val="0"/>
          <w:numId w:val="3"/>
        </w:numPr>
      </w:pPr>
      <w:r w:rsidRPr="00904BA5">
        <w:t>(1)</w:t>
      </w:r>
    </w:p>
    <w:p w14:paraId="0589B550" w14:textId="77777777" w:rsidR="00904BA5" w:rsidRPr="00904BA5" w:rsidRDefault="00904BA5" w:rsidP="00904BA5">
      <w:r w:rsidRPr="00904BA5">
        <w:t>Un área de embalse que rodea el contenedor o los contenedores y que está formada por una barrera natural, un dique, un muro de embalse o una combinación de estos que cumple con el Capítulo  </w:t>
      </w:r>
      <w:hyperlink r:id="rId9" w:history="1">
        <w:r w:rsidRPr="00904BA5">
          <w:rPr>
            <w:rStyle w:val="Hipervnculo"/>
            <w:b/>
            <w:bCs/>
          </w:rPr>
          <w:t>13</w:t>
        </w:r>
      </w:hyperlink>
      <w:r w:rsidRPr="00904BA5">
        <w:t> y el Capítulo  </w:t>
      </w:r>
      <w:hyperlink r:id="rId10" w:history="1">
        <w:r w:rsidRPr="00904BA5">
          <w:rPr>
            <w:rStyle w:val="Hipervnculo"/>
            <w:b/>
            <w:bCs/>
          </w:rPr>
          <w:t>6</w:t>
        </w:r>
      </w:hyperlink>
    </w:p>
    <w:p w14:paraId="0EFD7596" w14:textId="77777777" w:rsidR="00904BA5" w:rsidRPr="00904BA5" w:rsidRDefault="00904BA5" w:rsidP="00904BA5">
      <w:pPr>
        <w:numPr>
          <w:ilvl w:val="0"/>
          <w:numId w:val="3"/>
        </w:numPr>
      </w:pPr>
      <w:r w:rsidRPr="00904BA5">
        <w:t>(2)</w:t>
      </w:r>
    </w:p>
    <w:p w14:paraId="2C94C5D3" w14:textId="77777777" w:rsidR="00904BA5" w:rsidRPr="00904BA5" w:rsidRDefault="00904BA5" w:rsidP="00904BA5">
      <w:r w:rsidRPr="00904BA5">
        <w:lastRenderedPageBreak/>
        <w:t>Un área de embalse formada por una barrera natural, dique, excavación, muro de embalse o una combinación de los mismos que cumpla con el Capítulo  </w:t>
      </w:r>
      <w:hyperlink r:id="rId11" w:history="1">
        <w:r w:rsidRPr="00904BA5">
          <w:rPr>
            <w:rStyle w:val="Hipervnculo"/>
            <w:b/>
            <w:bCs/>
          </w:rPr>
          <w:t>13</w:t>
        </w:r>
      </w:hyperlink>
      <w:r w:rsidRPr="00904BA5">
        <w:t> y el Capítulo  </w:t>
      </w:r>
      <w:hyperlink r:id="rId12" w:history="1">
        <w:r w:rsidRPr="00904BA5">
          <w:rPr>
            <w:rStyle w:val="Hipervnculo"/>
            <w:b/>
            <w:bCs/>
          </w:rPr>
          <w:t>6</w:t>
        </w:r>
      </w:hyperlink>
      <w:r w:rsidRPr="00904BA5">
        <w:t> , más un sistema de drenaje natural o artificial que rodea el/los contenedor(es) que cumpla con el Capítulo  </w:t>
      </w:r>
      <w:hyperlink r:id="rId13" w:history="1">
        <w:r w:rsidRPr="00904BA5">
          <w:rPr>
            <w:rStyle w:val="Hipervnculo"/>
            <w:b/>
            <w:bCs/>
          </w:rPr>
          <w:t>13</w:t>
        </w:r>
      </w:hyperlink>
      <w:r w:rsidRPr="00904BA5">
        <w:t> y el Capítulo  </w:t>
      </w:r>
      <w:hyperlink r:id="rId14" w:history="1">
        <w:r w:rsidRPr="00904BA5">
          <w:rPr>
            <w:rStyle w:val="Hipervnculo"/>
            <w:b/>
            <w:bCs/>
          </w:rPr>
          <w:t>6</w:t>
        </w:r>
      </w:hyperlink>
    </w:p>
    <w:p w14:paraId="6275EA52" w14:textId="77777777" w:rsidR="00904BA5" w:rsidRPr="00904BA5" w:rsidRDefault="00904BA5" w:rsidP="00904BA5">
      <w:pPr>
        <w:numPr>
          <w:ilvl w:val="0"/>
          <w:numId w:val="3"/>
        </w:numPr>
      </w:pPr>
      <w:r w:rsidRPr="00904BA5">
        <w:t>(3)</w:t>
      </w:r>
    </w:p>
    <w:p w14:paraId="60AB2E3E" w14:textId="77777777" w:rsidR="00904BA5" w:rsidRPr="00904BA5" w:rsidRDefault="00904BA5" w:rsidP="00904BA5">
      <w:r w:rsidRPr="00904BA5">
        <w:t>Cuando el contenedor se construye por debajo o parcialmente por debajo del nivel del suelo circundante, se debe formar un área de contención mediante excavación que cumpla con el Capítulo  </w:t>
      </w:r>
      <w:hyperlink r:id="rId15" w:history="1">
        <w:r w:rsidRPr="00904BA5">
          <w:rPr>
            <w:rStyle w:val="Hipervnculo"/>
            <w:b/>
            <w:bCs/>
          </w:rPr>
          <w:t>13</w:t>
        </w:r>
      </w:hyperlink>
      <w:r w:rsidRPr="00904BA5">
        <w:t> y el Capítulo  </w:t>
      </w:r>
      <w:hyperlink r:id="rId16" w:history="1">
        <w:r w:rsidRPr="00904BA5">
          <w:rPr>
            <w:rStyle w:val="Hipervnculo"/>
            <w:b/>
            <w:bCs/>
          </w:rPr>
          <w:t>6.</w:t>
        </w:r>
      </w:hyperlink>
    </w:p>
    <w:p w14:paraId="2219F44A" w14:textId="77777777" w:rsidR="00904BA5" w:rsidRPr="00904BA5" w:rsidRDefault="00904BA5" w:rsidP="00904BA5">
      <w:pPr>
        <w:numPr>
          <w:ilvl w:val="0"/>
          <w:numId w:val="3"/>
        </w:numPr>
      </w:pPr>
      <w:r w:rsidRPr="00904BA5">
        <w:t>(4)</w:t>
      </w:r>
    </w:p>
    <w:p w14:paraId="58BD86B6" w14:textId="77777777" w:rsidR="00904BA5" w:rsidRPr="00904BA5" w:rsidRDefault="00904BA5" w:rsidP="00904BA5">
      <w:r w:rsidRPr="00904BA5">
        <w:t>Contención secundaria según se requiera para sistemas de tanques de contención doble, completa o de membrana que cumplan con el Capítulo  </w:t>
      </w:r>
      <w:hyperlink r:id="rId17" w:history="1">
        <w:r w:rsidRPr="00904BA5">
          <w:rPr>
            <w:rStyle w:val="Hipervnculo"/>
            <w:b/>
            <w:bCs/>
          </w:rPr>
          <w:t>13</w:t>
        </w:r>
      </w:hyperlink>
      <w:r w:rsidRPr="00904BA5">
        <w:t> y el Capítulo  </w:t>
      </w:r>
      <w:hyperlink r:id="rId18" w:history="1">
        <w:r w:rsidRPr="00904BA5">
          <w:rPr>
            <w:rStyle w:val="Hipervnculo"/>
            <w:b/>
            <w:bCs/>
          </w:rPr>
          <w:t>6</w:t>
        </w:r>
      </w:hyperlink>
    </w:p>
    <w:p w14:paraId="79E5C70F" w14:textId="77777777" w:rsidR="00904BA5" w:rsidRPr="00904BA5" w:rsidRDefault="00904BA5" w:rsidP="00904BA5">
      <w:pPr>
        <w:rPr>
          <w:b/>
          <w:bCs/>
        </w:rPr>
      </w:pPr>
      <w:r w:rsidRPr="00904BA5">
        <w:rPr>
          <w:b/>
          <w:bCs/>
        </w:rPr>
        <w:t>17.3.2.1.2 </w:t>
      </w:r>
    </w:p>
    <w:p w14:paraId="7F128D92" w14:textId="77777777" w:rsidR="00904BA5" w:rsidRPr="00904BA5" w:rsidRDefault="00904BA5" w:rsidP="00904BA5">
      <w:r w:rsidRPr="00904BA5">
        <w:t>Cuando exista la posibilidad de que se acumulen derrames de líquidos peligrosos y pongan en peligro propiedades adyacentes, edificios ocupados o equipos y estructuras de procesos importantes, o que lleguen a vías fluviales, las siguientes áreas deberán nivelarse, drenarse o dotarse de un embalse:</w:t>
      </w:r>
    </w:p>
    <w:p w14:paraId="05CE1573" w14:textId="77777777" w:rsidR="00904BA5" w:rsidRPr="00904BA5" w:rsidRDefault="00904BA5" w:rsidP="00904BA5">
      <w:pPr>
        <w:numPr>
          <w:ilvl w:val="0"/>
          <w:numId w:val="4"/>
        </w:numPr>
      </w:pPr>
      <w:r w:rsidRPr="00904BA5">
        <w:t>(1)</w:t>
      </w:r>
    </w:p>
    <w:p w14:paraId="4E19968C" w14:textId="77777777" w:rsidR="00904BA5" w:rsidRPr="00904BA5" w:rsidRDefault="00904BA5" w:rsidP="00904BA5">
      <w:r w:rsidRPr="00904BA5">
        <w:t>Áreas de proceso</w:t>
      </w:r>
    </w:p>
    <w:p w14:paraId="46B1546C" w14:textId="77777777" w:rsidR="00904BA5" w:rsidRPr="00904BA5" w:rsidRDefault="00904BA5" w:rsidP="00904BA5">
      <w:pPr>
        <w:numPr>
          <w:ilvl w:val="0"/>
          <w:numId w:val="4"/>
        </w:numPr>
      </w:pPr>
      <w:r w:rsidRPr="00904BA5">
        <w:t>(2)</w:t>
      </w:r>
    </w:p>
    <w:p w14:paraId="1C008BBA" w14:textId="77777777" w:rsidR="00904BA5" w:rsidRPr="00904BA5" w:rsidRDefault="00904BA5" w:rsidP="00904BA5">
      <w:r w:rsidRPr="00904BA5">
        <w:t>Áreas de vaporización</w:t>
      </w:r>
    </w:p>
    <w:p w14:paraId="5BFD25E7" w14:textId="77777777" w:rsidR="00904BA5" w:rsidRPr="00904BA5" w:rsidRDefault="00904BA5" w:rsidP="00904BA5">
      <w:pPr>
        <w:numPr>
          <w:ilvl w:val="0"/>
          <w:numId w:val="4"/>
        </w:numPr>
      </w:pPr>
      <w:r w:rsidRPr="00904BA5">
        <w:t>(3)</w:t>
      </w:r>
    </w:p>
    <w:p w14:paraId="19A3E5C3" w14:textId="77777777" w:rsidR="00904BA5" w:rsidRPr="00904BA5" w:rsidRDefault="00904BA5" w:rsidP="00904BA5">
      <w:r w:rsidRPr="00904BA5">
        <w:t>Áreas de licuefacción</w:t>
      </w:r>
    </w:p>
    <w:p w14:paraId="3FB23152" w14:textId="77777777" w:rsidR="00904BA5" w:rsidRPr="00904BA5" w:rsidRDefault="00904BA5" w:rsidP="00904BA5">
      <w:pPr>
        <w:numPr>
          <w:ilvl w:val="0"/>
          <w:numId w:val="4"/>
        </w:numPr>
      </w:pPr>
      <w:r w:rsidRPr="00904BA5">
        <w:lastRenderedPageBreak/>
        <w:t>(4)</w:t>
      </w:r>
    </w:p>
    <w:p w14:paraId="321AFB92" w14:textId="77777777" w:rsidR="00904BA5" w:rsidRPr="00904BA5" w:rsidRDefault="00904BA5" w:rsidP="00904BA5">
      <w:r w:rsidRPr="00904BA5">
        <w:t>Áreas de transferencia</w:t>
      </w:r>
    </w:p>
    <w:p w14:paraId="5031CF47" w14:textId="77777777" w:rsidR="00904BA5" w:rsidRPr="00904BA5" w:rsidRDefault="00904BA5" w:rsidP="00904BA5">
      <w:pPr>
        <w:numPr>
          <w:ilvl w:val="0"/>
          <w:numId w:val="4"/>
        </w:numPr>
      </w:pPr>
      <w:r w:rsidRPr="00904BA5">
        <w:t>(5)</w:t>
      </w:r>
    </w:p>
    <w:p w14:paraId="21E9BC53" w14:textId="77777777" w:rsidR="00904BA5" w:rsidRPr="00904BA5" w:rsidRDefault="00904BA5" w:rsidP="00904BA5">
      <w:r w:rsidRPr="00904BA5">
        <w:t>Áreas de almacenamiento</w:t>
      </w:r>
    </w:p>
    <w:p w14:paraId="1EEA745A" w14:textId="77777777" w:rsidR="00904BA5" w:rsidRPr="00904BA5" w:rsidRDefault="00904BA5" w:rsidP="00904BA5">
      <w:pPr>
        <w:rPr>
          <w:b/>
          <w:bCs/>
        </w:rPr>
      </w:pPr>
      <w:r w:rsidRPr="00904BA5">
        <w:rPr>
          <w:b/>
          <w:bCs/>
        </w:rPr>
        <w:t>17.3.2.1.3 </w:t>
      </w:r>
    </w:p>
    <w:p w14:paraId="237E5D04" w14:textId="77777777" w:rsidR="00904BA5" w:rsidRPr="00904BA5" w:rsidRDefault="00904BA5" w:rsidP="00904BA5">
      <w:r w:rsidRPr="00904BA5">
        <w:t>Se permitirá que los sistemas de contención secundaria diseñados de acuerdo con </w:t>
      </w:r>
      <w:hyperlink r:id="rId19" w:anchor="ID00059A000750" w:history="1">
        <w:r w:rsidRPr="00904BA5">
          <w:rPr>
            <w:rStyle w:val="Hipervnculo"/>
            <w:b/>
            <w:bCs/>
          </w:rPr>
          <w:t>10.13.3.3</w:t>
        </w:r>
      </w:hyperlink>
      <w:r w:rsidRPr="00904BA5">
        <w:t> sirvan como área de contención.</w:t>
      </w:r>
    </w:p>
    <w:p w14:paraId="41C31E65" w14:textId="77777777" w:rsidR="00904BA5" w:rsidRPr="00904BA5" w:rsidRDefault="00904BA5" w:rsidP="00904BA5">
      <w:pPr>
        <w:rPr>
          <w:b/>
          <w:bCs/>
        </w:rPr>
      </w:pPr>
      <w:r w:rsidRPr="00904BA5">
        <w:rPr>
          <w:b/>
          <w:bCs/>
        </w:rPr>
        <w:t>17.3.2.1.4 </w:t>
      </w:r>
    </w:p>
    <w:p w14:paraId="7571EE84" w14:textId="77777777" w:rsidR="00904BA5" w:rsidRPr="00904BA5" w:rsidRDefault="00904BA5" w:rsidP="00904BA5">
      <w:r w:rsidRPr="00904BA5">
        <w:t>Si se requiere que las áreas de embalse cumplan con </w:t>
      </w:r>
      <w:hyperlink r:id="rId20" w:anchor="ID00059A002289" w:history="1">
        <w:r w:rsidRPr="00904BA5">
          <w:rPr>
            <w:rStyle w:val="Hipervnculo"/>
            <w:b/>
            <w:bCs/>
          </w:rPr>
          <w:t>17.3.2.1.6</w:t>
        </w:r>
      </w:hyperlink>
      <w:r w:rsidRPr="00904BA5">
        <w:t> , las áreas deberán estar de acuerdo con el Capítulo  </w:t>
      </w:r>
      <w:hyperlink r:id="rId21" w:history="1">
        <w:r w:rsidRPr="00904BA5">
          <w:rPr>
            <w:rStyle w:val="Hipervnculo"/>
            <w:b/>
            <w:bCs/>
          </w:rPr>
          <w:t>13</w:t>
        </w:r>
      </w:hyperlink>
      <w:r w:rsidRPr="00904BA5">
        <w:t> y el Capítulo  </w:t>
      </w:r>
      <w:hyperlink r:id="rId22" w:history="1">
        <w:r w:rsidRPr="00904BA5">
          <w:rPr>
            <w:rStyle w:val="Hipervnculo"/>
            <w:b/>
            <w:bCs/>
          </w:rPr>
          <w:t>6</w:t>
        </w:r>
      </w:hyperlink>
      <w:r w:rsidRPr="00904BA5">
        <w:t> .</w:t>
      </w:r>
    </w:p>
    <w:p w14:paraId="2ED83863" w14:textId="77777777" w:rsidR="00904BA5" w:rsidRPr="00904BA5" w:rsidRDefault="00904BA5" w:rsidP="00904BA5">
      <w:pPr>
        <w:rPr>
          <w:b/>
          <w:bCs/>
        </w:rPr>
      </w:pPr>
      <w:r w:rsidRPr="00904BA5">
        <w:rPr>
          <w:b/>
          <w:bCs/>
        </w:rPr>
        <w:t>17.3.2.1.5 </w:t>
      </w:r>
    </w:p>
    <w:p w14:paraId="37F80050" w14:textId="77777777" w:rsidR="00904BA5" w:rsidRPr="00904BA5" w:rsidRDefault="00904BA5" w:rsidP="00904BA5">
      <w:r w:rsidRPr="00904BA5">
        <w:t>Las disposiciones de </w:t>
      </w:r>
      <w:hyperlink r:id="rId23" w:anchor="ID00059A002282" w:history="1">
        <w:r w:rsidRPr="00904BA5">
          <w:rPr>
            <w:rStyle w:val="Hipervnculo"/>
            <w:b/>
            <w:bCs/>
          </w:rPr>
          <w:t>17.3.2.1.1</w:t>
        </w:r>
      </w:hyperlink>
      <w:r w:rsidRPr="00904BA5">
        <w:t> , </w:t>
      </w:r>
      <w:hyperlink r:id="rId24" w:anchor="ID00059A002283" w:history="1">
        <w:r w:rsidRPr="00904BA5">
          <w:rPr>
            <w:rStyle w:val="Hipervnculo"/>
            <w:b/>
            <w:bCs/>
          </w:rPr>
          <w:t>17.3.2.1.1.1</w:t>
        </w:r>
      </w:hyperlink>
      <w:r w:rsidRPr="00904BA5">
        <w:t> , </w:t>
      </w:r>
      <w:hyperlink r:id="rId25" w:anchor="ID00059A002285" w:history="1">
        <w:r w:rsidRPr="00904BA5">
          <w:rPr>
            <w:rStyle w:val="Hipervnculo"/>
            <w:b/>
            <w:bCs/>
          </w:rPr>
          <w:t>17.3.2.1.2</w:t>
        </w:r>
      </w:hyperlink>
      <w:r w:rsidRPr="00904BA5">
        <w:t> y </w:t>
      </w:r>
      <w:hyperlink r:id="rId26" w:anchor="ID00059A002289" w:history="1">
        <w:r w:rsidRPr="00904BA5">
          <w:rPr>
            <w:rStyle w:val="Hipervnculo"/>
            <w:b/>
            <w:bCs/>
          </w:rPr>
          <w:t>17.3.2.1.6</w:t>
        </w:r>
      </w:hyperlink>
      <w:r w:rsidRPr="00904BA5">
        <w:t> que se aplican a propiedades o vías fluviales adyacentes se podrán eximir o modificar a discreción de la autoridad competente cuando el cambio no constituya un peligro concreto para la vida o la propiedad ni entre en conflicto con las reglamentaciones federales, estatales y locales (nacionales, provinciales y locales) aplicables.</w:t>
      </w:r>
    </w:p>
    <w:p w14:paraId="4030C871" w14:textId="77777777" w:rsidR="00904BA5" w:rsidRPr="00904BA5" w:rsidRDefault="00904BA5" w:rsidP="00904BA5">
      <w:pPr>
        <w:rPr>
          <w:b/>
          <w:bCs/>
        </w:rPr>
      </w:pPr>
      <w:r w:rsidRPr="00904BA5">
        <w:rPr>
          <w:b/>
          <w:bCs/>
        </w:rPr>
        <w:t>17.3.2.1.6 </w:t>
      </w:r>
    </w:p>
    <w:p w14:paraId="2A86668D" w14:textId="77777777" w:rsidR="00904BA5" w:rsidRPr="00904BA5" w:rsidRDefault="00904BA5" w:rsidP="00904BA5">
      <w:r w:rsidRPr="00904BA5">
        <w:t>La preparación del sitio deberá incluir disposiciones para la retención de líquidos peligrosos derramados donde los líquidos puedan acumularse en el suelo dentro de los límites de la propiedad de la planta y para el drenaje de aguas superficiales.</w:t>
      </w:r>
    </w:p>
    <w:p w14:paraId="0118FE5A" w14:textId="77777777" w:rsidR="00904BA5" w:rsidRPr="00904BA5" w:rsidRDefault="00904BA5" w:rsidP="00904BA5">
      <w:pPr>
        <w:rPr>
          <w:b/>
          <w:bCs/>
        </w:rPr>
      </w:pPr>
      <w:r w:rsidRPr="00904BA5">
        <w:rPr>
          <w:b/>
          <w:bCs/>
        </w:rPr>
        <w:t>17.3.2.2 Análisis de retroceso.</w:t>
      </w:r>
    </w:p>
    <w:p w14:paraId="36E26EFB" w14:textId="77777777" w:rsidR="00904BA5" w:rsidRPr="00904BA5" w:rsidRDefault="00904BA5" w:rsidP="00904BA5">
      <w:r w:rsidRPr="00904BA5">
        <w:t>El retroceso del equipo supone que el uso de válvulas de retención de producto cumple con lo establecido en </w:t>
      </w:r>
      <w:hyperlink r:id="rId27" w:anchor="ID00059A002291" w:history="1">
        <w:r w:rsidRPr="00904BA5">
          <w:rPr>
            <w:rStyle w:val="Hipervnculo"/>
            <w:b/>
            <w:bCs/>
          </w:rPr>
          <w:t>los puntos 17.3.2.2.1</w:t>
        </w:r>
      </w:hyperlink>
      <w:r w:rsidRPr="00904BA5">
        <w:t> a </w:t>
      </w:r>
      <w:hyperlink r:id="rId28" w:anchor="ID00059A002302" w:history="1">
        <w:r w:rsidRPr="00904BA5">
          <w:rPr>
            <w:rStyle w:val="Hipervnculo"/>
            <w:b/>
            <w:bCs/>
          </w:rPr>
          <w:t>17.3.2.2.4</w:t>
        </w:r>
      </w:hyperlink>
      <w:r w:rsidRPr="00904BA5">
        <w:t> .</w:t>
      </w:r>
    </w:p>
    <w:p w14:paraId="27C85413" w14:textId="77777777" w:rsidR="00904BA5" w:rsidRPr="00904BA5" w:rsidRDefault="00904BA5" w:rsidP="00904BA5">
      <w:pPr>
        <w:rPr>
          <w:b/>
          <w:bCs/>
        </w:rPr>
      </w:pPr>
      <w:r w:rsidRPr="00904BA5">
        <w:rPr>
          <w:b/>
          <w:bCs/>
        </w:rPr>
        <w:lastRenderedPageBreak/>
        <w:t>17.3.2.2.1 Válvulas automáticas de retención de producto.</w:t>
      </w:r>
    </w:p>
    <w:p w14:paraId="4B4E2761" w14:textId="77777777" w:rsidR="00904BA5" w:rsidRPr="00904BA5" w:rsidRDefault="00904BA5" w:rsidP="00904BA5">
      <w:pPr>
        <w:rPr>
          <w:b/>
          <w:bCs/>
        </w:rPr>
      </w:pPr>
      <w:r w:rsidRPr="00904BA5">
        <w:rPr>
          <w:b/>
          <w:bCs/>
        </w:rPr>
        <w:t>17.3.2.2.1.1 </w:t>
      </w:r>
    </w:p>
    <w:p w14:paraId="1049A336" w14:textId="77777777" w:rsidR="00904BA5" w:rsidRPr="00904BA5" w:rsidRDefault="00904BA5" w:rsidP="00904BA5">
      <w:r w:rsidRPr="00904BA5">
        <w:t>Todas las conexiones de líquido y vapor, con excepción de las conexiones de válvulas de alivio, líneas de líquido de 1 ⁄ 2 pulg. (12,5 mm) o menos de tamaño de tubería y líneas de vapor de 2 pulg. (50 mm) o menos de tamaño de tubería, deberán estar equipadas con válvulas de retención de producto automáticas a prueba de fallas.</w:t>
      </w:r>
    </w:p>
    <w:p w14:paraId="74070277" w14:textId="77777777" w:rsidR="00904BA5" w:rsidRPr="00904BA5" w:rsidRDefault="00904BA5" w:rsidP="00904BA5">
      <w:pPr>
        <w:rPr>
          <w:b/>
          <w:bCs/>
        </w:rPr>
      </w:pPr>
      <w:r w:rsidRPr="00904BA5">
        <w:rPr>
          <w:b/>
          <w:bCs/>
        </w:rPr>
        <w:t>17.3.2.2.1.2 </w:t>
      </w:r>
    </w:p>
    <w:p w14:paraId="4BF683BE" w14:textId="77777777" w:rsidR="00904BA5" w:rsidRPr="00904BA5" w:rsidRDefault="00904BA5" w:rsidP="00904BA5">
      <w:r w:rsidRPr="00904BA5">
        <w:t>Se permitirá el uso de una válvula de retención de producto manual remota con al menos una persona presente cuando el equipo esté en funcionamiento en lugar de una válvula de retención de producto automatizada.</w:t>
      </w:r>
    </w:p>
    <w:p w14:paraId="4B28FB3F" w14:textId="77777777" w:rsidR="00904BA5" w:rsidRPr="00904BA5" w:rsidRDefault="00904BA5" w:rsidP="00904BA5">
      <w:pPr>
        <w:rPr>
          <w:b/>
          <w:bCs/>
        </w:rPr>
      </w:pPr>
      <w:hyperlink r:id="rId29" w:anchor="ID00059A002295" w:history="1">
        <w:r w:rsidRPr="00904BA5">
          <w:rPr>
            <w:rStyle w:val="Hipervnculo"/>
            <w:b/>
            <w:bCs/>
          </w:rPr>
          <w:t>17.3.2.2.1.3*</w:t>
        </w:r>
      </w:hyperlink>
      <w:r w:rsidRPr="00904BA5">
        <w:rPr>
          <w:b/>
          <w:bCs/>
        </w:rPr>
        <w:t> </w:t>
      </w:r>
    </w:p>
    <w:p w14:paraId="7E3B76F3" w14:textId="77777777" w:rsidR="00904BA5" w:rsidRPr="00904BA5" w:rsidRDefault="00904BA5" w:rsidP="00904BA5">
      <w:r w:rsidRPr="00904BA5">
        <w:t>Las válvulas automáticas de retención de producto a prueba de fallos deberán estar diseñadas para cerrarse cuando se produzca cualquiera de las siguientes condiciones:</w:t>
      </w:r>
    </w:p>
    <w:p w14:paraId="4A4F4B07" w14:textId="77777777" w:rsidR="00904BA5" w:rsidRPr="00904BA5" w:rsidRDefault="00904BA5" w:rsidP="00904BA5">
      <w:pPr>
        <w:numPr>
          <w:ilvl w:val="0"/>
          <w:numId w:val="5"/>
        </w:numPr>
      </w:pPr>
      <w:r w:rsidRPr="00904BA5">
        <w:t>(1)</w:t>
      </w:r>
    </w:p>
    <w:p w14:paraId="5EFE2408" w14:textId="77777777" w:rsidR="00904BA5" w:rsidRPr="00904BA5" w:rsidRDefault="00904BA5" w:rsidP="00904BA5">
      <w:r w:rsidRPr="00904BA5">
        <w:t>Detección o exposición a incendios,</w:t>
      </w:r>
    </w:p>
    <w:p w14:paraId="56B9349A" w14:textId="77777777" w:rsidR="00904BA5" w:rsidRPr="00904BA5" w:rsidRDefault="00904BA5" w:rsidP="00904BA5">
      <w:pPr>
        <w:numPr>
          <w:ilvl w:val="0"/>
          <w:numId w:val="5"/>
        </w:numPr>
      </w:pPr>
      <w:r w:rsidRPr="00904BA5">
        <w:t>(2)</w:t>
      </w:r>
    </w:p>
    <w:p w14:paraId="1A23CECA" w14:textId="77777777" w:rsidR="00904BA5" w:rsidRPr="00904BA5" w:rsidRDefault="00904BA5" w:rsidP="00904BA5">
      <w:r w:rsidRPr="00904BA5">
        <w:t>Flujo incontrolado de GNL desde el contenedor</w:t>
      </w:r>
    </w:p>
    <w:p w14:paraId="6AC0E2DD" w14:textId="77777777" w:rsidR="00904BA5" w:rsidRPr="00904BA5" w:rsidRDefault="00904BA5" w:rsidP="00904BA5">
      <w:pPr>
        <w:numPr>
          <w:ilvl w:val="0"/>
          <w:numId w:val="5"/>
        </w:numPr>
      </w:pPr>
      <w:r w:rsidRPr="00904BA5">
        <w:t>(3)</w:t>
      </w:r>
    </w:p>
    <w:p w14:paraId="04CC1D11" w14:textId="77777777" w:rsidR="00904BA5" w:rsidRPr="00904BA5" w:rsidRDefault="00904BA5" w:rsidP="00904BA5">
      <w:r w:rsidRPr="00904BA5">
        <w:t>Operación manual desde una ubicación local y remota</w:t>
      </w:r>
    </w:p>
    <w:p w14:paraId="2583D46B" w14:textId="77777777" w:rsidR="00904BA5" w:rsidRPr="00904BA5" w:rsidRDefault="00904BA5" w:rsidP="00904BA5">
      <w:pPr>
        <w:rPr>
          <w:b/>
          <w:bCs/>
        </w:rPr>
      </w:pPr>
      <w:r w:rsidRPr="00904BA5">
        <w:rPr>
          <w:b/>
          <w:bCs/>
        </w:rPr>
        <w:t>17.3.2.2.1.4 </w:t>
      </w:r>
    </w:p>
    <w:p w14:paraId="4D78CC09" w14:textId="77777777" w:rsidR="00904BA5" w:rsidRPr="00904BA5" w:rsidRDefault="00904BA5" w:rsidP="00904BA5">
      <w:r w:rsidRPr="00904BA5">
        <w:lastRenderedPageBreak/>
        <w:t>Las conexiones utilizadas únicamente para el flujo hacia el contenedor deberán estar equipadas con dos válvulas antirreflujo, en serie, o con una válvula automática de retención de producto a prueba de fallas.</w:t>
      </w:r>
    </w:p>
    <w:p w14:paraId="2E3853D5" w14:textId="77777777" w:rsidR="00904BA5" w:rsidRPr="00904BA5" w:rsidRDefault="00904BA5" w:rsidP="00904BA5">
      <w:pPr>
        <w:rPr>
          <w:b/>
          <w:bCs/>
        </w:rPr>
      </w:pPr>
      <w:r w:rsidRPr="00904BA5">
        <w:rPr>
          <w:b/>
          <w:bCs/>
        </w:rPr>
        <w:t>17.3.2.2.2 </w:t>
      </w:r>
    </w:p>
    <w:p w14:paraId="41F4CEB2" w14:textId="77777777" w:rsidR="00904BA5" w:rsidRPr="00904BA5" w:rsidRDefault="00904BA5" w:rsidP="00904BA5">
      <w:r w:rsidRPr="00904BA5">
        <w:t>La distancia de retroceso hasta la línea de propiedad será la mayor de las indicadas en </w:t>
      </w:r>
      <w:hyperlink r:id="rId30" w:anchor="ID00059A002301" w:history="1">
        <w:r w:rsidRPr="00904BA5">
          <w:rPr>
            <w:rStyle w:val="Hipervnculo"/>
            <w:b/>
            <w:bCs/>
          </w:rPr>
          <w:t>la Tabla 17.3.2.2.3</w:t>
        </w:r>
      </w:hyperlink>
      <w:r w:rsidRPr="00904BA5">
        <w:t> (o </w:t>
      </w:r>
      <w:hyperlink r:id="rId31" w:anchor="ID00059A002303" w:history="1">
        <w:r w:rsidRPr="00904BA5">
          <w:rPr>
            <w:rStyle w:val="Hipervnculo"/>
            <w:b/>
            <w:bCs/>
          </w:rPr>
          <w:t>la Tabla 17.3.2.2.4</w:t>
        </w:r>
      </w:hyperlink>
      <w:r w:rsidRPr="00904BA5">
        <w:t> para cada contenedor subterráneo) o la Ecuación 17.3.2.2.2.</w:t>
      </w:r>
    </w:p>
    <w:p w14:paraId="67AA64F8" w14:textId="77777777" w:rsidR="00904BA5" w:rsidRPr="00904BA5" w:rsidRDefault="00904BA5" w:rsidP="00904BA5">
      <w:r w:rsidRPr="00904BA5">
        <w:t>[17.3.2.2.2]</w:t>
      </w:r>
    </w:p>
    <w:p w14:paraId="0EF063ED" w14:textId="0884D408" w:rsidR="00904BA5" w:rsidRPr="00904BA5" w:rsidRDefault="00904BA5" w:rsidP="00904BA5">
      <w:r w:rsidRPr="00904BA5">
        <w:rPr>
          <w:noProof/>
        </w:rPr>
        <w:drawing>
          <wp:inline distT="0" distB="0" distL="0" distR="0" wp14:anchorId="36735412" wp14:editId="5365EEBE">
            <wp:extent cx="3152775" cy="228600"/>
            <wp:effectExtent l="0" t="0" r="9525" b="0"/>
            <wp:docPr id="1869431462" name="Imagen 6" descr="Imagen del libro de códigos: a9e65061-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n del libro de códigos: a9e65061-b99d-11ec-a9ce-ed6b11933ac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52775" cy="228600"/>
                    </a:xfrm>
                    <a:prstGeom prst="rect">
                      <a:avLst/>
                    </a:prstGeom>
                    <a:noFill/>
                    <a:ln>
                      <a:noFill/>
                    </a:ln>
                  </pic:spPr>
                </pic:pic>
              </a:graphicData>
            </a:graphic>
          </wp:inline>
        </w:drawing>
      </w:r>
    </w:p>
    <w:p w14:paraId="373628CE" w14:textId="77777777" w:rsidR="00904BA5" w:rsidRPr="00904BA5" w:rsidRDefault="00904BA5" w:rsidP="00904BA5">
      <w:r w:rsidRPr="00904BA5">
        <w:t>dónde:</w:t>
      </w:r>
    </w:p>
    <w:p w14:paraId="33C83909" w14:textId="77777777" w:rsidR="00904BA5" w:rsidRPr="00904BA5" w:rsidRDefault="00904BA5" w:rsidP="00904BA5">
      <w:r w:rsidRPr="00904BA5">
        <w:rPr>
          <w:i/>
          <w:iCs/>
        </w:rPr>
        <w:t>Revés</w:t>
      </w:r>
      <w:r w:rsidRPr="00904BA5">
        <w:t>=</w:t>
      </w:r>
    </w:p>
    <w:p w14:paraId="2340CBB6" w14:textId="77777777" w:rsidR="00904BA5" w:rsidRPr="00904BA5" w:rsidRDefault="00904BA5" w:rsidP="00904BA5">
      <w:r w:rsidRPr="00904BA5">
        <w:t>Distancia mínima desde la válvula de retención de producto de la línea de líquido más grande de cada contenedor hasta edificios externos y límites de propiedad sobre los que se pueda construir . El retroceso se calcula en pies cuando se utilizan unidades tradicionales de EE. UU. y en metros cuando se utilizan unidades del Sistema Internacional (SI).</w:t>
      </w:r>
    </w:p>
    <w:p w14:paraId="07D3DCDD" w14:textId="77777777" w:rsidR="00904BA5" w:rsidRPr="00904BA5" w:rsidRDefault="00904BA5" w:rsidP="00904BA5">
      <w:r w:rsidRPr="00904BA5">
        <w:rPr>
          <w:i/>
          <w:iCs/>
        </w:rPr>
        <w:t>d</w:t>
      </w:r>
      <w:r w:rsidRPr="00904BA5">
        <w:t>=</w:t>
      </w:r>
    </w:p>
    <w:p w14:paraId="65CCB24B" w14:textId="77777777" w:rsidR="00904BA5" w:rsidRPr="00904BA5" w:rsidRDefault="00904BA5" w:rsidP="00904BA5">
      <w:r w:rsidRPr="00904BA5">
        <w:t>Diámetro interior de la línea de líquido más grande del contenedor . El diámetro se define en pulgadas para las unidades habituales de EE. UU. y en milímetros para las unidades del SI.</w:t>
      </w:r>
    </w:p>
    <w:p w14:paraId="78E0E74C" w14:textId="77777777" w:rsidR="00904BA5" w:rsidRPr="00904BA5" w:rsidRDefault="00904BA5" w:rsidP="00904BA5">
      <w:r w:rsidRPr="00904BA5">
        <w:rPr>
          <w:i/>
          <w:iCs/>
        </w:rPr>
        <w:t>PAG</w:t>
      </w:r>
      <w:r w:rsidRPr="00904BA5">
        <w:t>=</w:t>
      </w:r>
    </w:p>
    <w:p w14:paraId="671638B5" w14:textId="77777777" w:rsidR="00904BA5" w:rsidRPr="00904BA5" w:rsidRDefault="00904BA5" w:rsidP="00904BA5">
      <w:r w:rsidRPr="00904BA5">
        <w:t> presión de diseñopara el contenedorMás la presión atmosférica y la carga del líquido. La presión se define en psi para las unidades habituales de EE. UU. y en bar para las unidades del SI. Para la carga del líquido del GNL,1 pie de altura equivale a 0,182 psi (unidades estadounidenses) y 1 m de altura de líquido equivale a 0,041 bar.</w:t>
      </w:r>
    </w:p>
    <w:p w14:paraId="5A8A5962" w14:textId="77777777" w:rsidR="00904BA5" w:rsidRPr="00904BA5" w:rsidRDefault="00904BA5" w:rsidP="00904BA5">
      <w:r w:rsidRPr="00904BA5">
        <w:rPr>
          <w:i/>
          <w:iCs/>
        </w:rPr>
        <w:lastRenderedPageBreak/>
        <w:t>Coeficiente</w:t>
      </w:r>
      <w:r w:rsidRPr="00904BA5">
        <w:t>=</w:t>
      </w:r>
    </w:p>
    <w:p w14:paraId="0893F872" w14:textId="77777777" w:rsidR="00904BA5" w:rsidRPr="00904BA5" w:rsidRDefault="00904BA5" w:rsidP="00904BA5">
      <w:r w:rsidRPr="00904BA5">
        <w:t>Véase la Tabla 17.3.2.2.2</w:t>
      </w:r>
    </w:p>
    <w:tbl>
      <w:tblPr>
        <w:tblStyle w:val="Tablaconcuadrcula"/>
        <w:tblW w:w="15360" w:type="dxa"/>
        <w:jc w:val="center"/>
        <w:tblLook w:val="04A0" w:firstRow="1" w:lastRow="0" w:firstColumn="1" w:lastColumn="0" w:noHBand="0" w:noVBand="1"/>
      </w:tblPr>
      <w:tblGrid>
        <w:gridCol w:w="4987"/>
        <w:gridCol w:w="5055"/>
        <w:gridCol w:w="5318"/>
      </w:tblGrid>
      <w:tr w:rsidR="00904BA5" w:rsidRPr="00904BA5" w14:paraId="61E828A8" w14:textId="77777777" w:rsidTr="00904BA5">
        <w:trPr>
          <w:jc w:val="center"/>
        </w:trPr>
        <w:tc>
          <w:tcPr>
            <w:tcW w:w="0" w:type="auto"/>
            <w:gridSpan w:val="3"/>
            <w:hideMark/>
          </w:tcPr>
          <w:p w14:paraId="2FAED9D9" w14:textId="77777777" w:rsidR="00904BA5" w:rsidRPr="00904BA5" w:rsidRDefault="00904BA5" w:rsidP="00904BA5">
            <w:pPr>
              <w:spacing w:after="160" w:line="278" w:lineRule="auto"/>
              <w:rPr>
                <w:b/>
                <w:bCs/>
              </w:rPr>
            </w:pPr>
            <w:r w:rsidRPr="00904BA5">
              <w:rPr>
                <w:b/>
                <w:bCs/>
              </w:rPr>
              <w:t>Tabla 17.3.2.2.2 Coeficiente para la fórmula de retroceso</w:t>
            </w:r>
            <w:r w:rsidRPr="00904BA5">
              <w:rPr>
                <w:b/>
                <w:bCs/>
              </w:rPr>
              <w:br/>
            </w:r>
          </w:p>
        </w:tc>
      </w:tr>
      <w:tr w:rsidR="00904BA5" w:rsidRPr="00904BA5" w14:paraId="18D506E1" w14:textId="77777777" w:rsidTr="00904BA5">
        <w:trPr>
          <w:jc w:val="center"/>
        </w:trPr>
        <w:tc>
          <w:tcPr>
            <w:tcW w:w="4988" w:type="dxa"/>
            <w:hideMark/>
          </w:tcPr>
          <w:p w14:paraId="226C922B" w14:textId="77777777" w:rsidR="00904BA5" w:rsidRPr="00904BA5" w:rsidRDefault="00904BA5" w:rsidP="00904BA5">
            <w:pPr>
              <w:spacing w:after="160" w:line="278" w:lineRule="auto"/>
              <w:rPr>
                <w:b/>
                <w:bCs/>
              </w:rPr>
            </w:pPr>
            <w:r w:rsidRPr="00904BA5">
              <w:rPr>
                <w:b/>
                <w:bCs/>
              </w:rPr>
              <w:t>Área A (pulg. </w:t>
            </w:r>
            <w:r w:rsidRPr="00904BA5">
              <w:rPr>
                <w:b/>
                <w:bCs/>
                <w:vertAlign w:val="superscript"/>
              </w:rPr>
              <w:t>2</w:t>
            </w:r>
            <w:r w:rsidRPr="00904BA5">
              <w:rPr>
                <w:b/>
                <w:bCs/>
              </w:rPr>
              <w:t> ) (mm </w:t>
            </w:r>
            <w:r w:rsidRPr="00904BA5">
              <w:rPr>
                <w:b/>
                <w:bCs/>
                <w:vertAlign w:val="superscript"/>
              </w:rPr>
              <w:t>2</w:t>
            </w:r>
            <w:r w:rsidRPr="00904BA5">
              <w:rPr>
                <w:b/>
                <w:bCs/>
              </w:rPr>
              <w:t> ) = Área interior acumulada de todas las penetraciones de líquido de los contenedores de GNL en el sitio (incluidas las penetraciones de líquido por encima )</w:t>
            </w:r>
          </w:p>
        </w:tc>
        <w:tc>
          <w:tcPr>
            <w:tcW w:w="5055" w:type="dxa"/>
            <w:hideMark/>
          </w:tcPr>
          <w:p w14:paraId="3A304CFE" w14:textId="77777777" w:rsidR="00904BA5" w:rsidRPr="00904BA5" w:rsidRDefault="00904BA5" w:rsidP="00904BA5">
            <w:pPr>
              <w:spacing w:after="160" w:line="278" w:lineRule="auto"/>
              <w:rPr>
                <w:b/>
                <w:bCs/>
              </w:rPr>
            </w:pPr>
            <w:r w:rsidRPr="00904BA5">
              <w:rPr>
                <w:b/>
                <w:bCs/>
              </w:rPr>
              <w:t>Coeficiente (unidades estadounidenses)</w:t>
            </w:r>
          </w:p>
        </w:tc>
        <w:tc>
          <w:tcPr>
            <w:tcW w:w="5318" w:type="dxa"/>
            <w:hideMark/>
          </w:tcPr>
          <w:p w14:paraId="6A069027" w14:textId="77777777" w:rsidR="00904BA5" w:rsidRPr="00904BA5" w:rsidRDefault="00904BA5" w:rsidP="00904BA5">
            <w:pPr>
              <w:spacing w:after="160" w:line="278" w:lineRule="auto"/>
              <w:rPr>
                <w:b/>
                <w:bCs/>
              </w:rPr>
            </w:pPr>
            <w:r w:rsidRPr="00904BA5">
              <w:rPr>
                <w:b/>
                <w:bCs/>
              </w:rPr>
              <w:t>Coeficiente (unidades SI)</w:t>
            </w:r>
          </w:p>
        </w:tc>
      </w:tr>
      <w:tr w:rsidR="00904BA5" w:rsidRPr="00904BA5" w14:paraId="3A206F51" w14:textId="77777777" w:rsidTr="00904BA5">
        <w:trPr>
          <w:jc w:val="center"/>
        </w:trPr>
        <w:tc>
          <w:tcPr>
            <w:tcW w:w="4988" w:type="dxa"/>
            <w:hideMark/>
          </w:tcPr>
          <w:p w14:paraId="3F75AFFE" w14:textId="77777777" w:rsidR="00904BA5" w:rsidRPr="00904BA5" w:rsidRDefault="00904BA5" w:rsidP="00904BA5">
            <w:pPr>
              <w:spacing w:after="160" w:line="278" w:lineRule="auto"/>
            </w:pPr>
            <w:r w:rsidRPr="00904BA5">
              <w:rPr>
                <w:i/>
                <w:iCs/>
              </w:rPr>
              <w:t>A</w:t>
            </w:r>
            <w:r w:rsidRPr="00904BA5">
              <w:t> &lt; 45 pulg. </w:t>
            </w:r>
            <w:r w:rsidRPr="00904BA5">
              <w:rPr>
                <w:vertAlign w:val="superscript"/>
              </w:rPr>
              <w:t>2</w:t>
            </w:r>
            <w:r w:rsidRPr="00904BA5">
              <w:t> (29000 mm </w:t>
            </w:r>
            <w:r w:rsidRPr="00904BA5">
              <w:rPr>
                <w:vertAlign w:val="superscript"/>
              </w:rPr>
              <w:t>2</w:t>
            </w:r>
            <w:r w:rsidRPr="00904BA5">
              <w:t> )</w:t>
            </w:r>
          </w:p>
        </w:tc>
        <w:tc>
          <w:tcPr>
            <w:tcW w:w="5055" w:type="dxa"/>
            <w:hideMark/>
          </w:tcPr>
          <w:p w14:paraId="20ED7D57" w14:textId="77777777" w:rsidR="00904BA5" w:rsidRPr="00904BA5" w:rsidRDefault="00904BA5" w:rsidP="00904BA5">
            <w:pPr>
              <w:spacing w:after="160" w:line="278" w:lineRule="auto"/>
            </w:pPr>
            <w:r w:rsidRPr="00904BA5">
              <w:t>14</w:t>
            </w:r>
          </w:p>
        </w:tc>
        <w:tc>
          <w:tcPr>
            <w:tcW w:w="5318" w:type="dxa"/>
            <w:hideMark/>
          </w:tcPr>
          <w:p w14:paraId="51EE32D1" w14:textId="77777777" w:rsidR="00904BA5" w:rsidRPr="00904BA5" w:rsidRDefault="00904BA5" w:rsidP="00904BA5">
            <w:pPr>
              <w:spacing w:after="160" w:line="278" w:lineRule="auto"/>
            </w:pPr>
            <w:r w:rsidRPr="00904BA5">
              <w:t>0.48</w:t>
            </w:r>
          </w:p>
        </w:tc>
      </w:tr>
      <w:tr w:rsidR="00904BA5" w:rsidRPr="00904BA5" w14:paraId="65FB108A" w14:textId="77777777" w:rsidTr="00904BA5">
        <w:trPr>
          <w:jc w:val="center"/>
        </w:trPr>
        <w:tc>
          <w:tcPr>
            <w:tcW w:w="4988" w:type="dxa"/>
            <w:hideMark/>
          </w:tcPr>
          <w:p w14:paraId="095B45C7" w14:textId="77777777" w:rsidR="00904BA5" w:rsidRPr="00904BA5" w:rsidRDefault="00904BA5" w:rsidP="00904BA5">
            <w:pPr>
              <w:spacing w:after="160" w:line="278" w:lineRule="auto"/>
            </w:pPr>
            <w:r w:rsidRPr="00904BA5">
              <w:t>45 pulg.² </w:t>
            </w:r>
            <w:r w:rsidRPr="00904BA5">
              <w:rPr>
                <w:vertAlign w:val="superscript"/>
              </w:rPr>
              <w:t>(</w:t>
            </w:r>
            <w:r w:rsidRPr="00904BA5">
              <w:t> 29000 mm² </w:t>
            </w:r>
            <w:r w:rsidRPr="00904BA5">
              <w:rPr>
                <w:vertAlign w:val="superscript"/>
              </w:rPr>
              <w:t>)</w:t>
            </w:r>
            <w:r w:rsidRPr="00904BA5">
              <w:t> ≤ A </w:t>
            </w:r>
            <w:r w:rsidRPr="00904BA5">
              <w:rPr>
                <w:i/>
                <w:iCs/>
              </w:rPr>
              <w:t>≤</w:t>
            </w:r>
            <w:r w:rsidRPr="00904BA5">
              <w:t> 120 pulg.² </w:t>
            </w:r>
            <w:r w:rsidRPr="00904BA5">
              <w:rPr>
                <w:vertAlign w:val="superscript"/>
              </w:rPr>
              <w:t>(</w:t>
            </w:r>
            <w:r w:rsidRPr="00904BA5">
              <w:t> 77000 </w:t>
            </w:r>
            <w:r w:rsidRPr="00904BA5">
              <w:rPr>
                <w:vertAlign w:val="superscript"/>
              </w:rPr>
              <w:t>mm²</w:t>
            </w:r>
            <w:r w:rsidRPr="00904BA5">
              <w:t> )</w:t>
            </w:r>
          </w:p>
        </w:tc>
        <w:tc>
          <w:tcPr>
            <w:tcW w:w="5055" w:type="dxa"/>
            <w:hideMark/>
          </w:tcPr>
          <w:p w14:paraId="0D90A47C" w14:textId="54CD4712" w:rsidR="00904BA5" w:rsidRPr="00904BA5" w:rsidRDefault="00904BA5" w:rsidP="00904BA5">
            <w:pPr>
              <w:spacing w:after="160" w:line="278" w:lineRule="auto"/>
            </w:pPr>
            <w:r w:rsidRPr="00904BA5">
              <w:rPr>
                <w:noProof/>
              </w:rPr>
              <w:drawing>
                <wp:inline distT="0" distB="0" distL="0" distR="0" wp14:anchorId="016D0E22" wp14:editId="61109913">
                  <wp:extent cx="2733675" cy="466725"/>
                  <wp:effectExtent l="0" t="0" r="9525" b="9525"/>
                  <wp:docPr id="1459596425" name="Imagen 5" descr="Imagen del libro de códigos: abaa95b7-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n del libro de códigos: abaa95b7-b99d-11ec-a9ce-ed6b11933ac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33675" cy="466725"/>
                          </a:xfrm>
                          <a:prstGeom prst="rect">
                            <a:avLst/>
                          </a:prstGeom>
                          <a:noFill/>
                          <a:ln>
                            <a:noFill/>
                          </a:ln>
                        </pic:spPr>
                      </pic:pic>
                    </a:graphicData>
                  </a:graphic>
                </wp:inline>
              </w:drawing>
            </w:r>
          </w:p>
        </w:tc>
        <w:tc>
          <w:tcPr>
            <w:tcW w:w="5318" w:type="dxa"/>
            <w:hideMark/>
          </w:tcPr>
          <w:p w14:paraId="0102DD93" w14:textId="4F0BC048" w:rsidR="00904BA5" w:rsidRPr="00904BA5" w:rsidRDefault="00904BA5" w:rsidP="00904BA5">
            <w:pPr>
              <w:spacing w:after="160" w:line="278" w:lineRule="auto"/>
            </w:pPr>
            <w:r w:rsidRPr="00904BA5">
              <w:rPr>
                <w:noProof/>
              </w:rPr>
              <w:drawing>
                <wp:inline distT="0" distB="0" distL="0" distR="0" wp14:anchorId="4FC3EECA" wp14:editId="52F9AA6C">
                  <wp:extent cx="3067050" cy="457200"/>
                  <wp:effectExtent l="0" t="0" r="0" b="0"/>
                  <wp:docPr id="1134440068" name="Imagen 4" descr="Imagen del libro de códigos: a0c0b94c-3dd0-11ed-85ef-3be5d39b5a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n del libro de códigos: a0c0b94c-3dd0-11ed-85ef-3be5d39b5af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67050" cy="457200"/>
                          </a:xfrm>
                          <a:prstGeom prst="rect">
                            <a:avLst/>
                          </a:prstGeom>
                          <a:noFill/>
                          <a:ln>
                            <a:noFill/>
                          </a:ln>
                        </pic:spPr>
                      </pic:pic>
                    </a:graphicData>
                  </a:graphic>
                </wp:inline>
              </w:drawing>
            </w:r>
          </w:p>
        </w:tc>
      </w:tr>
      <w:tr w:rsidR="00904BA5" w:rsidRPr="00904BA5" w14:paraId="2DB856E5" w14:textId="77777777" w:rsidTr="00904BA5">
        <w:trPr>
          <w:jc w:val="center"/>
        </w:trPr>
        <w:tc>
          <w:tcPr>
            <w:tcW w:w="4988" w:type="dxa"/>
            <w:hideMark/>
          </w:tcPr>
          <w:p w14:paraId="6BB66A8E" w14:textId="77777777" w:rsidR="00904BA5" w:rsidRPr="00904BA5" w:rsidRDefault="00904BA5" w:rsidP="00904BA5">
            <w:pPr>
              <w:spacing w:after="160" w:line="278" w:lineRule="auto"/>
            </w:pPr>
            <w:r w:rsidRPr="00904BA5">
              <w:rPr>
                <w:i/>
                <w:iCs/>
              </w:rPr>
              <w:t>A</w:t>
            </w:r>
            <w:r w:rsidRPr="00904BA5">
              <w:t> &gt; 120 pulg.2 </w:t>
            </w:r>
            <w:r w:rsidRPr="00904BA5">
              <w:rPr>
                <w:vertAlign w:val="superscript"/>
              </w:rPr>
              <w:t>(</w:t>
            </w:r>
            <w:r w:rsidRPr="00904BA5">
              <w:t> 77000 </w:t>
            </w:r>
            <w:r w:rsidRPr="00904BA5">
              <w:rPr>
                <w:vertAlign w:val="superscript"/>
              </w:rPr>
              <w:t>mm2</w:t>
            </w:r>
            <w:r w:rsidRPr="00904BA5">
              <w:t> )</w:t>
            </w:r>
          </w:p>
        </w:tc>
        <w:tc>
          <w:tcPr>
            <w:tcW w:w="5055" w:type="dxa"/>
            <w:hideMark/>
          </w:tcPr>
          <w:p w14:paraId="5022A885" w14:textId="77777777" w:rsidR="00904BA5" w:rsidRPr="00904BA5" w:rsidRDefault="00904BA5" w:rsidP="00904BA5">
            <w:pPr>
              <w:spacing w:after="160" w:line="278" w:lineRule="auto"/>
            </w:pPr>
            <w:r w:rsidRPr="00904BA5">
              <w:t>21.6</w:t>
            </w:r>
          </w:p>
        </w:tc>
        <w:tc>
          <w:tcPr>
            <w:tcW w:w="5318" w:type="dxa"/>
            <w:hideMark/>
          </w:tcPr>
          <w:p w14:paraId="5CA7D58D" w14:textId="77777777" w:rsidR="00904BA5" w:rsidRPr="00904BA5" w:rsidRDefault="00904BA5" w:rsidP="00904BA5">
            <w:pPr>
              <w:spacing w:after="160" w:line="278" w:lineRule="auto"/>
            </w:pPr>
            <w:r w:rsidRPr="00904BA5">
              <w:t>0.745</w:t>
            </w:r>
          </w:p>
        </w:tc>
      </w:tr>
    </w:tbl>
    <w:p w14:paraId="13EA4C69" w14:textId="77777777" w:rsidR="00904BA5" w:rsidRPr="00904BA5" w:rsidRDefault="00904BA5" w:rsidP="00904BA5">
      <w:pPr>
        <w:rPr>
          <w:b/>
          <w:bCs/>
        </w:rPr>
      </w:pPr>
      <w:r w:rsidRPr="00904BA5">
        <w:rPr>
          <w:b/>
          <w:bCs/>
        </w:rPr>
        <w:t>17.3.2.2.2.1 </w:t>
      </w:r>
    </w:p>
    <w:p w14:paraId="1E821AFC" w14:textId="77777777" w:rsidR="00904BA5" w:rsidRPr="00904BA5" w:rsidRDefault="00904BA5" w:rsidP="00904BA5">
      <w:r w:rsidRPr="00904BA5">
        <w:t>Se permitirá el uso de dispositivos de retención manuales remotos en lugar de dispositivos de retención totalmente automáticos si el retroceso calculado a partir de </w:t>
      </w:r>
      <w:hyperlink r:id="rId35" w:anchor="ID00059A002297" w:history="1">
        <w:r w:rsidRPr="00904BA5">
          <w:rPr>
            <w:rStyle w:val="Hipervnculo"/>
            <w:b/>
            <w:bCs/>
          </w:rPr>
          <w:t>17.3.2.2.2 </w:t>
        </w:r>
      </w:hyperlink>
      <w:r w:rsidRPr="00904BA5">
        <w:t>se multiplica por 4.</w:t>
      </w:r>
    </w:p>
    <w:p w14:paraId="0051E9ED" w14:textId="77777777" w:rsidR="00904BA5" w:rsidRPr="00904BA5" w:rsidRDefault="00904BA5" w:rsidP="00904BA5">
      <w:pPr>
        <w:rPr>
          <w:b/>
          <w:bCs/>
        </w:rPr>
      </w:pPr>
      <w:r w:rsidRPr="00904BA5">
        <w:rPr>
          <w:b/>
          <w:bCs/>
        </w:rPr>
        <w:t>17.3.2.2.2.2 </w:t>
      </w:r>
    </w:p>
    <w:p w14:paraId="6187DB4C" w14:textId="77777777" w:rsidR="00904BA5" w:rsidRPr="00904BA5" w:rsidRDefault="00904BA5" w:rsidP="00904BA5">
      <w:r w:rsidRPr="00904BA5">
        <w:t>El retroceso calculado en </w:t>
      </w:r>
      <w:hyperlink r:id="rId36" w:anchor="ID00059A002297" w:history="1">
        <w:r w:rsidRPr="00904BA5">
          <w:rPr>
            <w:rStyle w:val="Hipervnculo"/>
            <w:b/>
            <w:bCs/>
          </w:rPr>
          <w:t>17.3.2.2.2</w:t>
        </w:r>
      </w:hyperlink>
      <w:r w:rsidRPr="00904BA5">
        <w:t> se deberá multiplicar por 0,9 si los dispositivos de retención automáticos en las líneas de líquido más grandes pueden demostrar un tiempo de cierre de 30 segundos o menos.</w:t>
      </w:r>
    </w:p>
    <w:p w14:paraId="33F4E746" w14:textId="77777777" w:rsidR="00904BA5" w:rsidRPr="00904BA5" w:rsidRDefault="00904BA5" w:rsidP="00904BA5">
      <w:pPr>
        <w:rPr>
          <w:b/>
          <w:bCs/>
        </w:rPr>
      </w:pPr>
      <w:r w:rsidRPr="00904BA5">
        <w:rPr>
          <w:b/>
          <w:bCs/>
        </w:rPr>
        <w:t>17.3.2.2.3 </w:t>
      </w:r>
    </w:p>
    <w:p w14:paraId="55594989" w14:textId="77777777" w:rsidR="00904BA5" w:rsidRPr="00904BA5" w:rsidRDefault="00904BA5" w:rsidP="00904BA5">
      <w:r w:rsidRPr="00904BA5">
        <w:lastRenderedPageBreak/>
        <w:t>La distancia mínima desde el borde de un embalse o sistema de drenaje de contenedores que sirva a contenedores sobre el suelo y en montículos de más de 1000 gal (3,8 m³ </w:t>
      </w:r>
      <w:r w:rsidRPr="00904BA5">
        <w:rPr>
          <w:vertAlign w:val="superscript"/>
        </w:rPr>
        <w:t>)</w:t>
      </w:r>
      <w:r w:rsidRPr="00904BA5">
        <w:t> deberá cumplir con </w:t>
      </w:r>
      <w:hyperlink r:id="rId37" w:anchor="ID00059A002301" w:history="1">
        <w:r w:rsidRPr="00904BA5">
          <w:rPr>
            <w:rStyle w:val="Hipervnculo"/>
            <w:b/>
            <w:bCs/>
          </w:rPr>
          <w:t>la Tabla 17.3.2.2.3</w:t>
        </w:r>
      </w:hyperlink>
      <w:r w:rsidRPr="00904BA5">
        <w:t> para cada uno de los siguientes:</w:t>
      </w:r>
    </w:p>
    <w:p w14:paraId="5D66F631" w14:textId="77777777" w:rsidR="00904BA5" w:rsidRPr="00904BA5" w:rsidRDefault="00904BA5" w:rsidP="00904BA5">
      <w:pPr>
        <w:numPr>
          <w:ilvl w:val="0"/>
          <w:numId w:val="6"/>
        </w:numPr>
      </w:pPr>
      <w:r w:rsidRPr="00904BA5">
        <w:t>(1)</w:t>
      </w:r>
    </w:p>
    <w:p w14:paraId="51FFA571" w14:textId="77777777" w:rsidR="00904BA5" w:rsidRPr="00904BA5" w:rsidRDefault="00904BA5" w:rsidP="00904BA5">
      <w:r w:rsidRPr="00904BA5">
        <w:t>Edificio externo más cercano</w:t>
      </w:r>
    </w:p>
    <w:p w14:paraId="577AD29D" w14:textId="77777777" w:rsidR="00904BA5" w:rsidRPr="00904BA5" w:rsidRDefault="00904BA5" w:rsidP="00904BA5">
      <w:pPr>
        <w:numPr>
          <w:ilvl w:val="0"/>
          <w:numId w:val="6"/>
        </w:numPr>
      </w:pPr>
      <w:r w:rsidRPr="00904BA5">
        <w:t>(2)</w:t>
      </w:r>
    </w:p>
    <w:p w14:paraId="1DEEC6D3" w14:textId="77777777" w:rsidR="00904BA5" w:rsidRPr="00904BA5" w:rsidRDefault="00904BA5" w:rsidP="00904BA5">
      <w:r w:rsidRPr="00904BA5">
        <w:t>La línea de propiedad sobre la que se puede construir</w:t>
      </w:r>
    </w:p>
    <w:p w14:paraId="6C4E54CE" w14:textId="77777777" w:rsidR="00904BA5" w:rsidRPr="00904BA5" w:rsidRDefault="00904BA5" w:rsidP="00904BA5">
      <w:pPr>
        <w:numPr>
          <w:ilvl w:val="0"/>
          <w:numId w:val="6"/>
        </w:numPr>
      </w:pPr>
      <w:r w:rsidRPr="00904BA5">
        <w:t>(3)</w:t>
      </w:r>
    </w:p>
    <w:p w14:paraId="14185FF8" w14:textId="77777777" w:rsidR="00904BA5" w:rsidRPr="00904BA5" w:rsidRDefault="00904BA5" w:rsidP="00904BA5">
      <w:r w:rsidRPr="00904BA5">
        <w:t>Espaciamiento entre contenedores</w:t>
      </w:r>
    </w:p>
    <w:tbl>
      <w:tblPr>
        <w:tblStyle w:val="Tablaconcuadrcula"/>
        <w:tblW w:w="15360" w:type="dxa"/>
        <w:jc w:val="center"/>
        <w:tblLook w:val="04A0" w:firstRow="1" w:lastRow="0" w:firstColumn="1" w:lastColumn="0" w:noHBand="0" w:noVBand="1"/>
      </w:tblPr>
      <w:tblGrid>
        <w:gridCol w:w="2611"/>
        <w:gridCol w:w="2918"/>
        <w:gridCol w:w="2457"/>
        <w:gridCol w:w="2458"/>
        <w:gridCol w:w="2457"/>
        <w:gridCol w:w="2459"/>
      </w:tblGrid>
      <w:tr w:rsidR="00904BA5" w:rsidRPr="00904BA5" w14:paraId="0B4D7BF4" w14:textId="77777777" w:rsidTr="00904BA5">
        <w:trPr>
          <w:jc w:val="center"/>
        </w:trPr>
        <w:tc>
          <w:tcPr>
            <w:tcW w:w="0" w:type="auto"/>
            <w:gridSpan w:val="6"/>
            <w:hideMark/>
          </w:tcPr>
          <w:p w14:paraId="06266DC3" w14:textId="77777777" w:rsidR="00904BA5" w:rsidRPr="00904BA5" w:rsidRDefault="00904BA5" w:rsidP="00904BA5">
            <w:pPr>
              <w:spacing w:after="160" w:line="278" w:lineRule="auto"/>
              <w:rPr>
                <w:b/>
                <w:bCs/>
              </w:rPr>
            </w:pPr>
            <w:r w:rsidRPr="00904BA5">
              <w:rPr>
                <w:b/>
                <w:bCs/>
              </w:rPr>
              <w:t>Tabla 17.3.2.2.3 Distancias desde los contenedores y exposiciones</w:t>
            </w:r>
            <w:r w:rsidRPr="00904BA5">
              <w:rPr>
                <w:b/>
                <w:bCs/>
              </w:rPr>
              <w:br/>
            </w:r>
          </w:p>
        </w:tc>
      </w:tr>
      <w:tr w:rsidR="00904BA5" w:rsidRPr="00904BA5" w14:paraId="395893B4" w14:textId="77777777" w:rsidTr="00904BA5">
        <w:trPr>
          <w:jc w:val="center"/>
        </w:trPr>
        <w:tc>
          <w:tcPr>
            <w:tcW w:w="5529" w:type="dxa"/>
            <w:gridSpan w:val="2"/>
            <w:hideMark/>
          </w:tcPr>
          <w:p w14:paraId="3698F644" w14:textId="77777777" w:rsidR="00904BA5" w:rsidRPr="00904BA5" w:rsidRDefault="00904BA5" w:rsidP="00904BA5">
            <w:pPr>
              <w:spacing w:after="160" w:line="278" w:lineRule="auto"/>
              <w:rPr>
                <w:b/>
                <w:bCs/>
              </w:rPr>
            </w:pPr>
            <w:r w:rsidRPr="00904BA5">
              <w:rPr>
                <w:b/>
                <w:bCs/>
              </w:rPr>
              <w:t>Capacidad de agua del contenedor</w:t>
            </w:r>
          </w:p>
        </w:tc>
        <w:tc>
          <w:tcPr>
            <w:tcW w:w="4915" w:type="dxa"/>
            <w:gridSpan w:val="2"/>
            <w:hideMark/>
          </w:tcPr>
          <w:p w14:paraId="252C5224" w14:textId="77777777" w:rsidR="00904BA5" w:rsidRPr="00904BA5" w:rsidRDefault="00904BA5" w:rsidP="00904BA5">
            <w:pPr>
              <w:spacing w:after="160" w:line="278" w:lineRule="auto"/>
              <w:rPr>
                <w:b/>
                <w:bCs/>
              </w:rPr>
            </w:pPr>
            <w:r w:rsidRPr="00904BA5">
              <w:rPr>
                <w:b/>
                <w:bCs/>
              </w:rPr>
              <w:t>Distancia mínima desde el borde del embalse o sistema de drenaje de contenedores hasta los edificios externos y las líneas de propiedad sobre las que se puede construir</w:t>
            </w:r>
          </w:p>
        </w:tc>
        <w:tc>
          <w:tcPr>
            <w:tcW w:w="4916" w:type="dxa"/>
            <w:gridSpan w:val="2"/>
            <w:hideMark/>
          </w:tcPr>
          <w:p w14:paraId="3057F4D6" w14:textId="77777777" w:rsidR="00904BA5" w:rsidRPr="00904BA5" w:rsidRDefault="00904BA5" w:rsidP="00904BA5">
            <w:pPr>
              <w:spacing w:after="160" w:line="278" w:lineRule="auto"/>
              <w:rPr>
                <w:b/>
                <w:bCs/>
              </w:rPr>
            </w:pPr>
            <w:r w:rsidRPr="00904BA5">
              <w:rPr>
                <w:b/>
                <w:bCs/>
              </w:rPr>
              <w:t>Distancia mínima entre contenedores de almacenamiento</w:t>
            </w:r>
          </w:p>
        </w:tc>
      </w:tr>
      <w:tr w:rsidR="00904BA5" w:rsidRPr="00904BA5" w14:paraId="2DAD66AE" w14:textId="77777777" w:rsidTr="00904BA5">
        <w:trPr>
          <w:jc w:val="center"/>
        </w:trPr>
        <w:tc>
          <w:tcPr>
            <w:tcW w:w="2611" w:type="dxa"/>
            <w:hideMark/>
          </w:tcPr>
          <w:p w14:paraId="162731B1" w14:textId="77777777" w:rsidR="00904BA5" w:rsidRPr="00904BA5" w:rsidRDefault="00904BA5" w:rsidP="00904BA5">
            <w:pPr>
              <w:spacing w:after="160" w:line="278" w:lineRule="auto"/>
              <w:rPr>
                <w:b/>
                <w:bCs/>
              </w:rPr>
            </w:pPr>
            <w:r w:rsidRPr="00904BA5">
              <w:rPr>
                <w:b/>
                <w:bCs/>
              </w:rPr>
              <w:t>galón</w:t>
            </w:r>
          </w:p>
        </w:tc>
        <w:tc>
          <w:tcPr>
            <w:tcW w:w="2918" w:type="dxa"/>
            <w:hideMark/>
          </w:tcPr>
          <w:p w14:paraId="78AA09D8" w14:textId="77777777" w:rsidR="00904BA5" w:rsidRPr="00904BA5" w:rsidRDefault="00904BA5" w:rsidP="00904BA5">
            <w:pPr>
              <w:spacing w:after="160" w:line="278" w:lineRule="auto"/>
              <w:rPr>
                <w:b/>
                <w:bCs/>
              </w:rPr>
            </w:pPr>
            <w:r w:rsidRPr="00904BA5">
              <w:rPr>
                <w:b/>
                <w:bCs/>
              </w:rPr>
              <w:t>metros </w:t>
            </w:r>
            <w:r w:rsidRPr="00904BA5">
              <w:rPr>
                <w:b/>
                <w:bCs/>
                <w:vertAlign w:val="superscript"/>
              </w:rPr>
              <w:t>cúbicos</w:t>
            </w:r>
          </w:p>
        </w:tc>
        <w:tc>
          <w:tcPr>
            <w:tcW w:w="2457" w:type="dxa"/>
            <w:hideMark/>
          </w:tcPr>
          <w:p w14:paraId="2E48ACAA" w14:textId="77777777" w:rsidR="00904BA5" w:rsidRPr="00904BA5" w:rsidRDefault="00904BA5" w:rsidP="00904BA5">
            <w:pPr>
              <w:spacing w:after="160" w:line="278" w:lineRule="auto"/>
              <w:rPr>
                <w:b/>
                <w:bCs/>
              </w:rPr>
            </w:pPr>
            <w:r w:rsidRPr="00904BA5">
              <w:rPr>
                <w:b/>
                <w:bCs/>
              </w:rPr>
              <w:t>pie</w:t>
            </w:r>
          </w:p>
        </w:tc>
        <w:tc>
          <w:tcPr>
            <w:tcW w:w="2457" w:type="dxa"/>
            <w:hideMark/>
          </w:tcPr>
          <w:p w14:paraId="3514BFB7" w14:textId="77777777" w:rsidR="00904BA5" w:rsidRPr="00904BA5" w:rsidRDefault="00904BA5" w:rsidP="00904BA5">
            <w:pPr>
              <w:spacing w:after="160" w:line="278" w:lineRule="auto"/>
              <w:rPr>
                <w:b/>
                <w:bCs/>
              </w:rPr>
            </w:pPr>
            <w:r w:rsidRPr="00904BA5">
              <w:rPr>
                <w:b/>
                <w:bCs/>
              </w:rPr>
              <w:t>metro</w:t>
            </w:r>
          </w:p>
        </w:tc>
        <w:tc>
          <w:tcPr>
            <w:tcW w:w="2457" w:type="dxa"/>
            <w:hideMark/>
          </w:tcPr>
          <w:p w14:paraId="780B8DAB" w14:textId="77777777" w:rsidR="00904BA5" w:rsidRPr="00904BA5" w:rsidRDefault="00904BA5" w:rsidP="00904BA5">
            <w:pPr>
              <w:spacing w:after="160" w:line="278" w:lineRule="auto"/>
              <w:rPr>
                <w:b/>
                <w:bCs/>
              </w:rPr>
            </w:pPr>
            <w:r w:rsidRPr="00904BA5">
              <w:rPr>
                <w:b/>
                <w:bCs/>
              </w:rPr>
              <w:t>pie</w:t>
            </w:r>
          </w:p>
        </w:tc>
        <w:tc>
          <w:tcPr>
            <w:tcW w:w="2458" w:type="dxa"/>
            <w:hideMark/>
          </w:tcPr>
          <w:p w14:paraId="6E46D02E" w14:textId="77777777" w:rsidR="00904BA5" w:rsidRPr="00904BA5" w:rsidRDefault="00904BA5" w:rsidP="00904BA5">
            <w:pPr>
              <w:spacing w:after="160" w:line="278" w:lineRule="auto"/>
              <w:rPr>
                <w:b/>
                <w:bCs/>
              </w:rPr>
            </w:pPr>
            <w:r w:rsidRPr="00904BA5">
              <w:rPr>
                <w:b/>
                <w:bCs/>
              </w:rPr>
              <w:t>metro</w:t>
            </w:r>
          </w:p>
        </w:tc>
      </w:tr>
      <w:tr w:rsidR="00904BA5" w:rsidRPr="00904BA5" w14:paraId="54B1635D" w14:textId="77777777" w:rsidTr="00904BA5">
        <w:trPr>
          <w:jc w:val="center"/>
        </w:trPr>
        <w:tc>
          <w:tcPr>
            <w:tcW w:w="2611" w:type="dxa"/>
            <w:hideMark/>
          </w:tcPr>
          <w:p w14:paraId="7048DF53" w14:textId="77777777" w:rsidR="00904BA5" w:rsidRPr="00904BA5" w:rsidRDefault="00904BA5" w:rsidP="00904BA5">
            <w:pPr>
              <w:spacing w:after="160" w:line="278" w:lineRule="auto"/>
            </w:pPr>
            <w:r w:rsidRPr="00904BA5">
              <w:t>1000–2000</w:t>
            </w:r>
          </w:p>
        </w:tc>
        <w:tc>
          <w:tcPr>
            <w:tcW w:w="2918" w:type="dxa"/>
            <w:hideMark/>
          </w:tcPr>
          <w:p w14:paraId="36AC633F" w14:textId="77777777" w:rsidR="00904BA5" w:rsidRPr="00904BA5" w:rsidRDefault="00904BA5" w:rsidP="00904BA5">
            <w:pPr>
              <w:spacing w:after="160" w:line="278" w:lineRule="auto"/>
            </w:pPr>
            <w:r w:rsidRPr="00904BA5">
              <w:t>3.8–7.6</w:t>
            </w:r>
          </w:p>
        </w:tc>
        <w:tc>
          <w:tcPr>
            <w:tcW w:w="2457" w:type="dxa"/>
            <w:hideMark/>
          </w:tcPr>
          <w:p w14:paraId="0E68378A" w14:textId="77777777" w:rsidR="00904BA5" w:rsidRPr="00904BA5" w:rsidRDefault="00904BA5" w:rsidP="00904BA5">
            <w:pPr>
              <w:spacing w:after="160" w:line="278" w:lineRule="auto"/>
            </w:pPr>
            <w:r w:rsidRPr="00904BA5">
              <w:t>15</w:t>
            </w:r>
          </w:p>
        </w:tc>
        <w:tc>
          <w:tcPr>
            <w:tcW w:w="2457" w:type="dxa"/>
            <w:hideMark/>
          </w:tcPr>
          <w:p w14:paraId="4F275FD4" w14:textId="77777777" w:rsidR="00904BA5" w:rsidRPr="00904BA5" w:rsidRDefault="00904BA5" w:rsidP="00904BA5">
            <w:pPr>
              <w:spacing w:after="160" w:line="278" w:lineRule="auto"/>
            </w:pPr>
            <w:r w:rsidRPr="00904BA5">
              <w:t>4.6</w:t>
            </w:r>
          </w:p>
        </w:tc>
        <w:tc>
          <w:tcPr>
            <w:tcW w:w="2457" w:type="dxa"/>
            <w:hideMark/>
          </w:tcPr>
          <w:p w14:paraId="349438C9" w14:textId="77777777" w:rsidR="00904BA5" w:rsidRPr="00904BA5" w:rsidRDefault="00904BA5" w:rsidP="00904BA5">
            <w:pPr>
              <w:spacing w:after="160" w:line="278" w:lineRule="auto"/>
            </w:pPr>
            <w:r w:rsidRPr="00904BA5">
              <w:t>5</w:t>
            </w:r>
          </w:p>
        </w:tc>
        <w:tc>
          <w:tcPr>
            <w:tcW w:w="2458" w:type="dxa"/>
            <w:hideMark/>
          </w:tcPr>
          <w:p w14:paraId="355338A8" w14:textId="77777777" w:rsidR="00904BA5" w:rsidRPr="00904BA5" w:rsidRDefault="00904BA5" w:rsidP="00904BA5">
            <w:pPr>
              <w:spacing w:after="160" w:line="278" w:lineRule="auto"/>
            </w:pPr>
            <w:r w:rsidRPr="00904BA5">
              <w:t>1.5</w:t>
            </w:r>
          </w:p>
        </w:tc>
      </w:tr>
      <w:tr w:rsidR="00904BA5" w:rsidRPr="00904BA5" w14:paraId="3536B7FA" w14:textId="77777777" w:rsidTr="00904BA5">
        <w:trPr>
          <w:jc w:val="center"/>
        </w:trPr>
        <w:tc>
          <w:tcPr>
            <w:tcW w:w="2611" w:type="dxa"/>
            <w:hideMark/>
          </w:tcPr>
          <w:p w14:paraId="343DDAED" w14:textId="77777777" w:rsidR="00904BA5" w:rsidRPr="00904BA5" w:rsidRDefault="00904BA5" w:rsidP="00904BA5">
            <w:pPr>
              <w:spacing w:after="160" w:line="278" w:lineRule="auto"/>
            </w:pPr>
            <w:r w:rsidRPr="00904BA5">
              <w:t>2001–18.000</w:t>
            </w:r>
          </w:p>
        </w:tc>
        <w:tc>
          <w:tcPr>
            <w:tcW w:w="2918" w:type="dxa"/>
            <w:hideMark/>
          </w:tcPr>
          <w:p w14:paraId="44047E67" w14:textId="77777777" w:rsidR="00904BA5" w:rsidRPr="00904BA5" w:rsidRDefault="00904BA5" w:rsidP="00904BA5">
            <w:pPr>
              <w:spacing w:after="160" w:line="278" w:lineRule="auto"/>
            </w:pPr>
            <w:r w:rsidRPr="00904BA5">
              <w:t>≥7,6–68,1</w:t>
            </w:r>
          </w:p>
        </w:tc>
        <w:tc>
          <w:tcPr>
            <w:tcW w:w="2457" w:type="dxa"/>
            <w:hideMark/>
          </w:tcPr>
          <w:p w14:paraId="7B721A1E" w14:textId="77777777" w:rsidR="00904BA5" w:rsidRPr="00904BA5" w:rsidRDefault="00904BA5" w:rsidP="00904BA5">
            <w:pPr>
              <w:spacing w:after="160" w:line="278" w:lineRule="auto"/>
            </w:pPr>
            <w:r w:rsidRPr="00904BA5">
              <w:t>25</w:t>
            </w:r>
          </w:p>
        </w:tc>
        <w:tc>
          <w:tcPr>
            <w:tcW w:w="2457" w:type="dxa"/>
            <w:hideMark/>
          </w:tcPr>
          <w:p w14:paraId="6360F5E5" w14:textId="77777777" w:rsidR="00904BA5" w:rsidRPr="00904BA5" w:rsidRDefault="00904BA5" w:rsidP="00904BA5">
            <w:pPr>
              <w:spacing w:after="160" w:line="278" w:lineRule="auto"/>
            </w:pPr>
            <w:r w:rsidRPr="00904BA5">
              <w:t>7.6</w:t>
            </w:r>
          </w:p>
        </w:tc>
        <w:tc>
          <w:tcPr>
            <w:tcW w:w="2457" w:type="dxa"/>
            <w:hideMark/>
          </w:tcPr>
          <w:p w14:paraId="19C63BEB" w14:textId="77777777" w:rsidR="00904BA5" w:rsidRPr="00904BA5" w:rsidRDefault="00904BA5" w:rsidP="00904BA5">
            <w:pPr>
              <w:spacing w:after="160" w:line="278" w:lineRule="auto"/>
            </w:pPr>
            <w:r w:rsidRPr="00904BA5">
              <w:t>5</w:t>
            </w:r>
          </w:p>
        </w:tc>
        <w:tc>
          <w:tcPr>
            <w:tcW w:w="2458" w:type="dxa"/>
            <w:hideMark/>
          </w:tcPr>
          <w:p w14:paraId="64F56529" w14:textId="77777777" w:rsidR="00904BA5" w:rsidRPr="00904BA5" w:rsidRDefault="00904BA5" w:rsidP="00904BA5">
            <w:pPr>
              <w:spacing w:after="160" w:line="278" w:lineRule="auto"/>
            </w:pPr>
            <w:r w:rsidRPr="00904BA5">
              <w:t>1.5</w:t>
            </w:r>
          </w:p>
        </w:tc>
      </w:tr>
      <w:tr w:rsidR="00904BA5" w:rsidRPr="00904BA5" w14:paraId="5263E95E" w14:textId="77777777" w:rsidTr="00904BA5">
        <w:trPr>
          <w:jc w:val="center"/>
        </w:trPr>
        <w:tc>
          <w:tcPr>
            <w:tcW w:w="2611" w:type="dxa"/>
            <w:hideMark/>
          </w:tcPr>
          <w:p w14:paraId="0F3CC2BF" w14:textId="77777777" w:rsidR="00904BA5" w:rsidRPr="00904BA5" w:rsidRDefault="00904BA5" w:rsidP="00904BA5">
            <w:pPr>
              <w:spacing w:after="160" w:line="278" w:lineRule="auto"/>
            </w:pPr>
            <w:r w:rsidRPr="00904BA5">
              <w:t>18.001–30.000</w:t>
            </w:r>
          </w:p>
        </w:tc>
        <w:tc>
          <w:tcPr>
            <w:tcW w:w="2918" w:type="dxa"/>
            <w:hideMark/>
          </w:tcPr>
          <w:p w14:paraId="2907D375" w14:textId="77777777" w:rsidR="00904BA5" w:rsidRPr="00904BA5" w:rsidRDefault="00904BA5" w:rsidP="00904BA5">
            <w:pPr>
              <w:spacing w:after="160" w:line="278" w:lineRule="auto"/>
            </w:pPr>
            <w:r w:rsidRPr="00904BA5">
              <w:t>≥68,1–114</w:t>
            </w:r>
          </w:p>
        </w:tc>
        <w:tc>
          <w:tcPr>
            <w:tcW w:w="2457" w:type="dxa"/>
            <w:hideMark/>
          </w:tcPr>
          <w:p w14:paraId="2C480094" w14:textId="77777777" w:rsidR="00904BA5" w:rsidRPr="00904BA5" w:rsidRDefault="00904BA5" w:rsidP="00904BA5">
            <w:pPr>
              <w:spacing w:after="160" w:line="278" w:lineRule="auto"/>
            </w:pPr>
            <w:r w:rsidRPr="00904BA5">
              <w:t>50</w:t>
            </w:r>
          </w:p>
        </w:tc>
        <w:tc>
          <w:tcPr>
            <w:tcW w:w="2457" w:type="dxa"/>
            <w:hideMark/>
          </w:tcPr>
          <w:p w14:paraId="614AF5C5" w14:textId="77777777" w:rsidR="00904BA5" w:rsidRPr="00904BA5" w:rsidRDefault="00904BA5" w:rsidP="00904BA5">
            <w:pPr>
              <w:spacing w:after="160" w:line="278" w:lineRule="auto"/>
            </w:pPr>
            <w:r w:rsidRPr="00904BA5">
              <w:t>15</w:t>
            </w:r>
          </w:p>
        </w:tc>
        <w:tc>
          <w:tcPr>
            <w:tcW w:w="2457" w:type="dxa"/>
            <w:hideMark/>
          </w:tcPr>
          <w:p w14:paraId="13C375C3" w14:textId="77777777" w:rsidR="00904BA5" w:rsidRPr="00904BA5" w:rsidRDefault="00904BA5" w:rsidP="00904BA5">
            <w:pPr>
              <w:spacing w:after="160" w:line="278" w:lineRule="auto"/>
            </w:pPr>
            <w:r w:rsidRPr="00904BA5">
              <w:t>5</w:t>
            </w:r>
          </w:p>
        </w:tc>
        <w:tc>
          <w:tcPr>
            <w:tcW w:w="2458" w:type="dxa"/>
            <w:hideMark/>
          </w:tcPr>
          <w:p w14:paraId="4C898298" w14:textId="77777777" w:rsidR="00904BA5" w:rsidRPr="00904BA5" w:rsidRDefault="00904BA5" w:rsidP="00904BA5">
            <w:pPr>
              <w:spacing w:after="160" w:line="278" w:lineRule="auto"/>
            </w:pPr>
            <w:r w:rsidRPr="00904BA5">
              <w:t>1.5</w:t>
            </w:r>
          </w:p>
        </w:tc>
      </w:tr>
      <w:tr w:rsidR="00904BA5" w:rsidRPr="00904BA5" w14:paraId="70D5FA36" w14:textId="77777777" w:rsidTr="00904BA5">
        <w:trPr>
          <w:jc w:val="center"/>
        </w:trPr>
        <w:tc>
          <w:tcPr>
            <w:tcW w:w="2611" w:type="dxa"/>
            <w:hideMark/>
          </w:tcPr>
          <w:p w14:paraId="5DFCA76B" w14:textId="77777777" w:rsidR="00904BA5" w:rsidRPr="00904BA5" w:rsidRDefault="00904BA5" w:rsidP="00904BA5">
            <w:pPr>
              <w:spacing w:after="160" w:line="278" w:lineRule="auto"/>
            </w:pPr>
            <w:r w:rsidRPr="00904BA5">
              <w:lastRenderedPageBreak/>
              <w:t>30.001–70.000</w:t>
            </w:r>
          </w:p>
        </w:tc>
        <w:tc>
          <w:tcPr>
            <w:tcW w:w="2918" w:type="dxa"/>
            <w:hideMark/>
          </w:tcPr>
          <w:p w14:paraId="40AF9FC5" w14:textId="77777777" w:rsidR="00904BA5" w:rsidRPr="00904BA5" w:rsidRDefault="00904BA5" w:rsidP="00904BA5">
            <w:pPr>
              <w:spacing w:after="160" w:line="278" w:lineRule="auto"/>
            </w:pPr>
            <w:r w:rsidRPr="00904BA5">
              <w:t>≥114–265</w:t>
            </w:r>
          </w:p>
        </w:tc>
        <w:tc>
          <w:tcPr>
            <w:tcW w:w="2457" w:type="dxa"/>
            <w:hideMark/>
          </w:tcPr>
          <w:p w14:paraId="2C91119F" w14:textId="77777777" w:rsidR="00904BA5" w:rsidRPr="00904BA5" w:rsidRDefault="00904BA5" w:rsidP="00904BA5">
            <w:pPr>
              <w:spacing w:after="160" w:line="278" w:lineRule="auto"/>
            </w:pPr>
            <w:r w:rsidRPr="00904BA5">
              <w:t>75</w:t>
            </w:r>
          </w:p>
        </w:tc>
        <w:tc>
          <w:tcPr>
            <w:tcW w:w="2457" w:type="dxa"/>
            <w:hideMark/>
          </w:tcPr>
          <w:p w14:paraId="545DDE6C" w14:textId="77777777" w:rsidR="00904BA5" w:rsidRPr="00904BA5" w:rsidRDefault="00904BA5" w:rsidP="00904BA5">
            <w:pPr>
              <w:spacing w:after="160" w:line="278" w:lineRule="auto"/>
            </w:pPr>
            <w:r w:rsidRPr="00904BA5">
              <w:t>23</w:t>
            </w:r>
          </w:p>
        </w:tc>
        <w:tc>
          <w:tcPr>
            <w:tcW w:w="4916" w:type="dxa"/>
            <w:gridSpan w:val="2"/>
            <w:hideMark/>
          </w:tcPr>
          <w:p w14:paraId="302AB106" w14:textId="77777777" w:rsidR="00904BA5" w:rsidRPr="00904BA5" w:rsidRDefault="00904BA5" w:rsidP="00904BA5">
            <w:pPr>
              <w:spacing w:after="160" w:line="278" w:lineRule="auto"/>
            </w:pPr>
            <w:r w:rsidRPr="00904BA5">
              <w:t>QSD*</w:t>
            </w:r>
          </w:p>
        </w:tc>
      </w:tr>
      <w:tr w:rsidR="00904BA5" w:rsidRPr="00904BA5" w14:paraId="3432AE35" w14:textId="77777777" w:rsidTr="00904BA5">
        <w:trPr>
          <w:jc w:val="center"/>
        </w:trPr>
        <w:tc>
          <w:tcPr>
            <w:tcW w:w="2611" w:type="dxa"/>
            <w:hideMark/>
          </w:tcPr>
          <w:p w14:paraId="5BECCAF3" w14:textId="77777777" w:rsidR="00904BA5" w:rsidRPr="00904BA5" w:rsidRDefault="00904BA5" w:rsidP="00904BA5">
            <w:pPr>
              <w:spacing w:after="160" w:line="278" w:lineRule="auto"/>
            </w:pPr>
            <w:r w:rsidRPr="00904BA5">
              <w:t>70.001–100.000</w:t>
            </w:r>
          </w:p>
        </w:tc>
        <w:tc>
          <w:tcPr>
            <w:tcW w:w="2918" w:type="dxa"/>
            <w:hideMark/>
          </w:tcPr>
          <w:p w14:paraId="2632A452" w14:textId="77777777" w:rsidR="00904BA5" w:rsidRPr="00904BA5" w:rsidRDefault="00904BA5" w:rsidP="00904BA5">
            <w:pPr>
              <w:spacing w:after="160" w:line="278" w:lineRule="auto"/>
            </w:pPr>
            <w:r w:rsidRPr="00904BA5">
              <w:t>≥265–379</w:t>
            </w:r>
          </w:p>
        </w:tc>
        <w:tc>
          <w:tcPr>
            <w:tcW w:w="2457" w:type="dxa"/>
            <w:hideMark/>
          </w:tcPr>
          <w:p w14:paraId="7FD6A1AC" w14:textId="77777777" w:rsidR="00904BA5" w:rsidRPr="00904BA5" w:rsidRDefault="00904BA5" w:rsidP="00904BA5">
            <w:pPr>
              <w:spacing w:after="160" w:line="278" w:lineRule="auto"/>
            </w:pPr>
            <w:r w:rsidRPr="00904BA5">
              <w:t>100</w:t>
            </w:r>
          </w:p>
        </w:tc>
        <w:tc>
          <w:tcPr>
            <w:tcW w:w="2457" w:type="dxa"/>
            <w:hideMark/>
          </w:tcPr>
          <w:p w14:paraId="6805330D" w14:textId="77777777" w:rsidR="00904BA5" w:rsidRPr="00904BA5" w:rsidRDefault="00904BA5" w:rsidP="00904BA5">
            <w:pPr>
              <w:spacing w:after="160" w:line="278" w:lineRule="auto"/>
            </w:pPr>
            <w:r w:rsidRPr="00904BA5">
              <w:t>30.5</w:t>
            </w:r>
          </w:p>
        </w:tc>
        <w:tc>
          <w:tcPr>
            <w:tcW w:w="4916" w:type="dxa"/>
            <w:gridSpan w:val="2"/>
            <w:hideMark/>
          </w:tcPr>
          <w:p w14:paraId="2A846565" w14:textId="77777777" w:rsidR="00904BA5" w:rsidRPr="00904BA5" w:rsidRDefault="00904BA5" w:rsidP="00904BA5">
            <w:pPr>
              <w:spacing w:after="160" w:line="278" w:lineRule="auto"/>
            </w:pPr>
            <w:r w:rsidRPr="00904BA5">
              <w:t>QSD*</w:t>
            </w:r>
          </w:p>
        </w:tc>
      </w:tr>
      <w:tr w:rsidR="00904BA5" w:rsidRPr="00904BA5" w14:paraId="4D273BEB" w14:textId="77777777" w:rsidTr="00904BA5">
        <w:trPr>
          <w:jc w:val="center"/>
        </w:trPr>
        <w:tc>
          <w:tcPr>
            <w:tcW w:w="2611" w:type="dxa"/>
            <w:hideMark/>
          </w:tcPr>
          <w:p w14:paraId="1751EAEB" w14:textId="77777777" w:rsidR="00904BA5" w:rsidRPr="00904BA5" w:rsidRDefault="00904BA5" w:rsidP="00904BA5">
            <w:pPr>
              <w:spacing w:after="160" w:line="278" w:lineRule="auto"/>
            </w:pPr>
            <w:r w:rsidRPr="00904BA5">
              <w:t>100.001–120.000</w:t>
            </w:r>
          </w:p>
        </w:tc>
        <w:tc>
          <w:tcPr>
            <w:tcW w:w="2918" w:type="dxa"/>
            <w:hideMark/>
          </w:tcPr>
          <w:p w14:paraId="3CADEDAC" w14:textId="77777777" w:rsidR="00904BA5" w:rsidRPr="00904BA5" w:rsidRDefault="00904BA5" w:rsidP="00904BA5">
            <w:pPr>
              <w:spacing w:after="160" w:line="278" w:lineRule="auto"/>
            </w:pPr>
            <w:r w:rsidRPr="00904BA5">
              <w:t>≥379–454</w:t>
            </w:r>
          </w:p>
        </w:tc>
        <w:tc>
          <w:tcPr>
            <w:tcW w:w="2457" w:type="dxa"/>
            <w:hideMark/>
          </w:tcPr>
          <w:p w14:paraId="7783B114" w14:textId="77777777" w:rsidR="00904BA5" w:rsidRPr="00904BA5" w:rsidRDefault="00904BA5" w:rsidP="00904BA5">
            <w:pPr>
              <w:spacing w:after="160" w:line="278" w:lineRule="auto"/>
            </w:pPr>
            <w:r w:rsidRPr="00904BA5">
              <w:t>125</w:t>
            </w:r>
          </w:p>
        </w:tc>
        <w:tc>
          <w:tcPr>
            <w:tcW w:w="2457" w:type="dxa"/>
            <w:hideMark/>
          </w:tcPr>
          <w:p w14:paraId="122D450E" w14:textId="77777777" w:rsidR="00904BA5" w:rsidRPr="00904BA5" w:rsidRDefault="00904BA5" w:rsidP="00904BA5">
            <w:pPr>
              <w:spacing w:after="160" w:line="278" w:lineRule="auto"/>
            </w:pPr>
            <w:r w:rsidRPr="00904BA5">
              <w:t>38</w:t>
            </w:r>
          </w:p>
        </w:tc>
        <w:tc>
          <w:tcPr>
            <w:tcW w:w="4916" w:type="dxa"/>
            <w:gridSpan w:val="2"/>
            <w:hideMark/>
          </w:tcPr>
          <w:p w14:paraId="6DBED611" w14:textId="77777777" w:rsidR="00904BA5" w:rsidRPr="00904BA5" w:rsidRDefault="00904BA5" w:rsidP="00904BA5">
            <w:pPr>
              <w:spacing w:after="160" w:line="278" w:lineRule="auto"/>
            </w:pPr>
            <w:r w:rsidRPr="00904BA5">
              <w:t>QSD*</w:t>
            </w:r>
          </w:p>
        </w:tc>
      </w:tr>
      <w:tr w:rsidR="00904BA5" w:rsidRPr="00904BA5" w14:paraId="5E3D6420" w14:textId="77777777" w:rsidTr="00904BA5">
        <w:trPr>
          <w:jc w:val="center"/>
        </w:trPr>
        <w:tc>
          <w:tcPr>
            <w:tcW w:w="2611" w:type="dxa"/>
            <w:hideMark/>
          </w:tcPr>
          <w:p w14:paraId="75327604" w14:textId="77777777" w:rsidR="00904BA5" w:rsidRPr="00904BA5" w:rsidRDefault="00904BA5" w:rsidP="00904BA5">
            <w:pPr>
              <w:spacing w:after="160" w:line="278" w:lineRule="auto"/>
            </w:pPr>
            <w:r w:rsidRPr="00904BA5">
              <w:t>120.001–200.000</w:t>
            </w:r>
          </w:p>
        </w:tc>
        <w:tc>
          <w:tcPr>
            <w:tcW w:w="2918" w:type="dxa"/>
            <w:hideMark/>
          </w:tcPr>
          <w:p w14:paraId="2BE67AE1" w14:textId="77777777" w:rsidR="00904BA5" w:rsidRPr="00904BA5" w:rsidRDefault="00904BA5" w:rsidP="00904BA5">
            <w:pPr>
              <w:spacing w:after="160" w:line="278" w:lineRule="auto"/>
            </w:pPr>
            <w:r w:rsidRPr="00904BA5">
              <w:t>≥454–757</w:t>
            </w:r>
          </w:p>
        </w:tc>
        <w:tc>
          <w:tcPr>
            <w:tcW w:w="2457" w:type="dxa"/>
            <w:hideMark/>
          </w:tcPr>
          <w:p w14:paraId="4404D44B" w14:textId="77777777" w:rsidR="00904BA5" w:rsidRPr="00904BA5" w:rsidRDefault="00904BA5" w:rsidP="00904BA5">
            <w:pPr>
              <w:spacing w:after="160" w:line="278" w:lineRule="auto"/>
            </w:pPr>
            <w:r w:rsidRPr="00904BA5">
              <w:t>200</w:t>
            </w:r>
          </w:p>
        </w:tc>
        <w:tc>
          <w:tcPr>
            <w:tcW w:w="2457" w:type="dxa"/>
            <w:hideMark/>
          </w:tcPr>
          <w:p w14:paraId="085110D3" w14:textId="77777777" w:rsidR="00904BA5" w:rsidRPr="00904BA5" w:rsidRDefault="00904BA5" w:rsidP="00904BA5">
            <w:pPr>
              <w:spacing w:after="160" w:line="278" w:lineRule="auto"/>
            </w:pPr>
            <w:r w:rsidRPr="00904BA5">
              <w:t>61</w:t>
            </w:r>
          </w:p>
        </w:tc>
        <w:tc>
          <w:tcPr>
            <w:tcW w:w="4916" w:type="dxa"/>
            <w:gridSpan w:val="2"/>
            <w:hideMark/>
          </w:tcPr>
          <w:p w14:paraId="28FF1E62" w14:textId="77777777" w:rsidR="00904BA5" w:rsidRPr="00904BA5" w:rsidRDefault="00904BA5" w:rsidP="00904BA5">
            <w:pPr>
              <w:spacing w:after="160" w:line="278" w:lineRule="auto"/>
            </w:pPr>
            <w:r w:rsidRPr="00904BA5">
              <w:t>QSD*</w:t>
            </w:r>
          </w:p>
        </w:tc>
      </w:tr>
      <w:tr w:rsidR="00904BA5" w:rsidRPr="00904BA5" w14:paraId="17B56D42" w14:textId="77777777" w:rsidTr="00904BA5">
        <w:trPr>
          <w:jc w:val="center"/>
        </w:trPr>
        <w:tc>
          <w:tcPr>
            <w:tcW w:w="2611" w:type="dxa"/>
            <w:hideMark/>
          </w:tcPr>
          <w:p w14:paraId="7437073F" w14:textId="77777777" w:rsidR="00904BA5" w:rsidRPr="00904BA5" w:rsidRDefault="00904BA5" w:rsidP="00904BA5">
            <w:pPr>
              <w:spacing w:after="160" w:line="278" w:lineRule="auto"/>
            </w:pPr>
            <w:r w:rsidRPr="00904BA5">
              <w:t>200.001–1.056.000</w:t>
            </w:r>
          </w:p>
        </w:tc>
        <w:tc>
          <w:tcPr>
            <w:tcW w:w="2918" w:type="dxa"/>
            <w:hideMark/>
          </w:tcPr>
          <w:p w14:paraId="7E1E041A" w14:textId="77777777" w:rsidR="00904BA5" w:rsidRPr="00904BA5" w:rsidRDefault="00904BA5" w:rsidP="00904BA5">
            <w:pPr>
              <w:spacing w:after="160" w:line="278" w:lineRule="auto"/>
            </w:pPr>
            <w:r w:rsidRPr="00904BA5">
              <w:t>≥757–4000</w:t>
            </w:r>
          </w:p>
        </w:tc>
        <w:tc>
          <w:tcPr>
            <w:tcW w:w="2457" w:type="dxa"/>
            <w:hideMark/>
          </w:tcPr>
          <w:p w14:paraId="60906256" w14:textId="77777777" w:rsidR="00904BA5" w:rsidRPr="00904BA5" w:rsidRDefault="00904BA5" w:rsidP="00904BA5">
            <w:pPr>
              <w:spacing w:after="160" w:line="278" w:lineRule="auto"/>
            </w:pPr>
            <w:r w:rsidRPr="00904BA5">
              <w:t>300</w:t>
            </w:r>
          </w:p>
        </w:tc>
        <w:tc>
          <w:tcPr>
            <w:tcW w:w="2457" w:type="dxa"/>
            <w:hideMark/>
          </w:tcPr>
          <w:p w14:paraId="1E19780D" w14:textId="77777777" w:rsidR="00904BA5" w:rsidRPr="00904BA5" w:rsidRDefault="00904BA5" w:rsidP="00904BA5">
            <w:pPr>
              <w:spacing w:after="160" w:line="278" w:lineRule="auto"/>
            </w:pPr>
            <w:r w:rsidRPr="00904BA5">
              <w:t>91.4</w:t>
            </w:r>
          </w:p>
        </w:tc>
        <w:tc>
          <w:tcPr>
            <w:tcW w:w="4916" w:type="dxa"/>
            <w:gridSpan w:val="2"/>
            <w:hideMark/>
          </w:tcPr>
          <w:p w14:paraId="521F5966" w14:textId="77777777" w:rsidR="00904BA5" w:rsidRPr="00904BA5" w:rsidRDefault="00904BA5" w:rsidP="00904BA5">
            <w:pPr>
              <w:spacing w:after="160" w:line="278" w:lineRule="auto"/>
            </w:pPr>
            <w:r w:rsidRPr="00904BA5">
              <w:t>QSD*</w:t>
            </w:r>
          </w:p>
        </w:tc>
      </w:tr>
      <w:tr w:rsidR="00904BA5" w:rsidRPr="00904BA5" w14:paraId="2EA00434" w14:textId="77777777" w:rsidTr="00904BA5">
        <w:trPr>
          <w:jc w:val="center"/>
        </w:trPr>
        <w:tc>
          <w:tcPr>
            <w:tcW w:w="0" w:type="auto"/>
            <w:gridSpan w:val="6"/>
            <w:hideMark/>
          </w:tcPr>
          <w:p w14:paraId="262D303B" w14:textId="77777777" w:rsidR="00904BA5" w:rsidRPr="00904BA5" w:rsidRDefault="00904BA5" w:rsidP="00904BA5">
            <w:pPr>
              <w:spacing w:after="160" w:line="278" w:lineRule="auto"/>
            </w:pPr>
            <w:r w:rsidRPr="00904BA5">
              <w:t>*QSD = 1 ⁄4 de la suma de los diámetros de los contenedores adyacentes [5 pies (1,5 m) mínimo]</w:t>
            </w:r>
          </w:p>
        </w:tc>
      </w:tr>
    </w:tbl>
    <w:p w14:paraId="4BCDFE48" w14:textId="77777777" w:rsidR="00904BA5" w:rsidRPr="00904BA5" w:rsidRDefault="00904BA5" w:rsidP="00904BA5">
      <w:pPr>
        <w:rPr>
          <w:b/>
          <w:bCs/>
        </w:rPr>
      </w:pPr>
      <w:r w:rsidRPr="00904BA5">
        <w:rPr>
          <w:b/>
          <w:bCs/>
        </w:rPr>
        <w:t>17.3.2.2.4 </w:t>
      </w:r>
    </w:p>
    <w:p w14:paraId="38A0DD42" w14:textId="77777777" w:rsidR="00904BA5" w:rsidRPr="00904BA5" w:rsidRDefault="00904BA5" w:rsidP="00904BA5">
      <w:r w:rsidRPr="00904BA5">
        <w:t>Los contenedores subterráneos de GNL se instalarán de acuerdo con </w:t>
      </w:r>
      <w:hyperlink r:id="rId38" w:anchor="ID00059A002303" w:history="1">
        <w:r w:rsidRPr="00904BA5">
          <w:rPr>
            <w:rStyle w:val="Hipervnculo"/>
            <w:b/>
            <w:bCs/>
          </w:rPr>
          <w:t>la Tabla 17.3.2.2.4</w:t>
        </w:r>
      </w:hyperlink>
      <w:r w:rsidRPr="00904BA5">
        <w:t> .</w:t>
      </w:r>
    </w:p>
    <w:tbl>
      <w:tblPr>
        <w:tblStyle w:val="Tablaconcuadrcula"/>
        <w:tblW w:w="15360" w:type="dxa"/>
        <w:jc w:val="center"/>
        <w:tblLook w:val="04A0" w:firstRow="1" w:lastRow="0" w:firstColumn="1" w:lastColumn="0" w:noHBand="0" w:noVBand="1"/>
      </w:tblPr>
      <w:tblGrid>
        <w:gridCol w:w="2610"/>
        <w:gridCol w:w="3226"/>
        <w:gridCol w:w="2457"/>
        <w:gridCol w:w="2458"/>
        <w:gridCol w:w="2457"/>
        <w:gridCol w:w="2152"/>
      </w:tblGrid>
      <w:tr w:rsidR="00904BA5" w:rsidRPr="00904BA5" w14:paraId="6E6C37AC" w14:textId="77777777" w:rsidTr="00904BA5">
        <w:trPr>
          <w:jc w:val="center"/>
        </w:trPr>
        <w:tc>
          <w:tcPr>
            <w:tcW w:w="0" w:type="auto"/>
            <w:gridSpan w:val="6"/>
            <w:hideMark/>
          </w:tcPr>
          <w:p w14:paraId="0E55034C" w14:textId="77777777" w:rsidR="00904BA5" w:rsidRPr="00904BA5" w:rsidRDefault="00904BA5" w:rsidP="00904BA5">
            <w:pPr>
              <w:spacing w:after="160" w:line="278" w:lineRule="auto"/>
              <w:rPr>
                <w:b/>
                <w:bCs/>
              </w:rPr>
            </w:pPr>
            <w:r w:rsidRPr="00904BA5">
              <w:rPr>
                <w:b/>
                <w:bCs/>
              </w:rPr>
              <w:t>Tabla 17.3.2.2.4 Distancias desde contenedores subterráneos y exposiciones</w:t>
            </w:r>
            <w:r w:rsidRPr="00904BA5">
              <w:rPr>
                <w:b/>
                <w:bCs/>
              </w:rPr>
              <w:br/>
            </w:r>
          </w:p>
        </w:tc>
      </w:tr>
      <w:tr w:rsidR="00904BA5" w:rsidRPr="00904BA5" w14:paraId="57E94BAC" w14:textId="77777777" w:rsidTr="00904BA5">
        <w:trPr>
          <w:jc w:val="center"/>
        </w:trPr>
        <w:tc>
          <w:tcPr>
            <w:tcW w:w="5837" w:type="dxa"/>
            <w:gridSpan w:val="2"/>
            <w:hideMark/>
          </w:tcPr>
          <w:p w14:paraId="48A0C31C" w14:textId="77777777" w:rsidR="00904BA5" w:rsidRPr="00904BA5" w:rsidRDefault="00904BA5" w:rsidP="00904BA5">
            <w:pPr>
              <w:spacing w:after="160" w:line="278" w:lineRule="auto"/>
              <w:rPr>
                <w:b/>
                <w:bCs/>
              </w:rPr>
            </w:pPr>
            <w:r w:rsidRPr="00904BA5">
              <w:rPr>
                <w:b/>
                <w:bCs/>
              </w:rPr>
              <w:t>Capacidad de agua del contenedor</w:t>
            </w:r>
          </w:p>
        </w:tc>
        <w:tc>
          <w:tcPr>
            <w:tcW w:w="4915" w:type="dxa"/>
            <w:gridSpan w:val="2"/>
            <w:hideMark/>
          </w:tcPr>
          <w:p w14:paraId="5A69EC4D" w14:textId="77777777" w:rsidR="00904BA5" w:rsidRPr="00904BA5" w:rsidRDefault="00904BA5" w:rsidP="00904BA5">
            <w:pPr>
              <w:spacing w:after="160" w:line="278" w:lineRule="auto"/>
              <w:rPr>
                <w:b/>
                <w:bCs/>
              </w:rPr>
            </w:pPr>
            <w:r w:rsidRPr="00904BA5">
              <w:rPr>
                <w:b/>
                <w:bCs/>
              </w:rPr>
              <w:t>Distancia mínima de los edificios y la línea de propiedad adyacente sobre la que se puede construir</w:t>
            </w:r>
          </w:p>
        </w:tc>
        <w:tc>
          <w:tcPr>
            <w:tcW w:w="4609" w:type="dxa"/>
            <w:gridSpan w:val="2"/>
            <w:hideMark/>
          </w:tcPr>
          <w:p w14:paraId="2C9B2BBA" w14:textId="77777777" w:rsidR="00904BA5" w:rsidRPr="00904BA5" w:rsidRDefault="00904BA5" w:rsidP="00904BA5">
            <w:pPr>
              <w:spacing w:after="160" w:line="278" w:lineRule="auto"/>
              <w:rPr>
                <w:b/>
                <w:bCs/>
              </w:rPr>
            </w:pPr>
            <w:r w:rsidRPr="00904BA5">
              <w:rPr>
                <w:b/>
                <w:bCs/>
              </w:rPr>
              <w:t>Distancia entre contenedores</w:t>
            </w:r>
          </w:p>
        </w:tc>
      </w:tr>
      <w:tr w:rsidR="00904BA5" w:rsidRPr="00904BA5" w14:paraId="3455EA42" w14:textId="77777777" w:rsidTr="00904BA5">
        <w:trPr>
          <w:jc w:val="center"/>
        </w:trPr>
        <w:tc>
          <w:tcPr>
            <w:tcW w:w="2611" w:type="dxa"/>
            <w:hideMark/>
          </w:tcPr>
          <w:p w14:paraId="2C08DBCE" w14:textId="77777777" w:rsidR="00904BA5" w:rsidRPr="00904BA5" w:rsidRDefault="00904BA5" w:rsidP="00904BA5">
            <w:pPr>
              <w:spacing w:after="160" w:line="278" w:lineRule="auto"/>
              <w:rPr>
                <w:b/>
                <w:bCs/>
              </w:rPr>
            </w:pPr>
            <w:r w:rsidRPr="00904BA5">
              <w:rPr>
                <w:b/>
                <w:bCs/>
              </w:rPr>
              <w:t>galón</w:t>
            </w:r>
          </w:p>
        </w:tc>
        <w:tc>
          <w:tcPr>
            <w:tcW w:w="3225" w:type="dxa"/>
            <w:hideMark/>
          </w:tcPr>
          <w:p w14:paraId="6AE52AE6" w14:textId="77777777" w:rsidR="00904BA5" w:rsidRPr="00904BA5" w:rsidRDefault="00904BA5" w:rsidP="00904BA5">
            <w:pPr>
              <w:spacing w:after="160" w:line="278" w:lineRule="auto"/>
              <w:rPr>
                <w:b/>
                <w:bCs/>
              </w:rPr>
            </w:pPr>
            <w:r w:rsidRPr="00904BA5">
              <w:rPr>
                <w:b/>
                <w:bCs/>
              </w:rPr>
              <w:t>metros </w:t>
            </w:r>
            <w:r w:rsidRPr="00904BA5">
              <w:rPr>
                <w:b/>
                <w:bCs/>
                <w:vertAlign w:val="superscript"/>
              </w:rPr>
              <w:t>cúbicos</w:t>
            </w:r>
          </w:p>
        </w:tc>
        <w:tc>
          <w:tcPr>
            <w:tcW w:w="2457" w:type="dxa"/>
            <w:hideMark/>
          </w:tcPr>
          <w:p w14:paraId="74ABBB2E" w14:textId="77777777" w:rsidR="00904BA5" w:rsidRPr="00904BA5" w:rsidRDefault="00904BA5" w:rsidP="00904BA5">
            <w:pPr>
              <w:spacing w:after="160" w:line="278" w:lineRule="auto"/>
              <w:rPr>
                <w:b/>
                <w:bCs/>
              </w:rPr>
            </w:pPr>
            <w:r w:rsidRPr="00904BA5">
              <w:rPr>
                <w:b/>
                <w:bCs/>
              </w:rPr>
              <w:t>pie</w:t>
            </w:r>
          </w:p>
        </w:tc>
        <w:tc>
          <w:tcPr>
            <w:tcW w:w="2457" w:type="dxa"/>
            <w:hideMark/>
          </w:tcPr>
          <w:p w14:paraId="7B38B6D6" w14:textId="77777777" w:rsidR="00904BA5" w:rsidRPr="00904BA5" w:rsidRDefault="00904BA5" w:rsidP="00904BA5">
            <w:pPr>
              <w:spacing w:after="160" w:line="278" w:lineRule="auto"/>
              <w:rPr>
                <w:b/>
                <w:bCs/>
              </w:rPr>
            </w:pPr>
            <w:r w:rsidRPr="00904BA5">
              <w:rPr>
                <w:b/>
                <w:bCs/>
              </w:rPr>
              <w:t>metro</w:t>
            </w:r>
          </w:p>
        </w:tc>
        <w:tc>
          <w:tcPr>
            <w:tcW w:w="2457" w:type="dxa"/>
            <w:hideMark/>
          </w:tcPr>
          <w:p w14:paraId="49CB3BEF" w14:textId="77777777" w:rsidR="00904BA5" w:rsidRPr="00904BA5" w:rsidRDefault="00904BA5" w:rsidP="00904BA5">
            <w:pPr>
              <w:spacing w:after="160" w:line="278" w:lineRule="auto"/>
              <w:rPr>
                <w:b/>
                <w:bCs/>
              </w:rPr>
            </w:pPr>
            <w:r w:rsidRPr="00904BA5">
              <w:rPr>
                <w:b/>
                <w:bCs/>
              </w:rPr>
              <w:t>pie</w:t>
            </w:r>
          </w:p>
        </w:tc>
        <w:tc>
          <w:tcPr>
            <w:tcW w:w="2151" w:type="dxa"/>
            <w:hideMark/>
          </w:tcPr>
          <w:p w14:paraId="14C713F9" w14:textId="77777777" w:rsidR="00904BA5" w:rsidRPr="00904BA5" w:rsidRDefault="00904BA5" w:rsidP="00904BA5">
            <w:pPr>
              <w:spacing w:after="160" w:line="278" w:lineRule="auto"/>
              <w:rPr>
                <w:b/>
                <w:bCs/>
              </w:rPr>
            </w:pPr>
            <w:r w:rsidRPr="00904BA5">
              <w:rPr>
                <w:b/>
                <w:bCs/>
              </w:rPr>
              <w:t>metro</w:t>
            </w:r>
          </w:p>
        </w:tc>
      </w:tr>
      <w:tr w:rsidR="00904BA5" w:rsidRPr="00904BA5" w14:paraId="46C12FA6" w14:textId="77777777" w:rsidTr="00904BA5">
        <w:trPr>
          <w:jc w:val="center"/>
        </w:trPr>
        <w:tc>
          <w:tcPr>
            <w:tcW w:w="2611" w:type="dxa"/>
            <w:hideMark/>
          </w:tcPr>
          <w:p w14:paraId="5F08C5A9" w14:textId="77777777" w:rsidR="00904BA5" w:rsidRPr="00904BA5" w:rsidRDefault="00904BA5" w:rsidP="00904BA5">
            <w:pPr>
              <w:spacing w:after="160" w:line="278" w:lineRule="auto"/>
            </w:pPr>
            <w:r w:rsidRPr="00904BA5">
              <w:t>&lt;18.000</w:t>
            </w:r>
          </w:p>
        </w:tc>
        <w:tc>
          <w:tcPr>
            <w:tcW w:w="3225" w:type="dxa"/>
            <w:hideMark/>
          </w:tcPr>
          <w:p w14:paraId="6E93BC82" w14:textId="77777777" w:rsidR="00904BA5" w:rsidRPr="00904BA5" w:rsidRDefault="00904BA5" w:rsidP="00904BA5">
            <w:pPr>
              <w:spacing w:after="160" w:line="278" w:lineRule="auto"/>
            </w:pPr>
            <w:r w:rsidRPr="00904BA5">
              <w:t>&lt;68,1</w:t>
            </w:r>
          </w:p>
        </w:tc>
        <w:tc>
          <w:tcPr>
            <w:tcW w:w="2457" w:type="dxa"/>
            <w:hideMark/>
          </w:tcPr>
          <w:p w14:paraId="34B3B872" w14:textId="77777777" w:rsidR="00904BA5" w:rsidRPr="00904BA5" w:rsidRDefault="00904BA5" w:rsidP="00904BA5">
            <w:pPr>
              <w:spacing w:after="160" w:line="278" w:lineRule="auto"/>
            </w:pPr>
            <w:r w:rsidRPr="00904BA5">
              <w:t>15</w:t>
            </w:r>
          </w:p>
        </w:tc>
        <w:tc>
          <w:tcPr>
            <w:tcW w:w="2457" w:type="dxa"/>
            <w:hideMark/>
          </w:tcPr>
          <w:p w14:paraId="6DB7B292" w14:textId="77777777" w:rsidR="00904BA5" w:rsidRPr="00904BA5" w:rsidRDefault="00904BA5" w:rsidP="00904BA5">
            <w:pPr>
              <w:spacing w:after="160" w:line="278" w:lineRule="auto"/>
            </w:pPr>
            <w:r w:rsidRPr="00904BA5">
              <w:t>4.6</w:t>
            </w:r>
          </w:p>
        </w:tc>
        <w:tc>
          <w:tcPr>
            <w:tcW w:w="2457" w:type="dxa"/>
            <w:hideMark/>
          </w:tcPr>
          <w:p w14:paraId="3B4A7DFB" w14:textId="77777777" w:rsidR="00904BA5" w:rsidRPr="00904BA5" w:rsidRDefault="00904BA5" w:rsidP="00904BA5">
            <w:pPr>
              <w:spacing w:after="160" w:line="278" w:lineRule="auto"/>
            </w:pPr>
            <w:r w:rsidRPr="00904BA5">
              <w:t>15</w:t>
            </w:r>
          </w:p>
        </w:tc>
        <w:tc>
          <w:tcPr>
            <w:tcW w:w="2151" w:type="dxa"/>
            <w:hideMark/>
          </w:tcPr>
          <w:p w14:paraId="33CFD23D" w14:textId="77777777" w:rsidR="00904BA5" w:rsidRPr="00904BA5" w:rsidRDefault="00904BA5" w:rsidP="00904BA5">
            <w:pPr>
              <w:spacing w:after="160" w:line="278" w:lineRule="auto"/>
            </w:pPr>
            <w:r w:rsidRPr="00904BA5">
              <w:t>4.6</w:t>
            </w:r>
          </w:p>
        </w:tc>
      </w:tr>
      <w:tr w:rsidR="00904BA5" w:rsidRPr="00904BA5" w14:paraId="021C8D67" w14:textId="77777777" w:rsidTr="00904BA5">
        <w:trPr>
          <w:jc w:val="center"/>
        </w:trPr>
        <w:tc>
          <w:tcPr>
            <w:tcW w:w="2611" w:type="dxa"/>
            <w:hideMark/>
          </w:tcPr>
          <w:p w14:paraId="7C4DC3B3" w14:textId="77777777" w:rsidR="00904BA5" w:rsidRPr="00904BA5" w:rsidRDefault="00904BA5" w:rsidP="00904BA5">
            <w:pPr>
              <w:spacing w:after="160" w:line="278" w:lineRule="auto"/>
            </w:pPr>
            <w:r w:rsidRPr="00904BA5">
              <w:t>18.000–30.000</w:t>
            </w:r>
          </w:p>
        </w:tc>
        <w:tc>
          <w:tcPr>
            <w:tcW w:w="3225" w:type="dxa"/>
            <w:hideMark/>
          </w:tcPr>
          <w:p w14:paraId="4E59A668" w14:textId="77777777" w:rsidR="00904BA5" w:rsidRPr="00904BA5" w:rsidRDefault="00904BA5" w:rsidP="00904BA5">
            <w:pPr>
              <w:spacing w:after="160" w:line="278" w:lineRule="auto"/>
            </w:pPr>
            <w:r w:rsidRPr="00904BA5">
              <w:t>68.1–114</w:t>
            </w:r>
          </w:p>
        </w:tc>
        <w:tc>
          <w:tcPr>
            <w:tcW w:w="2457" w:type="dxa"/>
            <w:hideMark/>
          </w:tcPr>
          <w:p w14:paraId="6051D1B3" w14:textId="77777777" w:rsidR="00904BA5" w:rsidRPr="00904BA5" w:rsidRDefault="00904BA5" w:rsidP="00904BA5">
            <w:pPr>
              <w:spacing w:after="160" w:line="278" w:lineRule="auto"/>
            </w:pPr>
            <w:r w:rsidRPr="00904BA5">
              <w:t>25</w:t>
            </w:r>
          </w:p>
        </w:tc>
        <w:tc>
          <w:tcPr>
            <w:tcW w:w="2457" w:type="dxa"/>
            <w:hideMark/>
          </w:tcPr>
          <w:p w14:paraId="3DE6ABC6" w14:textId="77777777" w:rsidR="00904BA5" w:rsidRPr="00904BA5" w:rsidRDefault="00904BA5" w:rsidP="00904BA5">
            <w:pPr>
              <w:spacing w:after="160" w:line="278" w:lineRule="auto"/>
            </w:pPr>
            <w:r w:rsidRPr="00904BA5">
              <w:t>7.6</w:t>
            </w:r>
          </w:p>
        </w:tc>
        <w:tc>
          <w:tcPr>
            <w:tcW w:w="2457" w:type="dxa"/>
            <w:hideMark/>
          </w:tcPr>
          <w:p w14:paraId="5558AC69" w14:textId="77777777" w:rsidR="00904BA5" w:rsidRPr="00904BA5" w:rsidRDefault="00904BA5" w:rsidP="00904BA5">
            <w:pPr>
              <w:spacing w:after="160" w:line="278" w:lineRule="auto"/>
            </w:pPr>
            <w:r w:rsidRPr="00904BA5">
              <w:t>15</w:t>
            </w:r>
          </w:p>
        </w:tc>
        <w:tc>
          <w:tcPr>
            <w:tcW w:w="2151" w:type="dxa"/>
            <w:hideMark/>
          </w:tcPr>
          <w:p w14:paraId="45DB1E0C" w14:textId="77777777" w:rsidR="00904BA5" w:rsidRPr="00904BA5" w:rsidRDefault="00904BA5" w:rsidP="00904BA5">
            <w:pPr>
              <w:spacing w:after="160" w:line="278" w:lineRule="auto"/>
            </w:pPr>
            <w:r w:rsidRPr="00904BA5">
              <w:t>4.6</w:t>
            </w:r>
          </w:p>
        </w:tc>
      </w:tr>
      <w:tr w:rsidR="00904BA5" w:rsidRPr="00904BA5" w14:paraId="3DE87FA4" w14:textId="77777777" w:rsidTr="00904BA5">
        <w:trPr>
          <w:jc w:val="center"/>
        </w:trPr>
        <w:tc>
          <w:tcPr>
            <w:tcW w:w="2611" w:type="dxa"/>
            <w:hideMark/>
          </w:tcPr>
          <w:p w14:paraId="1C695022" w14:textId="77777777" w:rsidR="00904BA5" w:rsidRPr="00904BA5" w:rsidRDefault="00904BA5" w:rsidP="00904BA5">
            <w:pPr>
              <w:spacing w:after="160" w:line="278" w:lineRule="auto"/>
            </w:pPr>
            <w:r w:rsidRPr="00904BA5">
              <w:t>30.001–100.000</w:t>
            </w:r>
          </w:p>
        </w:tc>
        <w:tc>
          <w:tcPr>
            <w:tcW w:w="3225" w:type="dxa"/>
            <w:hideMark/>
          </w:tcPr>
          <w:p w14:paraId="0F33E62C" w14:textId="77777777" w:rsidR="00904BA5" w:rsidRPr="00904BA5" w:rsidRDefault="00904BA5" w:rsidP="00904BA5">
            <w:pPr>
              <w:spacing w:after="160" w:line="278" w:lineRule="auto"/>
            </w:pPr>
            <w:r w:rsidRPr="00904BA5">
              <w:t>≥114–379</w:t>
            </w:r>
          </w:p>
        </w:tc>
        <w:tc>
          <w:tcPr>
            <w:tcW w:w="2457" w:type="dxa"/>
            <w:hideMark/>
          </w:tcPr>
          <w:p w14:paraId="5511EAD8" w14:textId="77777777" w:rsidR="00904BA5" w:rsidRPr="00904BA5" w:rsidRDefault="00904BA5" w:rsidP="00904BA5">
            <w:pPr>
              <w:spacing w:after="160" w:line="278" w:lineRule="auto"/>
            </w:pPr>
            <w:r w:rsidRPr="00904BA5">
              <w:t>40</w:t>
            </w:r>
          </w:p>
        </w:tc>
        <w:tc>
          <w:tcPr>
            <w:tcW w:w="2457" w:type="dxa"/>
            <w:hideMark/>
          </w:tcPr>
          <w:p w14:paraId="2B6B3789" w14:textId="77777777" w:rsidR="00904BA5" w:rsidRPr="00904BA5" w:rsidRDefault="00904BA5" w:rsidP="00904BA5">
            <w:pPr>
              <w:spacing w:after="160" w:line="278" w:lineRule="auto"/>
            </w:pPr>
            <w:r w:rsidRPr="00904BA5">
              <w:t>12.2</w:t>
            </w:r>
          </w:p>
        </w:tc>
        <w:tc>
          <w:tcPr>
            <w:tcW w:w="2457" w:type="dxa"/>
            <w:hideMark/>
          </w:tcPr>
          <w:p w14:paraId="4B3E5F28" w14:textId="77777777" w:rsidR="00904BA5" w:rsidRPr="00904BA5" w:rsidRDefault="00904BA5" w:rsidP="00904BA5">
            <w:pPr>
              <w:spacing w:after="160" w:line="278" w:lineRule="auto"/>
            </w:pPr>
            <w:r w:rsidRPr="00904BA5">
              <w:t>15</w:t>
            </w:r>
          </w:p>
        </w:tc>
        <w:tc>
          <w:tcPr>
            <w:tcW w:w="2151" w:type="dxa"/>
            <w:hideMark/>
          </w:tcPr>
          <w:p w14:paraId="32D559F3" w14:textId="77777777" w:rsidR="00904BA5" w:rsidRPr="00904BA5" w:rsidRDefault="00904BA5" w:rsidP="00904BA5">
            <w:pPr>
              <w:spacing w:after="160" w:line="278" w:lineRule="auto"/>
            </w:pPr>
            <w:r w:rsidRPr="00904BA5">
              <w:t>4.6</w:t>
            </w:r>
          </w:p>
        </w:tc>
      </w:tr>
      <w:tr w:rsidR="00904BA5" w:rsidRPr="00904BA5" w14:paraId="4FBC9EC6" w14:textId="77777777" w:rsidTr="00904BA5">
        <w:trPr>
          <w:jc w:val="center"/>
        </w:trPr>
        <w:tc>
          <w:tcPr>
            <w:tcW w:w="2611" w:type="dxa"/>
            <w:hideMark/>
          </w:tcPr>
          <w:p w14:paraId="1B75918B" w14:textId="77777777" w:rsidR="00904BA5" w:rsidRPr="00904BA5" w:rsidRDefault="00904BA5" w:rsidP="00904BA5">
            <w:pPr>
              <w:spacing w:after="160" w:line="278" w:lineRule="auto"/>
            </w:pPr>
            <w:r w:rsidRPr="00904BA5">
              <w:t>100.001–120.000</w:t>
            </w:r>
          </w:p>
        </w:tc>
        <w:tc>
          <w:tcPr>
            <w:tcW w:w="3225" w:type="dxa"/>
            <w:hideMark/>
          </w:tcPr>
          <w:p w14:paraId="085D489B" w14:textId="77777777" w:rsidR="00904BA5" w:rsidRPr="00904BA5" w:rsidRDefault="00904BA5" w:rsidP="00904BA5">
            <w:pPr>
              <w:spacing w:after="160" w:line="278" w:lineRule="auto"/>
            </w:pPr>
            <w:r w:rsidRPr="00904BA5">
              <w:t>≥379–454</w:t>
            </w:r>
          </w:p>
        </w:tc>
        <w:tc>
          <w:tcPr>
            <w:tcW w:w="2457" w:type="dxa"/>
            <w:hideMark/>
          </w:tcPr>
          <w:p w14:paraId="7DB7243E" w14:textId="77777777" w:rsidR="00904BA5" w:rsidRPr="00904BA5" w:rsidRDefault="00904BA5" w:rsidP="00904BA5">
            <w:pPr>
              <w:spacing w:after="160" w:line="278" w:lineRule="auto"/>
            </w:pPr>
            <w:r w:rsidRPr="00904BA5">
              <w:t>65</w:t>
            </w:r>
          </w:p>
        </w:tc>
        <w:tc>
          <w:tcPr>
            <w:tcW w:w="2457" w:type="dxa"/>
            <w:hideMark/>
          </w:tcPr>
          <w:p w14:paraId="75F658BB" w14:textId="77777777" w:rsidR="00904BA5" w:rsidRPr="00904BA5" w:rsidRDefault="00904BA5" w:rsidP="00904BA5">
            <w:pPr>
              <w:spacing w:after="160" w:line="278" w:lineRule="auto"/>
            </w:pPr>
            <w:r w:rsidRPr="00904BA5">
              <w:t>20</w:t>
            </w:r>
          </w:p>
        </w:tc>
        <w:tc>
          <w:tcPr>
            <w:tcW w:w="2457" w:type="dxa"/>
            <w:hideMark/>
          </w:tcPr>
          <w:p w14:paraId="06B6E1AB" w14:textId="77777777" w:rsidR="00904BA5" w:rsidRPr="00904BA5" w:rsidRDefault="00904BA5" w:rsidP="00904BA5">
            <w:pPr>
              <w:spacing w:after="160" w:line="278" w:lineRule="auto"/>
            </w:pPr>
            <w:r w:rsidRPr="00904BA5">
              <w:t>15</w:t>
            </w:r>
          </w:p>
        </w:tc>
        <w:tc>
          <w:tcPr>
            <w:tcW w:w="2151" w:type="dxa"/>
            <w:hideMark/>
          </w:tcPr>
          <w:p w14:paraId="30FC079B" w14:textId="77777777" w:rsidR="00904BA5" w:rsidRPr="00904BA5" w:rsidRDefault="00904BA5" w:rsidP="00904BA5">
            <w:pPr>
              <w:spacing w:after="160" w:line="278" w:lineRule="auto"/>
            </w:pPr>
            <w:r w:rsidRPr="00904BA5">
              <w:t>4.6</w:t>
            </w:r>
          </w:p>
        </w:tc>
      </w:tr>
      <w:tr w:rsidR="00904BA5" w:rsidRPr="00904BA5" w14:paraId="4B3794E8" w14:textId="77777777" w:rsidTr="00904BA5">
        <w:trPr>
          <w:jc w:val="center"/>
        </w:trPr>
        <w:tc>
          <w:tcPr>
            <w:tcW w:w="2611" w:type="dxa"/>
            <w:hideMark/>
          </w:tcPr>
          <w:p w14:paraId="1223E720" w14:textId="77777777" w:rsidR="00904BA5" w:rsidRPr="00904BA5" w:rsidRDefault="00904BA5" w:rsidP="00904BA5">
            <w:pPr>
              <w:spacing w:after="160" w:line="278" w:lineRule="auto"/>
            </w:pPr>
            <w:r w:rsidRPr="00904BA5">
              <w:lastRenderedPageBreak/>
              <w:t>120.001–200.000</w:t>
            </w:r>
          </w:p>
        </w:tc>
        <w:tc>
          <w:tcPr>
            <w:tcW w:w="3225" w:type="dxa"/>
            <w:hideMark/>
          </w:tcPr>
          <w:p w14:paraId="06667E43" w14:textId="77777777" w:rsidR="00904BA5" w:rsidRPr="00904BA5" w:rsidRDefault="00904BA5" w:rsidP="00904BA5">
            <w:pPr>
              <w:spacing w:after="160" w:line="278" w:lineRule="auto"/>
            </w:pPr>
            <w:r w:rsidRPr="00904BA5">
              <w:t>≥454–757</w:t>
            </w:r>
          </w:p>
        </w:tc>
        <w:tc>
          <w:tcPr>
            <w:tcW w:w="2457" w:type="dxa"/>
            <w:hideMark/>
          </w:tcPr>
          <w:p w14:paraId="25067655" w14:textId="77777777" w:rsidR="00904BA5" w:rsidRPr="00904BA5" w:rsidRDefault="00904BA5" w:rsidP="00904BA5">
            <w:pPr>
              <w:spacing w:after="160" w:line="278" w:lineRule="auto"/>
            </w:pPr>
            <w:r w:rsidRPr="00904BA5">
              <w:t>100</w:t>
            </w:r>
          </w:p>
        </w:tc>
        <w:tc>
          <w:tcPr>
            <w:tcW w:w="2457" w:type="dxa"/>
            <w:hideMark/>
          </w:tcPr>
          <w:p w14:paraId="03F651E1" w14:textId="77777777" w:rsidR="00904BA5" w:rsidRPr="00904BA5" w:rsidRDefault="00904BA5" w:rsidP="00904BA5">
            <w:pPr>
              <w:spacing w:after="160" w:line="278" w:lineRule="auto"/>
            </w:pPr>
            <w:r w:rsidRPr="00904BA5">
              <w:t>30.5</w:t>
            </w:r>
          </w:p>
        </w:tc>
        <w:tc>
          <w:tcPr>
            <w:tcW w:w="2457" w:type="dxa"/>
            <w:hideMark/>
          </w:tcPr>
          <w:p w14:paraId="1BAFE4A8" w14:textId="77777777" w:rsidR="00904BA5" w:rsidRPr="00904BA5" w:rsidRDefault="00904BA5" w:rsidP="00904BA5">
            <w:pPr>
              <w:spacing w:after="160" w:line="278" w:lineRule="auto"/>
            </w:pPr>
            <w:r w:rsidRPr="00904BA5">
              <w:t>15</w:t>
            </w:r>
          </w:p>
        </w:tc>
        <w:tc>
          <w:tcPr>
            <w:tcW w:w="2151" w:type="dxa"/>
            <w:hideMark/>
          </w:tcPr>
          <w:p w14:paraId="45E3B22F" w14:textId="77777777" w:rsidR="00904BA5" w:rsidRPr="00904BA5" w:rsidRDefault="00904BA5" w:rsidP="00904BA5">
            <w:pPr>
              <w:spacing w:after="160" w:line="278" w:lineRule="auto"/>
            </w:pPr>
            <w:r w:rsidRPr="00904BA5">
              <w:t>4.6</w:t>
            </w:r>
          </w:p>
        </w:tc>
      </w:tr>
      <w:tr w:rsidR="00904BA5" w:rsidRPr="00904BA5" w14:paraId="1036F2D1" w14:textId="77777777" w:rsidTr="00904BA5">
        <w:trPr>
          <w:jc w:val="center"/>
        </w:trPr>
        <w:tc>
          <w:tcPr>
            <w:tcW w:w="2611" w:type="dxa"/>
            <w:hideMark/>
          </w:tcPr>
          <w:p w14:paraId="2E586E56" w14:textId="77777777" w:rsidR="00904BA5" w:rsidRPr="00904BA5" w:rsidRDefault="00904BA5" w:rsidP="00904BA5">
            <w:pPr>
              <w:spacing w:after="160" w:line="278" w:lineRule="auto"/>
            </w:pPr>
            <w:r w:rsidRPr="00904BA5">
              <w:t>20.0001–1.056.000</w:t>
            </w:r>
          </w:p>
        </w:tc>
        <w:tc>
          <w:tcPr>
            <w:tcW w:w="3225" w:type="dxa"/>
            <w:hideMark/>
          </w:tcPr>
          <w:p w14:paraId="118D9BDB" w14:textId="77777777" w:rsidR="00904BA5" w:rsidRPr="00904BA5" w:rsidRDefault="00904BA5" w:rsidP="00904BA5">
            <w:pPr>
              <w:spacing w:after="160" w:line="278" w:lineRule="auto"/>
            </w:pPr>
            <w:r w:rsidRPr="00904BA5">
              <w:t>≥757–4000</w:t>
            </w:r>
          </w:p>
        </w:tc>
        <w:tc>
          <w:tcPr>
            <w:tcW w:w="2457" w:type="dxa"/>
            <w:hideMark/>
          </w:tcPr>
          <w:p w14:paraId="00A0E665" w14:textId="77777777" w:rsidR="00904BA5" w:rsidRPr="00904BA5" w:rsidRDefault="00904BA5" w:rsidP="00904BA5">
            <w:pPr>
              <w:spacing w:after="160" w:line="278" w:lineRule="auto"/>
            </w:pPr>
            <w:r w:rsidRPr="00904BA5">
              <w:t>150</w:t>
            </w:r>
          </w:p>
        </w:tc>
        <w:tc>
          <w:tcPr>
            <w:tcW w:w="2457" w:type="dxa"/>
            <w:hideMark/>
          </w:tcPr>
          <w:p w14:paraId="37B36F42" w14:textId="77777777" w:rsidR="00904BA5" w:rsidRPr="00904BA5" w:rsidRDefault="00904BA5" w:rsidP="00904BA5">
            <w:pPr>
              <w:spacing w:after="160" w:line="278" w:lineRule="auto"/>
            </w:pPr>
            <w:r w:rsidRPr="00904BA5">
              <w:t>45.7</w:t>
            </w:r>
          </w:p>
        </w:tc>
        <w:tc>
          <w:tcPr>
            <w:tcW w:w="2457" w:type="dxa"/>
            <w:hideMark/>
          </w:tcPr>
          <w:p w14:paraId="79C00427" w14:textId="77777777" w:rsidR="00904BA5" w:rsidRPr="00904BA5" w:rsidRDefault="00904BA5" w:rsidP="00904BA5">
            <w:pPr>
              <w:spacing w:after="160" w:line="278" w:lineRule="auto"/>
            </w:pPr>
            <w:r w:rsidRPr="00904BA5">
              <w:t>15</w:t>
            </w:r>
          </w:p>
        </w:tc>
        <w:tc>
          <w:tcPr>
            <w:tcW w:w="2151" w:type="dxa"/>
            <w:hideMark/>
          </w:tcPr>
          <w:p w14:paraId="566C34EB" w14:textId="77777777" w:rsidR="00904BA5" w:rsidRPr="00904BA5" w:rsidRDefault="00904BA5" w:rsidP="00904BA5">
            <w:pPr>
              <w:spacing w:after="160" w:line="278" w:lineRule="auto"/>
            </w:pPr>
            <w:r w:rsidRPr="00904BA5">
              <w:t>4.6</w:t>
            </w:r>
          </w:p>
        </w:tc>
      </w:tr>
    </w:tbl>
    <w:p w14:paraId="270DEE6E" w14:textId="77777777" w:rsidR="00904BA5" w:rsidRPr="00904BA5" w:rsidRDefault="00000000" w:rsidP="00904BA5">
      <w:r>
        <w:pict w14:anchorId="2AAC9D51">
          <v:rect id="_x0000_i1027" style="width:0;height:1.5pt" o:hralign="center" o:hrstd="t" o:hr="t" fillcolor="#a0a0a0" stroked="f"/>
        </w:pict>
      </w:r>
    </w:p>
    <w:p w14:paraId="5C80B5C5" w14:textId="77777777" w:rsidR="00904BA5" w:rsidRPr="00904BA5" w:rsidRDefault="00904BA5" w:rsidP="00904BA5">
      <w:r w:rsidRPr="00904BA5">
        <w:t>17.4 Disposición de la planta.</w:t>
      </w:r>
    </w:p>
    <w:p w14:paraId="50CA2F2A" w14:textId="77777777" w:rsidR="00904BA5" w:rsidRPr="00904BA5" w:rsidRDefault="00904BA5" w:rsidP="00904BA5">
      <w:pPr>
        <w:rPr>
          <w:b/>
          <w:bCs/>
        </w:rPr>
      </w:pPr>
      <w:r w:rsidRPr="00904BA5">
        <w:rPr>
          <w:b/>
          <w:bCs/>
        </w:rPr>
        <w:t>17.4.1 </w:t>
      </w:r>
    </w:p>
    <w:p w14:paraId="77804DF9" w14:textId="77777777" w:rsidR="00904BA5" w:rsidRPr="00904BA5" w:rsidRDefault="00904BA5" w:rsidP="00904BA5">
      <w:r w:rsidRPr="00904BA5">
        <w:t>El capítulo  </w:t>
      </w:r>
      <w:hyperlink r:id="rId39" w:history="1">
        <w:r w:rsidRPr="00904BA5">
          <w:rPr>
            <w:rStyle w:val="Hipervnculo"/>
            <w:b/>
            <w:bCs/>
          </w:rPr>
          <w:t>6</w:t>
        </w:r>
      </w:hyperlink>
      <w:r w:rsidRPr="00904BA5">
        <w:t> se aplicará a este capítulo excepto </w:t>
      </w:r>
      <w:hyperlink r:id="rId40" w:anchor="ID00059A000213" w:history="1">
        <w:r w:rsidRPr="00904BA5">
          <w:rPr>
            <w:rStyle w:val="Hipervnculo"/>
            <w:b/>
            <w:bCs/>
          </w:rPr>
          <w:t>6.3.1</w:t>
        </w:r>
      </w:hyperlink>
      <w:r w:rsidRPr="00904BA5">
        <w:t> , </w:t>
      </w:r>
      <w:hyperlink r:id="rId41" w:anchor="ID00059A000237" w:history="1">
        <w:r w:rsidRPr="00904BA5">
          <w:rPr>
            <w:rStyle w:val="Hipervnculo"/>
            <w:b/>
            <w:bCs/>
          </w:rPr>
          <w:t>6.4.5</w:t>
        </w:r>
      </w:hyperlink>
      <w:r w:rsidRPr="00904BA5">
        <w:t> , </w:t>
      </w:r>
      <w:hyperlink r:id="rId42" w:anchor="ID00059A001836" w:history="1">
        <w:r w:rsidRPr="00904BA5">
          <w:rPr>
            <w:rStyle w:val="Hipervnculo"/>
            <w:b/>
            <w:bCs/>
          </w:rPr>
          <w:t>6.8.1</w:t>
        </w:r>
      </w:hyperlink>
      <w:r w:rsidRPr="00904BA5">
        <w:t> y </w:t>
      </w:r>
      <w:hyperlink r:id="rId43" w:anchor="ID00059A001837" w:history="1">
        <w:r w:rsidRPr="00904BA5">
          <w:rPr>
            <w:rStyle w:val="Hipervnculo"/>
            <w:b/>
            <w:bCs/>
          </w:rPr>
          <w:t>6.8.2</w:t>
        </w:r>
      </w:hyperlink>
      <w:r w:rsidRPr="00904BA5">
        <w:t> .</w:t>
      </w:r>
    </w:p>
    <w:p w14:paraId="103C42FE" w14:textId="77777777" w:rsidR="00904BA5" w:rsidRPr="00904BA5" w:rsidRDefault="00904BA5" w:rsidP="00904BA5">
      <w:pPr>
        <w:rPr>
          <w:b/>
          <w:bCs/>
        </w:rPr>
      </w:pPr>
      <w:r w:rsidRPr="00904BA5">
        <w:rPr>
          <w:b/>
          <w:bCs/>
        </w:rPr>
        <w:t>17.4.2 </w:t>
      </w:r>
    </w:p>
    <w:p w14:paraId="72E2D5B9" w14:textId="77777777" w:rsidR="00904BA5" w:rsidRPr="00904BA5" w:rsidRDefault="00904BA5" w:rsidP="00904BA5">
      <w:r w:rsidRPr="00904BA5">
        <w:t>Los tanques subterráneos de GNL se instalarán de acuerdo con </w:t>
      </w:r>
      <w:hyperlink r:id="rId44" w:anchor="ID00059A002303" w:history="1">
        <w:r w:rsidRPr="00904BA5">
          <w:rPr>
            <w:rStyle w:val="Hipervnculo"/>
            <w:b/>
            <w:bCs/>
          </w:rPr>
          <w:t>la Tabla 17.3.2.2.4</w:t>
        </w:r>
      </w:hyperlink>
      <w:r w:rsidRPr="00904BA5">
        <w:t> con respecto a la distancia entre contenedores.</w:t>
      </w:r>
    </w:p>
    <w:p w14:paraId="032E170B" w14:textId="77777777" w:rsidR="00904BA5" w:rsidRPr="00904BA5" w:rsidRDefault="00000000" w:rsidP="00904BA5">
      <w:r>
        <w:pict w14:anchorId="3B1BFAE0">
          <v:rect id="_x0000_i1028" style="width:0;height:1.5pt" o:hralign="center" o:hrstd="t" o:hr="t" fillcolor="#a0a0a0" stroked="f"/>
        </w:pict>
      </w:r>
    </w:p>
    <w:p w14:paraId="1A36A5CA" w14:textId="77777777" w:rsidR="00904BA5" w:rsidRPr="00904BA5" w:rsidRDefault="00904BA5" w:rsidP="00904BA5">
      <w:r w:rsidRPr="00904BA5">
        <w:t>17.5 Equipos de Proceso.</w:t>
      </w:r>
    </w:p>
    <w:p w14:paraId="3D82F0FB" w14:textId="77777777" w:rsidR="00904BA5" w:rsidRPr="00904BA5" w:rsidRDefault="00904BA5" w:rsidP="00904BA5">
      <w:r w:rsidRPr="00904BA5">
        <w:t>Los equipos de proceso deberán cumplir con el Capítulo  </w:t>
      </w:r>
      <w:hyperlink r:id="rId45" w:history="1">
        <w:r w:rsidRPr="00904BA5">
          <w:rPr>
            <w:rStyle w:val="Hipervnculo"/>
            <w:b/>
            <w:bCs/>
          </w:rPr>
          <w:t>7</w:t>
        </w:r>
      </w:hyperlink>
      <w:r w:rsidRPr="00904BA5">
        <w:t> , Equipos de proceso.</w:t>
      </w:r>
    </w:p>
    <w:p w14:paraId="6363994F" w14:textId="77777777" w:rsidR="00904BA5" w:rsidRPr="00904BA5" w:rsidRDefault="00000000" w:rsidP="00904BA5">
      <w:r>
        <w:pict w14:anchorId="3B744408">
          <v:rect id="_x0000_i1029" style="width:0;height:1.5pt" o:hralign="center" o:hrstd="t" o:hr="t" fillcolor="#a0a0a0" stroked="f"/>
        </w:pict>
      </w:r>
    </w:p>
    <w:p w14:paraId="7EFD5A84" w14:textId="77777777" w:rsidR="00904BA5" w:rsidRPr="00904BA5" w:rsidRDefault="00904BA5" w:rsidP="00904BA5">
      <w:r w:rsidRPr="00904BA5">
        <w:t>17.6 Almacenamiento estacionario de GNL.</w:t>
      </w:r>
    </w:p>
    <w:p w14:paraId="58866C98" w14:textId="77777777" w:rsidR="00904BA5" w:rsidRPr="00904BA5" w:rsidRDefault="00904BA5" w:rsidP="00904BA5">
      <w:r w:rsidRPr="00904BA5">
        <w:t>El almacenamiento de GNL deberá cumplir con el Capítulo  </w:t>
      </w:r>
      <w:hyperlink r:id="rId46" w:history="1">
        <w:r w:rsidRPr="00904BA5">
          <w:rPr>
            <w:rStyle w:val="Hipervnculo"/>
            <w:b/>
            <w:bCs/>
          </w:rPr>
          <w:t>8</w:t>
        </w:r>
      </w:hyperlink>
      <w:r w:rsidRPr="00904BA5">
        <w:t> , Almacenamiento estacionario de GNL, excepto lo modificado en este capítulo.</w:t>
      </w:r>
    </w:p>
    <w:p w14:paraId="3800D9C3" w14:textId="77777777" w:rsidR="00904BA5" w:rsidRPr="00904BA5" w:rsidRDefault="00904BA5" w:rsidP="00904BA5">
      <w:pPr>
        <w:rPr>
          <w:b/>
          <w:bCs/>
        </w:rPr>
      </w:pPr>
      <w:r w:rsidRPr="00904BA5">
        <w:rPr>
          <w:b/>
          <w:bCs/>
        </w:rPr>
        <w:t>17.6.1 </w:t>
      </w:r>
    </w:p>
    <w:p w14:paraId="13AEDFD0" w14:textId="77777777" w:rsidR="00904BA5" w:rsidRPr="00904BA5" w:rsidRDefault="00904BA5" w:rsidP="00904BA5">
      <w:r w:rsidRPr="00904BA5">
        <w:t>No se requerirá instrumentación de movimiento del suelo ( </w:t>
      </w:r>
      <w:hyperlink r:id="rId47" w:anchor="ID00059A000532" w:history="1">
        <w:r w:rsidRPr="00904BA5">
          <w:rPr>
            <w:rStyle w:val="Hipervnculo"/>
            <w:b/>
            <w:bCs/>
          </w:rPr>
          <w:t>8.5.2.4 ) para contenedores ASME aislados al vacío.</w:t>
        </w:r>
      </w:hyperlink>
    </w:p>
    <w:p w14:paraId="36CCFD76" w14:textId="77777777" w:rsidR="00904BA5" w:rsidRPr="00904BA5" w:rsidRDefault="00904BA5" w:rsidP="00904BA5">
      <w:pPr>
        <w:rPr>
          <w:b/>
          <w:bCs/>
        </w:rPr>
      </w:pPr>
      <w:r w:rsidRPr="00904BA5">
        <w:rPr>
          <w:b/>
          <w:bCs/>
        </w:rPr>
        <w:lastRenderedPageBreak/>
        <w:t>17.6.2 </w:t>
      </w:r>
    </w:p>
    <w:p w14:paraId="71247BF8" w14:textId="77777777" w:rsidR="00904BA5" w:rsidRPr="00904BA5" w:rsidRDefault="00904BA5" w:rsidP="00904BA5">
      <w:r w:rsidRPr="00904BA5">
        <w:t>Los sistemas de tanques de contención doble o total no deben tener penetraciones de tuberías por debajo del nivel del líquido, excepto los sistemas de tanques de almacenamiento clasificados como de contención doble o total con penetraciones según la norma API Std 625, </w:t>
      </w:r>
      <w:r w:rsidRPr="00904BA5">
        <w:rPr>
          <w:i/>
          <w:iCs/>
        </w:rPr>
        <w:t>Sistemas de tanques para almacenamiento de gas licuado refrigerado</w:t>
      </w:r>
      <w:r w:rsidRPr="00904BA5">
        <w:t> .</w:t>
      </w:r>
    </w:p>
    <w:p w14:paraId="1FB4CCB6" w14:textId="77777777" w:rsidR="00904BA5" w:rsidRPr="00904BA5" w:rsidRDefault="00904BA5" w:rsidP="00904BA5">
      <w:pPr>
        <w:rPr>
          <w:b/>
          <w:bCs/>
        </w:rPr>
      </w:pPr>
      <w:r w:rsidRPr="00904BA5">
        <w:rPr>
          <w:b/>
          <w:bCs/>
        </w:rPr>
        <w:t>17.6.3 </w:t>
      </w:r>
    </w:p>
    <w:p w14:paraId="761E2014" w14:textId="77777777" w:rsidR="00904BA5" w:rsidRPr="00904BA5" w:rsidRDefault="00904BA5" w:rsidP="00904BA5">
      <w:r w:rsidRPr="00904BA5">
        <w:t>Todas las conexiones de líquido y vapor, excepto las conexiones de válvulas de alivio, las líneas de líquido de 1 ⁄ 2 pulg. ( 12,5  mm) o menos de tamaño de tubería, o las líneas de vapor de 2 pulg. ( 50  mm) o menos de tamaño de tubería, deberán estar equipadas con válvulas de retención de producto automáticas a prueba de fallas.</w:t>
      </w:r>
    </w:p>
    <w:p w14:paraId="7CC1A7C8" w14:textId="77777777" w:rsidR="00904BA5" w:rsidRPr="00904BA5" w:rsidRDefault="00904BA5" w:rsidP="00904BA5">
      <w:pPr>
        <w:rPr>
          <w:b/>
          <w:bCs/>
        </w:rPr>
      </w:pPr>
      <w:r w:rsidRPr="00904BA5">
        <w:rPr>
          <w:b/>
          <w:bCs/>
        </w:rPr>
        <w:t>17.6.4 </w:t>
      </w:r>
    </w:p>
    <w:p w14:paraId="2C4EA210" w14:textId="77777777" w:rsidR="00904BA5" w:rsidRPr="00904BA5" w:rsidRDefault="00904BA5" w:rsidP="00904BA5">
      <w:r w:rsidRPr="00904BA5">
        <w:t>Cada contenedor deberá estar equipado con un manómetro conectado al contenedor en un punto por encima del nivel máximo de líquido que tenga una marca permanente que indique la presión de diseño del contenedor.</w:t>
      </w:r>
    </w:p>
    <w:p w14:paraId="5FAC03C5" w14:textId="77777777" w:rsidR="00904BA5" w:rsidRPr="00904BA5" w:rsidRDefault="00000000" w:rsidP="00904BA5">
      <w:r>
        <w:pict w14:anchorId="7662CCE1">
          <v:rect id="_x0000_i1030" style="width:0;height:1.5pt" o:hralign="center" o:hrstd="t" o:hr="t" fillcolor="#a0a0a0" stroked="f"/>
        </w:pict>
      </w:r>
    </w:p>
    <w:p w14:paraId="6519931A" w14:textId="77777777" w:rsidR="00904BA5" w:rsidRPr="00904BA5" w:rsidRDefault="00904BA5" w:rsidP="00904BA5">
      <w:r w:rsidRPr="00904BA5">
        <w:t>17.7 Instalaciones de vaporización.</w:t>
      </w:r>
    </w:p>
    <w:p w14:paraId="212D33EC" w14:textId="77777777" w:rsidR="00904BA5" w:rsidRPr="00904BA5" w:rsidRDefault="00904BA5" w:rsidP="00904BA5">
      <w:r w:rsidRPr="00904BA5">
        <w:t>Las instalaciones de vaporización deberán cumplir con el Capítulo  </w:t>
      </w:r>
      <w:hyperlink r:id="rId48" w:history="1">
        <w:r w:rsidRPr="00904BA5">
          <w:rPr>
            <w:rStyle w:val="Hipervnculo"/>
            <w:b/>
            <w:bCs/>
          </w:rPr>
          <w:t>9</w:t>
        </w:r>
      </w:hyperlink>
      <w:r w:rsidRPr="00904BA5">
        <w:t> , Instalaciones de vaporización.</w:t>
      </w:r>
    </w:p>
    <w:p w14:paraId="5E2DB8A7" w14:textId="77777777" w:rsidR="00904BA5" w:rsidRPr="00904BA5" w:rsidRDefault="00000000" w:rsidP="00904BA5">
      <w:r>
        <w:pict w14:anchorId="475ADC1C">
          <v:rect id="_x0000_i1031" style="width:0;height:1.5pt" o:hralign="center" o:hrstd="t" o:hr="t" fillcolor="#a0a0a0" stroked="f"/>
        </w:pict>
      </w:r>
    </w:p>
    <w:p w14:paraId="1B11C94B" w14:textId="77777777" w:rsidR="00904BA5" w:rsidRPr="00904BA5" w:rsidRDefault="00904BA5" w:rsidP="00904BA5">
      <w:r w:rsidRPr="00904BA5">
        <w:t>17.8 Sistemas y componentes de tuberías.</w:t>
      </w:r>
    </w:p>
    <w:p w14:paraId="146407EF" w14:textId="77777777" w:rsidR="00904BA5" w:rsidRPr="00904BA5" w:rsidRDefault="00904BA5" w:rsidP="00904BA5">
      <w:pPr>
        <w:rPr>
          <w:b/>
          <w:bCs/>
        </w:rPr>
      </w:pPr>
      <w:r w:rsidRPr="00904BA5">
        <w:rPr>
          <w:b/>
          <w:bCs/>
        </w:rPr>
        <w:t>17.8.1 </w:t>
      </w:r>
    </w:p>
    <w:p w14:paraId="5C910C74" w14:textId="77777777" w:rsidR="00904BA5" w:rsidRPr="00904BA5" w:rsidRDefault="00904BA5" w:rsidP="00904BA5">
      <w:r w:rsidRPr="00904BA5">
        <w:t>Todas las tuberías que forman parte de un contenedor de GNL deberán cumplir con los requisitos de almacenamiento estacionario de GNL del Capítulo  </w:t>
      </w:r>
      <w:hyperlink r:id="rId49" w:history="1">
        <w:r w:rsidRPr="00904BA5">
          <w:rPr>
            <w:rStyle w:val="Hipervnculo"/>
            <w:b/>
            <w:bCs/>
          </w:rPr>
          <w:t>8</w:t>
        </w:r>
      </w:hyperlink>
      <w:r w:rsidRPr="00904BA5">
        <w:t> para el tipo de contenedor de almacenamiento aplicable.</w:t>
      </w:r>
    </w:p>
    <w:p w14:paraId="4397938F" w14:textId="77777777" w:rsidR="00904BA5" w:rsidRPr="00904BA5" w:rsidRDefault="00904BA5" w:rsidP="00904BA5">
      <w:pPr>
        <w:rPr>
          <w:b/>
          <w:bCs/>
        </w:rPr>
      </w:pPr>
      <w:r w:rsidRPr="00904BA5">
        <w:rPr>
          <w:b/>
          <w:bCs/>
        </w:rPr>
        <w:lastRenderedPageBreak/>
        <w:t>17.8.2 </w:t>
      </w:r>
    </w:p>
    <w:p w14:paraId="2904B17D" w14:textId="77777777" w:rsidR="00904BA5" w:rsidRPr="00904BA5" w:rsidRDefault="00904BA5" w:rsidP="00904BA5">
      <w:r w:rsidRPr="00904BA5">
        <w:t>Todas las demás tuberías de proceso en servicio de fluidos peligrosos deberán cumplir con el Capítulo  </w:t>
      </w:r>
      <w:hyperlink r:id="rId50" w:history="1">
        <w:r w:rsidRPr="00904BA5">
          <w:rPr>
            <w:rStyle w:val="Hipervnculo"/>
            <w:b/>
            <w:bCs/>
          </w:rPr>
          <w:t>10</w:t>
        </w:r>
      </w:hyperlink>
      <w:r w:rsidRPr="00904BA5">
        <w:t> y ASME B31.3, </w:t>
      </w:r>
      <w:r w:rsidRPr="00904BA5">
        <w:rPr>
          <w:i/>
          <w:iCs/>
        </w:rPr>
        <w:t>Tuberías de proceso</w:t>
      </w:r>
      <w:r w:rsidRPr="00904BA5">
        <w:t> .</w:t>
      </w:r>
    </w:p>
    <w:p w14:paraId="3419C866" w14:textId="77777777" w:rsidR="00904BA5" w:rsidRPr="00904BA5" w:rsidRDefault="00000000" w:rsidP="00904BA5">
      <w:r>
        <w:pict w14:anchorId="03BAE821">
          <v:rect id="_x0000_i1032" style="width:0;height:1.5pt" o:hralign="center" o:hrstd="t" o:hr="t" fillcolor="#a0a0a0" stroked="f"/>
        </w:pict>
      </w:r>
    </w:p>
    <w:p w14:paraId="5C29CF8A" w14:textId="77777777" w:rsidR="00904BA5" w:rsidRPr="00904BA5" w:rsidRDefault="00904BA5" w:rsidP="00904BA5">
      <w:r w:rsidRPr="00904BA5">
        <w:t>17.9 Instrumentación y Servicios Eléctricos.</w:t>
      </w:r>
    </w:p>
    <w:p w14:paraId="4B0BBCD8" w14:textId="77777777" w:rsidR="00904BA5" w:rsidRPr="00904BA5" w:rsidRDefault="00904BA5" w:rsidP="00904BA5">
      <w:r w:rsidRPr="00904BA5">
        <w:t>Los servicios de instrumentación y eléctricos deberán cumplir con el Capítulo  </w:t>
      </w:r>
      <w:hyperlink r:id="rId51" w:history="1">
        <w:r w:rsidRPr="00904BA5">
          <w:rPr>
            <w:rStyle w:val="Hipervnculo"/>
            <w:b/>
            <w:bCs/>
          </w:rPr>
          <w:t>11</w:t>
        </w:r>
      </w:hyperlink>
      <w:r w:rsidRPr="00904BA5">
        <w:t> , Instrumentación y Servicios Eléctricos.</w:t>
      </w:r>
    </w:p>
    <w:p w14:paraId="1C5890E6" w14:textId="77777777" w:rsidR="00904BA5" w:rsidRPr="00904BA5" w:rsidRDefault="00000000" w:rsidP="00904BA5">
      <w:r>
        <w:pict w14:anchorId="3467F82E">
          <v:rect id="_x0000_i1033" style="width:0;height:1.5pt" o:hralign="center" o:hrstd="t" o:hr="t" fillcolor="#a0a0a0" stroked="f"/>
        </w:pict>
      </w:r>
    </w:p>
    <w:p w14:paraId="0CBB86A6" w14:textId="77777777" w:rsidR="00904BA5" w:rsidRPr="00904BA5" w:rsidRDefault="00904BA5" w:rsidP="00904BA5">
      <w:r w:rsidRPr="00904BA5">
        <w:t>17.10 Diseño de Instalaciones de Planta.</w:t>
      </w:r>
    </w:p>
    <w:p w14:paraId="11293F89" w14:textId="77777777" w:rsidR="00904BA5" w:rsidRPr="00904BA5" w:rsidRDefault="00904BA5" w:rsidP="00904BA5">
      <w:r w:rsidRPr="00904BA5">
        <w:t>El diseño de las instalaciones de la planta deberá cumplir con el Capítulo  </w:t>
      </w:r>
      <w:hyperlink r:id="rId52" w:history="1">
        <w:r w:rsidRPr="00904BA5">
          <w:rPr>
            <w:rStyle w:val="Hipervnculo"/>
            <w:b/>
            <w:bCs/>
          </w:rPr>
          <w:t>12</w:t>
        </w:r>
      </w:hyperlink>
      <w:r w:rsidRPr="00904BA5">
        <w:t> , Diseño de instalaciones de la planta.</w:t>
      </w:r>
    </w:p>
    <w:p w14:paraId="76772B34" w14:textId="77777777" w:rsidR="00904BA5" w:rsidRPr="00904BA5" w:rsidRDefault="00000000" w:rsidP="00904BA5">
      <w:r>
        <w:pict w14:anchorId="13A8CD69">
          <v:rect id="_x0000_i1034" style="width:0;height:1.5pt" o:hralign="center" o:hrstd="t" o:hr="t" fillcolor="#a0a0a0" stroked="f"/>
        </w:pict>
      </w:r>
    </w:p>
    <w:p w14:paraId="54C1722F" w14:textId="77777777" w:rsidR="00904BA5" w:rsidRPr="00904BA5" w:rsidRDefault="00904BA5" w:rsidP="00904BA5">
      <w:r w:rsidRPr="00904BA5">
        <w:t>17.11 Área de embalse y capacidad de diseño del sistema de drenaje.</w:t>
      </w:r>
    </w:p>
    <w:p w14:paraId="1C465E80" w14:textId="77777777" w:rsidR="00904BA5" w:rsidRPr="00904BA5" w:rsidRDefault="00904BA5" w:rsidP="00904BA5">
      <w:r w:rsidRPr="00904BA5">
        <w:t>La capacidad de diseño del área de embalse y del sistema de drenaje deberá cumplir con el Capítulo  </w:t>
      </w:r>
      <w:hyperlink r:id="rId53" w:history="1">
        <w:r w:rsidRPr="00904BA5">
          <w:rPr>
            <w:rStyle w:val="Hipervnculo"/>
            <w:b/>
            <w:bCs/>
          </w:rPr>
          <w:t>13</w:t>
        </w:r>
      </w:hyperlink>
      <w:r w:rsidRPr="00904BA5">
        <w:t> , Capacidad de diseño del área de embalse y del sistema de drenaje, cuando lo requieran </w:t>
      </w:r>
      <w:hyperlink r:id="rId54" w:anchor="ID00059A002283" w:history="1">
        <w:r w:rsidRPr="00904BA5">
          <w:rPr>
            <w:rStyle w:val="Hipervnculo"/>
            <w:b/>
            <w:bCs/>
          </w:rPr>
          <w:t>17.3.2.1.1.1</w:t>
        </w:r>
      </w:hyperlink>
      <w:r w:rsidRPr="00904BA5">
        <w:t> y </w:t>
      </w:r>
      <w:hyperlink r:id="rId55" w:anchor="ID00059A002284" w:history="1">
        <w:r w:rsidRPr="00904BA5">
          <w:rPr>
            <w:rStyle w:val="Hipervnculo"/>
            <w:b/>
            <w:bCs/>
          </w:rPr>
          <w:t>17.3.2.1.1.2</w:t>
        </w:r>
      </w:hyperlink>
      <w:r w:rsidRPr="00904BA5">
        <w:t> .</w:t>
      </w:r>
    </w:p>
    <w:p w14:paraId="52A41DC7" w14:textId="77777777" w:rsidR="00904BA5" w:rsidRPr="00904BA5" w:rsidRDefault="00000000" w:rsidP="00904BA5">
      <w:r>
        <w:pict w14:anchorId="4DDD00AC">
          <v:rect id="_x0000_i1035" style="width:0;height:1.5pt" o:hralign="center" o:hrstd="t" o:hr="t" fillcolor="#a0a0a0" stroked="f"/>
        </w:pict>
      </w:r>
    </w:p>
    <w:p w14:paraId="7D174DDB" w14:textId="77777777" w:rsidR="00904BA5" w:rsidRPr="00904BA5" w:rsidRDefault="00904BA5" w:rsidP="00904BA5">
      <w:r w:rsidRPr="00904BA5">
        <w:t>17.12 Sistemas de transferencia de fluidos peligrosos.</w:t>
      </w:r>
    </w:p>
    <w:p w14:paraId="0212C05A" w14:textId="77777777" w:rsidR="00904BA5" w:rsidRPr="00904BA5" w:rsidRDefault="00904BA5" w:rsidP="00904BA5">
      <w:r w:rsidRPr="00904BA5">
        <w:t>Los sistemas de transferencia de fluidos peligrosos deberán cumplir con el Capítulo 15, Sistemas de transferencia de fluidos peligrosos.</w:t>
      </w:r>
    </w:p>
    <w:p w14:paraId="2469DE7D" w14:textId="77777777" w:rsidR="00904BA5" w:rsidRPr="00904BA5" w:rsidRDefault="00000000" w:rsidP="00904BA5">
      <w:r>
        <w:pict w14:anchorId="326FA3EC">
          <v:rect id="_x0000_i1036" style="width:0;height:1.5pt" o:hralign="center" o:hrstd="t" o:hr="t" fillcolor="#a0a0a0" stroked="f"/>
        </w:pict>
      </w:r>
    </w:p>
    <w:p w14:paraId="0C89382F" w14:textId="77777777" w:rsidR="00904BA5" w:rsidRPr="00904BA5" w:rsidRDefault="00904BA5" w:rsidP="00904BA5">
      <w:r w:rsidRPr="00904BA5">
        <w:t>17.13 Protección contra incendios, seguridad y protección.</w:t>
      </w:r>
    </w:p>
    <w:p w14:paraId="073D143B" w14:textId="77777777" w:rsidR="00904BA5" w:rsidRPr="00904BA5" w:rsidRDefault="00904BA5" w:rsidP="00904BA5">
      <w:r w:rsidRPr="00904BA5">
        <w:lastRenderedPageBreak/>
        <w:t>La protección, seguridad y protección contra incendios deberán cumplir con el Capítulo 16, Protección, seguridad y protección contra incendios.</w:t>
      </w:r>
    </w:p>
    <w:p w14:paraId="4D3DD4E7" w14:textId="77777777" w:rsidR="00904BA5" w:rsidRPr="00904BA5" w:rsidRDefault="00000000" w:rsidP="00904BA5">
      <w:r>
        <w:pict w14:anchorId="7FF05B9D">
          <v:rect id="_x0000_i1037" style="width:0;height:1.5pt" o:hralign="center" o:hrstd="t" o:hr="t" fillcolor="#a0a0a0" stroked="f"/>
        </w:pict>
      </w:r>
    </w:p>
    <w:p w14:paraId="581D87F8" w14:textId="77777777" w:rsidR="00904BA5" w:rsidRPr="00904BA5" w:rsidRDefault="00904BA5" w:rsidP="00904BA5">
      <w:r w:rsidRPr="00904BA5">
        <w:t>17.14 Operación, mantenimiento y capacitación del personal.</w:t>
      </w:r>
    </w:p>
    <w:p w14:paraId="7FF61E11" w14:textId="77777777" w:rsidR="00904BA5" w:rsidRPr="00904BA5" w:rsidRDefault="00904BA5" w:rsidP="00904BA5">
      <w:r w:rsidRPr="00904BA5">
        <w:t>La operación, mantenimiento y capacitación del personal deberán cumplir con el Capítulo 18, Operación, Mantenimiento y Capacitación del Personal, con las siguientes diferencias:</w:t>
      </w:r>
    </w:p>
    <w:p w14:paraId="1FEC5E60" w14:textId="77777777" w:rsidR="00904BA5" w:rsidRPr="00904BA5" w:rsidRDefault="00904BA5" w:rsidP="00904BA5">
      <w:pPr>
        <w:numPr>
          <w:ilvl w:val="0"/>
          <w:numId w:val="7"/>
        </w:numPr>
      </w:pPr>
      <w:r w:rsidRPr="00904BA5">
        <w:t>(1)</w:t>
      </w:r>
    </w:p>
    <w:p w14:paraId="49ED4771" w14:textId="77777777" w:rsidR="00904BA5" w:rsidRPr="00904BA5" w:rsidRDefault="00904BA5" w:rsidP="00904BA5">
      <w:r w:rsidRPr="00904BA5">
        <w:t>Se requerirá la identificación positiva de todas las personas que ingresen a la planta y dentro de la misma en lugar de los requisitos establecidos en </w:t>
      </w:r>
      <w:hyperlink r:id="rId56" w:anchor="ID00059A002306" w:history="1">
        <w:r w:rsidRPr="00904BA5">
          <w:rPr>
            <w:rStyle w:val="Hipervnculo"/>
            <w:b/>
            <w:bCs/>
          </w:rPr>
          <w:t>18.5.1(6)</w:t>
        </w:r>
      </w:hyperlink>
      <w:r w:rsidRPr="00904BA5">
        <w:t> .</w:t>
      </w:r>
    </w:p>
    <w:p w14:paraId="2EDA873A" w14:textId="77777777" w:rsidR="00904BA5" w:rsidRPr="00904BA5" w:rsidRDefault="00904BA5" w:rsidP="00904BA5">
      <w:pPr>
        <w:numPr>
          <w:ilvl w:val="0"/>
          <w:numId w:val="7"/>
        </w:numPr>
      </w:pPr>
      <w:r w:rsidRPr="00904BA5">
        <w:t>(2)</w:t>
      </w:r>
    </w:p>
    <w:p w14:paraId="1082995C" w14:textId="77777777" w:rsidR="00904BA5" w:rsidRPr="00904BA5" w:rsidRDefault="00904BA5" w:rsidP="00904BA5">
      <w:r w:rsidRPr="00904BA5">
        <w:t>Se prohibirá el tráfico de vehículos en el muelle o embarcadero dentro de los 100 pies (30 m) de la carga y descarga o distancias más cortas según lo aprobado mientras las operaciones de transferencia estén en progreso en lugar de los requisitos en </w:t>
      </w:r>
      <w:hyperlink r:id="rId57" w:anchor="ID00059A001379" w:history="1">
        <w:r w:rsidRPr="00904BA5">
          <w:rPr>
            <w:rStyle w:val="Hipervnculo"/>
            <w:b/>
            <w:bCs/>
          </w:rPr>
          <w:t>18.8.7.4.1</w:t>
        </w:r>
      </w:hyperlink>
      <w:r w:rsidRPr="00904BA5">
        <w:t> .</w:t>
      </w:r>
    </w:p>
    <w:p w14:paraId="7D42175D" w14:textId="77777777" w:rsidR="00904BA5" w:rsidRPr="00904BA5" w:rsidRDefault="00904BA5" w:rsidP="00904BA5">
      <w:pPr>
        <w:numPr>
          <w:ilvl w:val="0"/>
          <w:numId w:val="7"/>
        </w:numPr>
      </w:pPr>
      <w:r w:rsidRPr="00904BA5">
        <w:t>(3)</w:t>
      </w:r>
    </w:p>
    <w:p w14:paraId="6B874CC9" w14:textId="77777777" w:rsidR="00904BA5" w:rsidRPr="00904BA5" w:rsidRDefault="00904BA5" w:rsidP="00904BA5">
      <w:r w:rsidRPr="00904BA5">
        <w:t>La carga general, excepto las provisiones del buque para el buque tanque de GNL, no se deberá manipular sobre un muelle o embarcadero dentro de los 100 pies (30 m) o distancias más cortas, según lo aprobado, del punto en el que se realizan las conexiones para la transferencia de fluidos inflamables mientras los fluidos inflamables se transfieren a través de sistemas de tuberías en lugar de los requisitos en </w:t>
      </w:r>
      <w:hyperlink r:id="rId58" w:anchor="ID00059A001384" w:history="1">
        <w:r w:rsidRPr="00904BA5">
          <w:rPr>
            <w:rStyle w:val="Hipervnculo"/>
            <w:b/>
            <w:bCs/>
          </w:rPr>
          <w:t>18.8.7.4.6</w:t>
        </w:r>
      </w:hyperlink>
      <w:r w:rsidRPr="00904BA5">
        <w:t> .</w:t>
      </w:r>
    </w:p>
    <w:p w14:paraId="34799964" w14:textId="77777777" w:rsidR="00493D72" w:rsidRDefault="00493D72"/>
    <w:p w14:paraId="1FD6C3E9" w14:textId="77777777" w:rsidR="00FF4364" w:rsidRDefault="00FF4364"/>
    <w:p w14:paraId="17035C76" w14:textId="77777777" w:rsidR="00FF4364" w:rsidRDefault="00FF4364"/>
    <w:p w14:paraId="2C8BC61C" w14:textId="77777777" w:rsidR="00FF4364" w:rsidRDefault="00FF4364"/>
    <w:p w14:paraId="2583A7BE" w14:textId="77777777" w:rsidR="00FF4364" w:rsidRPr="00FF4364" w:rsidRDefault="00FF4364" w:rsidP="00FF4364">
      <w:pPr>
        <w:jc w:val="center"/>
        <w:rPr>
          <w:b/>
          <w:bCs/>
        </w:rPr>
      </w:pPr>
      <w:r w:rsidRPr="00FF4364">
        <w:rPr>
          <w:b/>
          <w:bCs/>
        </w:rPr>
        <w:t>Tablas del Capítulo 17: Requisitos para aplicaciones estacionarias para instalaciones de GNL a pequeña escala</w:t>
      </w:r>
    </w:p>
    <w:tbl>
      <w:tblPr>
        <w:tblStyle w:val="Tablaconcuadrcula"/>
        <w:tblW w:w="15360" w:type="dxa"/>
        <w:jc w:val="center"/>
        <w:tblLook w:val="04A0" w:firstRow="1" w:lastRow="0" w:firstColumn="1" w:lastColumn="0" w:noHBand="0" w:noVBand="1"/>
      </w:tblPr>
      <w:tblGrid>
        <w:gridCol w:w="5222"/>
        <w:gridCol w:w="5069"/>
        <w:gridCol w:w="5069"/>
      </w:tblGrid>
      <w:tr w:rsidR="00FF4364" w:rsidRPr="00FF4364" w14:paraId="59736B10" w14:textId="77777777" w:rsidTr="00FF4364">
        <w:trPr>
          <w:jc w:val="center"/>
        </w:trPr>
        <w:tc>
          <w:tcPr>
            <w:tcW w:w="0" w:type="auto"/>
            <w:gridSpan w:val="3"/>
            <w:hideMark/>
          </w:tcPr>
          <w:p w14:paraId="46C6F35F" w14:textId="77777777" w:rsidR="00FF4364" w:rsidRPr="00FF4364" w:rsidRDefault="00FF4364" w:rsidP="00FF4364">
            <w:pPr>
              <w:spacing w:after="160" w:line="278" w:lineRule="auto"/>
              <w:rPr>
                <w:b/>
                <w:bCs/>
              </w:rPr>
            </w:pPr>
            <w:r w:rsidRPr="00FF4364">
              <w:rPr>
                <w:b/>
                <w:bCs/>
              </w:rPr>
              <w:t>Tabla 17.3.2.2.2 Coeficiente para la fórmula de retroceso</w:t>
            </w:r>
            <w:r w:rsidRPr="00FF4364">
              <w:rPr>
                <w:b/>
                <w:bCs/>
              </w:rPr>
              <w:br/>
            </w:r>
          </w:p>
        </w:tc>
      </w:tr>
      <w:tr w:rsidR="00FF4364" w:rsidRPr="00FF4364" w14:paraId="174CAFC7" w14:textId="77777777" w:rsidTr="00FF4364">
        <w:trPr>
          <w:jc w:val="center"/>
        </w:trPr>
        <w:tc>
          <w:tcPr>
            <w:tcW w:w="5222" w:type="dxa"/>
            <w:hideMark/>
          </w:tcPr>
          <w:p w14:paraId="3BDF1FB3" w14:textId="77777777" w:rsidR="00FF4364" w:rsidRPr="00FF4364" w:rsidRDefault="00FF4364" w:rsidP="00FF4364">
            <w:pPr>
              <w:spacing w:after="160" w:line="278" w:lineRule="auto"/>
              <w:rPr>
                <w:b/>
                <w:bCs/>
              </w:rPr>
            </w:pPr>
            <w:r w:rsidRPr="00FF4364">
              <w:rPr>
                <w:b/>
                <w:bCs/>
              </w:rPr>
              <w:t>Área A (pulg. </w:t>
            </w:r>
            <w:r w:rsidRPr="00FF4364">
              <w:rPr>
                <w:b/>
                <w:bCs/>
                <w:vertAlign w:val="superscript"/>
              </w:rPr>
              <w:t>2</w:t>
            </w:r>
            <w:r w:rsidRPr="00FF4364">
              <w:rPr>
                <w:b/>
                <w:bCs/>
              </w:rPr>
              <w:t> ) (mm </w:t>
            </w:r>
            <w:r w:rsidRPr="00FF4364">
              <w:rPr>
                <w:b/>
                <w:bCs/>
                <w:vertAlign w:val="superscript"/>
              </w:rPr>
              <w:t>2</w:t>
            </w:r>
            <w:r w:rsidRPr="00FF4364">
              <w:rPr>
                <w:b/>
                <w:bCs/>
              </w:rPr>
              <w:t> ) = Área interior acumulada de todas las penetraciones de líquido de los contenedores de GNL en el sitio (incluidas las penetraciones de líquido por encima )</w:t>
            </w:r>
          </w:p>
        </w:tc>
        <w:tc>
          <w:tcPr>
            <w:tcW w:w="5069" w:type="dxa"/>
            <w:hideMark/>
          </w:tcPr>
          <w:p w14:paraId="79CFFC87" w14:textId="77777777" w:rsidR="00FF4364" w:rsidRPr="00FF4364" w:rsidRDefault="00FF4364" w:rsidP="00FF4364">
            <w:pPr>
              <w:spacing w:after="160" w:line="278" w:lineRule="auto"/>
              <w:rPr>
                <w:b/>
                <w:bCs/>
              </w:rPr>
            </w:pPr>
            <w:r w:rsidRPr="00FF4364">
              <w:rPr>
                <w:b/>
                <w:bCs/>
              </w:rPr>
              <w:t>Coeficiente (unidades estadounidenses)</w:t>
            </w:r>
          </w:p>
        </w:tc>
        <w:tc>
          <w:tcPr>
            <w:tcW w:w="5069" w:type="dxa"/>
            <w:hideMark/>
          </w:tcPr>
          <w:p w14:paraId="3B17B377" w14:textId="77777777" w:rsidR="00FF4364" w:rsidRPr="00FF4364" w:rsidRDefault="00FF4364" w:rsidP="00FF4364">
            <w:pPr>
              <w:spacing w:after="160" w:line="278" w:lineRule="auto"/>
              <w:rPr>
                <w:b/>
                <w:bCs/>
              </w:rPr>
            </w:pPr>
            <w:r w:rsidRPr="00FF4364">
              <w:rPr>
                <w:b/>
                <w:bCs/>
              </w:rPr>
              <w:t>Coeficiente (unidades SI)</w:t>
            </w:r>
          </w:p>
        </w:tc>
      </w:tr>
      <w:tr w:rsidR="00FF4364" w:rsidRPr="00FF4364" w14:paraId="51B26644" w14:textId="77777777" w:rsidTr="00FF4364">
        <w:trPr>
          <w:jc w:val="center"/>
        </w:trPr>
        <w:tc>
          <w:tcPr>
            <w:tcW w:w="5222" w:type="dxa"/>
            <w:hideMark/>
          </w:tcPr>
          <w:p w14:paraId="74002D12" w14:textId="77777777" w:rsidR="00FF4364" w:rsidRPr="00FF4364" w:rsidRDefault="00FF4364" w:rsidP="00FF4364">
            <w:pPr>
              <w:spacing w:after="160" w:line="278" w:lineRule="auto"/>
            </w:pPr>
            <w:r w:rsidRPr="00FF4364">
              <w:rPr>
                <w:i/>
                <w:iCs/>
              </w:rPr>
              <w:t>A</w:t>
            </w:r>
            <w:r w:rsidRPr="00FF4364">
              <w:t> &lt; 45 pulg. </w:t>
            </w:r>
            <w:r w:rsidRPr="00FF4364">
              <w:rPr>
                <w:vertAlign w:val="superscript"/>
              </w:rPr>
              <w:t>2</w:t>
            </w:r>
            <w:r w:rsidRPr="00FF4364">
              <w:t> (29000 mm </w:t>
            </w:r>
            <w:r w:rsidRPr="00FF4364">
              <w:rPr>
                <w:vertAlign w:val="superscript"/>
              </w:rPr>
              <w:t>2</w:t>
            </w:r>
            <w:r w:rsidRPr="00FF4364">
              <w:t> )</w:t>
            </w:r>
          </w:p>
        </w:tc>
        <w:tc>
          <w:tcPr>
            <w:tcW w:w="5069" w:type="dxa"/>
            <w:hideMark/>
          </w:tcPr>
          <w:p w14:paraId="45CE0C31" w14:textId="77777777" w:rsidR="00FF4364" w:rsidRPr="00FF4364" w:rsidRDefault="00FF4364" w:rsidP="00FF4364">
            <w:pPr>
              <w:spacing w:after="160" w:line="278" w:lineRule="auto"/>
            </w:pPr>
            <w:r w:rsidRPr="00FF4364">
              <w:t>14</w:t>
            </w:r>
          </w:p>
        </w:tc>
        <w:tc>
          <w:tcPr>
            <w:tcW w:w="5069" w:type="dxa"/>
            <w:hideMark/>
          </w:tcPr>
          <w:p w14:paraId="0CB688FF" w14:textId="77777777" w:rsidR="00FF4364" w:rsidRPr="00FF4364" w:rsidRDefault="00FF4364" w:rsidP="00FF4364">
            <w:pPr>
              <w:spacing w:after="160" w:line="278" w:lineRule="auto"/>
            </w:pPr>
            <w:r w:rsidRPr="00FF4364">
              <w:t>0.48</w:t>
            </w:r>
          </w:p>
        </w:tc>
      </w:tr>
      <w:tr w:rsidR="00FF4364" w:rsidRPr="00FF4364" w14:paraId="131551A3" w14:textId="77777777" w:rsidTr="00FF4364">
        <w:trPr>
          <w:jc w:val="center"/>
        </w:trPr>
        <w:tc>
          <w:tcPr>
            <w:tcW w:w="5222" w:type="dxa"/>
            <w:hideMark/>
          </w:tcPr>
          <w:p w14:paraId="440A316B" w14:textId="77777777" w:rsidR="00FF4364" w:rsidRPr="00FF4364" w:rsidRDefault="00FF4364" w:rsidP="00FF4364">
            <w:pPr>
              <w:spacing w:after="160" w:line="278" w:lineRule="auto"/>
            </w:pPr>
            <w:r w:rsidRPr="00FF4364">
              <w:t>45 pulg.² </w:t>
            </w:r>
            <w:r w:rsidRPr="00FF4364">
              <w:rPr>
                <w:vertAlign w:val="superscript"/>
              </w:rPr>
              <w:t>(</w:t>
            </w:r>
            <w:r w:rsidRPr="00FF4364">
              <w:t> 29000 mm² </w:t>
            </w:r>
            <w:r w:rsidRPr="00FF4364">
              <w:rPr>
                <w:vertAlign w:val="superscript"/>
              </w:rPr>
              <w:t>)</w:t>
            </w:r>
            <w:r w:rsidRPr="00FF4364">
              <w:t> ≤ A </w:t>
            </w:r>
            <w:r w:rsidRPr="00FF4364">
              <w:rPr>
                <w:i/>
                <w:iCs/>
              </w:rPr>
              <w:t>≤</w:t>
            </w:r>
            <w:r w:rsidRPr="00FF4364">
              <w:t> 120 pulg.² </w:t>
            </w:r>
            <w:r w:rsidRPr="00FF4364">
              <w:rPr>
                <w:vertAlign w:val="superscript"/>
              </w:rPr>
              <w:t>(</w:t>
            </w:r>
            <w:r w:rsidRPr="00FF4364">
              <w:t> 77000 </w:t>
            </w:r>
            <w:r w:rsidRPr="00FF4364">
              <w:rPr>
                <w:vertAlign w:val="superscript"/>
              </w:rPr>
              <w:t>mm²</w:t>
            </w:r>
            <w:r w:rsidRPr="00FF4364">
              <w:t> )</w:t>
            </w:r>
          </w:p>
        </w:tc>
        <w:tc>
          <w:tcPr>
            <w:tcW w:w="5069" w:type="dxa"/>
            <w:hideMark/>
          </w:tcPr>
          <w:p w14:paraId="5616B33B" w14:textId="4EDBC238" w:rsidR="00FF4364" w:rsidRPr="00FF4364" w:rsidRDefault="00FF4364" w:rsidP="00FF4364">
            <w:pPr>
              <w:spacing w:after="160" w:line="278" w:lineRule="auto"/>
            </w:pPr>
            <w:r w:rsidRPr="00FF4364">
              <mc:AlternateContent>
                <mc:Choice Requires="wps">
                  <w:drawing>
                    <wp:inline distT="0" distB="0" distL="0" distR="0" wp14:anchorId="50E9A4DB" wp14:editId="5E17B731">
                      <wp:extent cx="304800" cy="304800"/>
                      <wp:effectExtent l="0" t="0" r="0" b="0"/>
                      <wp:docPr id="1393493396" name="Rectángulo 4" descr="Imagen del libro de códigos: abaa95b7-b99d-11ec-a9ce-ed6b11933ac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3183E" id="Rectángulo 4" o:spid="_x0000_s1026" alt="Imagen del libro de códigos: abaa95b7-b99d-11ec-a9ce-ed6b11933ac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5069" w:type="dxa"/>
            <w:hideMark/>
          </w:tcPr>
          <w:p w14:paraId="3FE6C4B6" w14:textId="57606E9F" w:rsidR="00FF4364" w:rsidRPr="00FF4364" w:rsidRDefault="00FF4364" w:rsidP="00FF4364">
            <w:pPr>
              <w:spacing w:after="160" w:line="278" w:lineRule="auto"/>
            </w:pPr>
            <w:r w:rsidRPr="00FF4364">
              <mc:AlternateContent>
                <mc:Choice Requires="wps">
                  <w:drawing>
                    <wp:inline distT="0" distB="0" distL="0" distR="0" wp14:anchorId="2E664C23" wp14:editId="7A98EA46">
                      <wp:extent cx="304800" cy="304800"/>
                      <wp:effectExtent l="0" t="0" r="0" b="0"/>
                      <wp:docPr id="689310371" name="Rectángulo 3" descr="Imagen del libro de códigos: a0c0b94c-3dd0-11ed-85ef-3be5d39b5af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BDF8C" id="Rectángulo 3" o:spid="_x0000_s1026" alt="Imagen del libro de códigos: a0c0b94c-3dd0-11ed-85ef-3be5d39b5af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FF4364" w:rsidRPr="00FF4364" w14:paraId="6D2B5847" w14:textId="77777777" w:rsidTr="00FF4364">
        <w:trPr>
          <w:jc w:val="center"/>
        </w:trPr>
        <w:tc>
          <w:tcPr>
            <w:tcW w:w="5222" w:type="dxa"/>
            <w:hideMark/>
          </w:tcPr>
          <w:p w14:paraId="33E993B0" w14:textId="77777777" w:rsidR="00FF4364" w:rsidRPr="00FF4364" w:rsidRDefault="00FF4364" w:rsidP="00FF4364">
            <w:pPr>
              <w:spacing w:after="160" w:line="278" w:lineRule="auto"/>
            </w:pPr>
            <w:r w:rsidRPr="00FF4364">
              <w:rPr>
                <w:i/>
                <w:iCs/>
              </w:rPr>
              <w:t>A</w:t>
            </w:r>
            <w:r w:rsidRPr="00FF4364">
              <w:t> &gt; 120 pulg.2 </w:t>
            </w:r>
            <w:r w:rsidRPr="00FF4364">
              <w:rPr>
                <w:vertAlign w:val="superscript"/>
              </w:rPr>
              <w:t>(</w:t>
            </w:r>
            <w:r w:rsidRPr="00FF4364">
              <w:t> 77000 </w:t>
            </w:r>
            <w:r w:rsidRPr="00FF4364">
              <w:rPr>
                <w:vertAlign w:val="superscript"/>
              </w:rPr>
              <w:t>mm2</w:t>
            </w:r>
            <w:r w:rsidRPr="00FF4364">
              <w:t> )</w:t>
            </w:r>
          </w:p>
        </w:tc>
        <w:tc>
          <w:tcPr>
            <w:tcW w:w="5069" w:type="dxa"/>
            <w:hideMark/>
          </w:tcPr>
          <w:p w14:paraId="22D386A1" w14:textId="77777777" w:rsidR="00FF4364" w:rsidRPr="00FF4364" w:rsidRDefault="00FF4364" w:rsidP="00FF4364">
            <w:pPr>
              <w:spacing w:after="160" w:line="278" w:lineRule="auto"/>
            </w:pPr>
            <w:r w:rsidRPr="00FF4364">
              <w:t>21.6</w:t>
            </w:r>
          </w:p>
        </w:tc>
        <w:tc>
          <w:tcPr>
            <w:tcW w:w="5069" w:type="dxa"/>
            <w:hideMark/>
          </w:tcPr>
          <w:p w14:paraId="27E0911A" w14:textId="77777777" w:rsidR="00FF4364" w:rsidRPr="00FF4364" w:rsidRDefault="00FF4364" w:rsidP="00FF4364">
            <w:pPr>
              <w:spacing w:after="160" w:line="278" w:lineRule="auto"/>
            </w:pPr>
            <w:r w:rsidRPr="00FF4364">
              <w:t>0.745</w:t>
            </w:r>
          </w:p>
        </w:tc>
      </w:tr>
    </w:tbl>
    <w:p w14:paraId="32E680B9" w14:textId="77777777" w:rsidR="00FF4364" w:rsidRPr="00FF4364" w:rsidRDefault="00FF4364" w:rsidP="00FF4364">
      <w:hyperlink r:id="rId59" w:anchor="ID00059A002298" w:history="1">
        <w:r w:rsidRPr="00FF4364">
          <w:rPr>
            <w:rStyle w:val="Hipervnculo"/>
          </w:rPr>
          <w:t>Ver en publicación</w:t>
        </w:r>
      </w:hyperlink>
    </w:p>
    <w:tbl>
      <w:tblPr>
        <w:tblStyle w:val="Tablaconcuadrcula"/>
        <w:tblW w:w="15360" w:type="dxa"/>
        <w:jc w:val="center"/>
        <w:tblLook w:val="04A0" w:firstRow="1" w:lastRow="0" w:firstColumn="1" w:lastColumn="0" w:noHBand="0" w:noVBand="1"/>
      </w:tblPr>
      <w:tblGrid>
        <w:gridCol w:w="2611"/>
        <w:gridCol w:w="2918"/>
        <w:gridCol w:w="2457"/>
        <w:gridCol w:w="2458"/>
        <w:gridCol w:w="2457"/>
        <w:gridCol w:w="2459"/>
      </w:tblGrid>
      <w:tr w:rsidR="00FF4364" w:rsidRPr="00FF4364" w14:paraId="20359AC3" w14:textId="77777777" w:rsidTr="00FF4364">
        <w:trPr>
          <w:jc w:val="center"/>
        </w:trPr>
        <w:tc>
          <w:tcPr>
            <w:tcW w:w="0" w:type="auto"/>
            <w:gridSpan w:val="6"/>
            <w:hideMark/>
          </w:tcPr>
          <w:p w14:paraId="4FE50675" w14:textId="77777777" w:rsidR="00FF4364" w:rsidRPr="00FF4364" w:rsidRDefault="00FF4364" w:rsidP="00FF4364">
            <w:pPr>
              <w:spacing w:after="160" w:line="278" w:lineRule="auto"/>
              <w:rPr>
                <w:b/>
                <w:bCs/>
              </w:rPr>
            </w:pPr>
            <w:r w:rsidRPr="00FF4364">
              <w:rPr>
                <w:b/>
                <w:bCs/>
              </w:rPr>
              <w:t>Tabla 17.3.2.2.3 Distancias desde los contenedores y exposiciones</w:t>
            </w:r>
            <w:r w:rsidRPr="00FF4364">
              <w:rPr>
                <w:b/>
                <w:bCs/>
              </w:rPr>
              <w:br/>
            </w:r>
          </w:p>
        </w:tc>
      </w:tr>
      <w:tr w:rsidR="00FF4364" w:rsidRPr="00FF4364" w14:paraId="09777EE9" w14:textId="77777777" w:rsidTr="00FF4364">
        <w:trPr>
          <w:jc w:val="center"/>
        </w:trPr>
        <w:tc>
          <w:tcPr>
            <w:tcW w:w="5529" w:type="dxa"/>
            <w:gridSpan w:val="2"/>
            <w:hideMark/>
          </w:tcPr>
          <w:p w14:paraId="437EDFAA" w14:textId="77777777" w:rsidR="00FF4364" w:rsidRPr="00FF4364" w:rsidRDefault="00FF4364" w:rsidP="00FF4364">
            <w:pPr>
              <w:spacing w:after="160" w:line="278" w:lineRule="auto"/>
              <w:rPr>
                <w:b/>
                <w:bCs/>
              </w:rPr>
            </w:pPr>
            <w:r w:rsidRPr="00FF4364">
              <w:rPr>
                <w:b/>
                <w:bCs/>
              </w:rPr>
              <w:t>Capacidad de agua del contenedor</w:t>
            </w:r>
          </w:p>
        </w:tc>
        <w:tc>
          <w:tcPr>
            <w:tcW w:w="4915" w:type="dxa"/>
            <w:gridSpan w:val="2"/>
            <w:hideMark/>
          </w:tcPr>
          <w:p w14:paraId="755758C4" w14:textId="77777777" w:rsidR="00FF4364" w:rsidRPr="00FF4364" w:rsidRDefault="00FF4364" w:rsidP="00FF4364">
            <w:pPr>
              <w:spacing w:after="160" w:line="278" w:lineRule="auto"/>
              <w:rPr>
                <w:b/>
                <w:bCs/>
              </w:rPr>
            </w:pPr>
            <w:r w:rsidRPr="00FF4364">
              <w:rPr>
                <w:b/>
                <w:bCs/>
              </w:rPr>
              <w:t xml:space="preserve">Distancia mínima desde el borde del embalse o sistema de drenaje de contenedores hasta los edificios externos </w:t>
            </w:r>
            <w:r w:rsidRPr="00FF4364">
              <w:rPr>
                <w:b/>
                <w:bCs/>
              </w:rPr>
              <w:lastRenderedPageBreak/>
              <w:t>y las líneas de propiedad sobre las que se puede construir</w:t>
            </w:r>
          </w:p>
        </w:tc>
        <w:tc>
          <w:tcPr>
            <w:tcW w:w="4916" w:type="dxa"/>
            <w:gridSpan w:val="2"/>
            <w:hideMark/>
          </w:tcPr>
          <w:p w14:paraId="32F55981" w14:textId="77777777" w:rsidR="00FF4364" w:rsidRPr="00FF4364" w:rsidRDefault="00FF4364" w:rsidP="00FF4364">
            <w:pPr>
              <w:spacing w:after="160" w:line="278" w:lineRule="auto"/>
              <w:rPr>
                <w:b/>
                <w:bCs/>
              </w:rPr>
            </w:pPr>
            <w:r w:rsidRPr="00FF4364">
              <w:rPr>
                <w:b/>
                <w:bCs/>
              </w:rPr>
              <w:lastRenderedPageBreak/>
              <w:t>Distancia mínima entre contenedores de almacenamiento</w:t>
            </w:r>
          </w:p>
        </w:tc>
      </w:tr>
      <w:tr w:rsidR="00FF4364" w:rsidRPr="00FF4364" w14:paraId="6C7D0BD5" w14:textId="77777777" w:rsidTr="00FF4364">
        <w:trPr>
          <w:jc w:val="center"/>
        </w:trPr>
        <w:tc>
          <w:tcPr>
            <w:tcW w:w="2611" w:type="dxa"/>
            <w:hideMark/>
          </w:tcPr>
          <w:p w14:paraId="484C6A57" w14:textId="77777777" w:rsidR="00FF4364" w:rsidRPr="00FF4364" w:rsidRDefault="00FF4364" w:rsidP="00FF4364">
            <w:pPr>
              <w:spacing w:after="160" w:line="278" w:lineRule="auto"/>
              <w:rPr>
                <w:b/>
                <w:bCs/>
              </w:rPr>
            </w:pPr>
            <w:r w:rsidRPr="00FF4364">
              <w:rPr>
                <w:b/>
                <w:bCs/>
              </w:rPr>
              <w:t>galón</w:t>
            </w:r>
          </w:p>
        </w:tc>
        <w:tc>
          <w:tcPr>
            <w:tcW w:w="2918" w:type="dxa"/>
            <w:hideMark/>
          </w:tcPr>
          <w:p w14:paraId="36986033" w14:textId="77777777" w:rsidR="00FF4364" w:rsidRPr="00FF4364" w:rsidRDefault="00FF4364" w:rsidP="00FF4364">
            <w:pPr>
              <w:spacing w:after="160" w:line="278" w:lineRule="auto"/>
              <w:rPr>
                <w:b/>
                <w:bCs/>
              </w:rPr>
            </w:pPr>
            <w:r w:rsidRPr="00FF4364">
              <w:rPr>
                <w:b/>
                <w:bCs/>
              </w:rPr>
              <w:t>metros </w:t>
            </w:r>
            <w:r w:rsidRPr="00FF4364">
              <w:rPr>
                <w:b/>
                <w:bCs/>
                <w:vertAlign w:val="superscript"/>
              </w:rPr>
              <w:t>cúbicos</w:t>
            </w:r>
          </w:p>
        </w:tc>
        <w:tc>
          <w:tcPr>
            <w:tcW w:w="2457" w:type="dxa"/>
            <w:hideMark/>
          </w:tcPr>
          <w:p w14:paraId="0EAF6124" w14:textId="77777777" w:rsidR="00FF4364" w:rsidRPr="00FF4364" w:rsidRDefault="00FF4364" w:rsidP="00FF4364">
            <w:pPr>
              <w:spacing w:after="160" w:line="278" w:lineRule="auto"/>
              <w:rPr>
                <w:b/>
                <w:bCs/>
              </w:rPr>
            </w:pPr>
            <w:r w:rsidRPr="00FF4364">
              <w:rPr>
                <w:b/>
                <w:bCs/>
              </w:rPr>
              <w:t>pie</w:t>
            </w:r>
          </w:p>
        </w:tc>
        <w:tc>
          <w:tcPr>
            <w:tcW w:w="2457" w:type="dxa"/>
            <w:hideMark/>
          </w:tcPr>
          <w:p w14:paraId="792E6908" w14:textId="77777777" w:rsidR="00FF4364" w:rsidRPr="00FF4364" w:rsidRDefault="00FF4364" w:rsidP="00FF4364">
            <w:pPr>
              <w:spacing w:after="160" w:line="278" w:lineRule="auto"/>
              <w:rPr>
                <w:b/>
                <w:bCs/>
              </w:rPr>
            </w:pPr>
            <w:r w:rsidRPr="00FF4364">
              <w:rPr>
                <w:b/>
                <w:bCs/>
              </w:rPr>
              <w:t>metro</w:t>
            </w:r>
          </w:p>
        </w:tc>
        <w:tc>
          <w:tcPr>
            <w:tcW w:w="2457" w:type="dxa"/>
            <w:hideMark/>
          </w:tcPr>
          <w:p w14:paraId="048058A3" w14:textId="77777777" w:rsidR="00FF4364" w:rsidRPr="00FF4364" w:rsidRDefault="00FF4364" w:rsidP="00FF4364">
            <w:pPr>
              <w:spacing w:after="160" w:line="278" w:lineRule="auto"/>
              <w:rPr>
                <w:b/>
                <w:bCs/>
              </w:rPr>
            </w:pPr>
            <w:r w:rsidRPr="00FF4364">
              <w:rPr>
                <w:b/>
                <w:bCs/>
              </w:rPr>
              <w:t>pie</w:t>
            </w:r>
          </w:p>
        </w:tc>
        <w:tc>
          <w:tcPr>
            <w:tcW w:w="2458" w:type="dxa"/>
            <w:hideMark/>
          </w:tcPr>
          <w:p w14:paraId="4AD51B17" w14:textId="77777777" w:rsidR="00FF4364" w:rsidRPr="00FF4364" w:rsidRDefault="00FF4364" w:rsidP="00FF4364">
            <w:pPr>
              <w:spacing w:after="160" w:line="278" w:lineRule="auto"/>
              <w:rPr>
                <w:b/>
                <w:bCs/>
              </w:rPr>
            </w:pPr>
            <w:r w:rsidRPr="00FF4364">
              <w:rPr>
                <w:b/>
                <w:bCs/>
              </w:rPr>
              <w:t>metro</w:t>
            </w:r>
          </w:p>
        </w:tc>
      </w:tr>
      <w:tr w:rsidR="00FF4364" w:rsidRPr="00FF4364" w14:paraId="2370A02E" w14:textId="77777777" w:rsidTr="00FF4364">
        <w:trPr>
          <w:jc w:val="center"/>
        </w:trPr>
        <w:tc>
          <w:tcPr>
            <w:tcW w:w="2611" w:type="dxa"/>
            <w:hideMark/>
          </w:tcPr>
          <w:p w14:paraId="143BD95A" w14:textId="77777777" w:rsidR="00FF4364" w:rsidRPr="00FF4364" w:rsidRDefault="00FF4364" w:rsidP="00FF4364">
            <w:pPr>
              <w:spacing w:after="160" w:line="278" w:lineRule="auto"/>
            </w:pPr>
            <w:r w:rsidRPr="00FF4364">
              <w:t>1000–2000</w:t>
            </w:r>
          </w:p>
        </w:tc>
        <w:tc>
          <w:tcPr>
            <w:tcW w:w="2918" w:type="dxa"/>
            <w:hideMark/>
          </w:tcPr>
          <w:p w14:paraId="570E059F" w14:textId="77777777" w:rsidR="00FF4364" w:rsidRPr="00FF4364" w:rsidRDefault="00FF4364" w:rsidP="00FF4364">
            <w:pPr>
              <w:spacing w:after="160" w:line="278" w:lineRule="auto"/>
            </w:pPr>
            <w:r w:rsidRPr="00FF4364">
              <w:t>3.8–7.6</w:t>
            </w:r>
          </w:p>
        </w:tc>
        <w:tc>
          <w:tcPr>
            <w:tcW w:w="2457" w:type="dxa"/>
            <w:hideMark/>
          </w:tcPr>
          <w:p w14:paraId="4FFA79E1" w14:textId="77777777" w:rsidR="00FF4364" w:rsidRPr="00FF4364" w:rsidRDefault="00FF4364" w:rsidP="00FF4364">
            <w:pPr>
              <w:spacing w:after="160" w:line="278" w:lineRule="auto"/>
            </w:pPr>
            <w:r w:rsidRPr="00FF4364">
              <w:t>15</w:t>
            </w:r>
          </w:p>
        </w:tc>
        <w:tc>
          <w:tcPr>
            <w:tcW w:w="2457" w:type="dxa"/>
            <w:hideMark/>
          </w:tcPr>
          <w:p w14:paraId="572293C3" w14:textId="77777777" w:rsidR="00FF4364" w:rsidRPr="00FF4364" w:rsidRDefault="00FF4364" w:rsidP="00FF4364">
            <w:pPr>
              <w:spacing w:after="160" w:line="278" w:lineRule="auto"/>
            </w:pPr>
            <w:r w:rsidRPr="00FF4364">
              <w:t>4.6</w:t>
            </w:r>
          </w:p>
        </w:tc>
        <w:tc>
          <w:tcPr>
            <w:tcW w:w="2457" w:type="dxa"/>
            <w:hideMark/>
          </w:tcPr>
          <w:p w14:paraId="648B96AD" w14:textId="77777777" w:rsidR="00FF4364" w:rsidRPr="00FF4364" w:rsidRDefault="00FF4364" w:rsidP="00FF4364">
            <w:pPr>
              <w:spacing w:after="160" w:line="278" w:lineRule="auto"/>
            </w:pPr>
            <w:r w:rsidRPr="00FF4364">
              <w:t>5</w:t>
            </w:r>
          </w:p>
        </w:tc>
        <w:tc>
          <w:tcPr>
            <w:tcW w:w="2458" w:type="dxa"/>
            <w:hideMark/>
          </w:tcPr>
          <w:p w14:paraId="5A2047D5" w14:textId="77777777" w:rsidR="00FF4364" w:rsidRPr="00FF4364" w:rsidRDefault="00FF4364" w:rsidP="00FF4364">
            <w:pPr>
              <w:spacing w:after="160" w:line="278" w:lineRule="auto"/>
            </w:pPr>
            <w:r w:rsidRPr="00FF4364">
              <w:t>1.5</w:t>
            </w:r>
          </w:p>
        </w:tc>
      </w:tr>
      <w:tr w:rsidR="00FF4364" w:rsidRPr="00FF4364" w14:paraId="06B82AA0" w14:textId="77777777" w:rsidTr="00FF4364">
        <w:trPr>
          <w:jc w:val="center"/>
        </w:trPr>
        <w:tc>
          <w:tcPr>
            <w:tcW w:w="2611" w:type="dxa"/>
            <w:hideMark/>
          </w:tcPr>
          <w:p w14:paraId="32BDCA78" w14:textId="77777777" w:rsidR="00FF4364" w:rsidRPr="00FF4364" w:rsidRDefault="00FF4364" w:rsidP="00FF4364">
            <w:pPr>
              <w:spacing w:after="160" w:line="278" w:lineRule="auto"/>
            </w:pPr>
            <w:r w:rsidRPr="00FF4364">
              <w:t>2001–18.000</w:t>
            </w:r>
          </w:p>
        </w:tc>
        <w:tc>
          <w:tcPr>
            <w:tcW w:w="2918" w:type="dxa"/>
            <w:hideMark/>
          </w:tcPr>
          <w:p w14:paraId="360D3B8E" w14:textId="77777777" w:rsidR="00FF4364" w:rsidRPr="00FF4364" w:rsidRDefault="00FF4364" w:rsidP="00FF4364">
            <w:pPr>
              <w:spacing w:after="160" w:line="278" w:lineRule="auto"/>
            </w:pPr>
            <w:r w:rsidRPr="00FF4364">
              <w:t>≥7,6–68,1</w:t>
            </w:r>
          </w:p>
        </w:tc>
        <w:tc>
          <w:tcPr>
            <w:tcW w:w="2457" w:type="dxa"/>
            <w:hideMark/>
          </w:tcPr>
          <w:p w14:paraId="34B287E2" w14:textId="77777777" w:rsidR="00FF4364" w:rsidRPr="00FF4364" w:rsidRDefault="00FF4364" w:rsidP="00FF4364">
            <w:pPr>
              <w:spacing w:after="160" w:line="278" w:lineRule="auto"/>
            </w:pPr>
            <w:r w:rsidRPr="00FF4364">
              <w:t>25</w:t>
            </w:r>
          </w:p>
        </w:tc>
        <w:tc>
          <w:tcPr>
            <w:tcW w:w="2457" w:type="dxa"/>
            <w:hideMark/>
          </w:tcPr>
          <w:p w14:paraId="4013C603" w14:textId="77777777" w:rsidR="00FF4364" w:rsidRPr="00FF4364" w:rsidRDefault="00FF4364" w:rsidP="00FF4364">
            <w:pPr>
              <w:spacing w:after="160" w:line="278" w:lineRule="auto"/>
            </w:pPr>
            <w:r w:rsidRPr="00FF4364">
              <w:t>7.6</w:t>
            </w:r>
          </w:p>
        </w:tc>
        <w:tc>
          <w:tcPr>
            <w:tcW w:w="2457" w:type="dxa"/>
            <w:hideMark/>
          </w:tcPr>
          <w:p w14:paraId="51A043EB" w14:textId="77777777" w:rsidR="00FF4364" w:rsidRPr="00FF4364" w:rsidRDefault="00FF4364" w:rsidP="00FF4364">
            <w:pPr>
              <w:spacing w:after="160" w:line="278" w:lineRule="auto"/>
            </w:pPr>
            <w:r w:rsidRPr="00FF4364">
              <w:t>5</w:t>
            </w:r>
          </w:p>
        </w:tc>
        <w:tc>
          <w:tcPr>
            <w:tcW w:w="2458" w:type="dxa"/>
            <w:hideMark/>
          </w:tcPr>
          <w:p w14:paraId="0C5A7E9E" w14:textId="77777777" w:rsidR="00FF4364" w:rsidRPr="00FF4364" w:rsidRDefault="00FF4364" w:rsidP="00FF4364">
            <w:pPr>
              <w:spacing w:after="160" w:line="278" w:lineRule="auto"/>
            </w:pPr>
            <w:r w:rsidRPr="00FF4364">
              <w:t>1.5</w:t>
            </w:r>
          </w:p>
        </w:tc>
      </w:tr>
      <w:tr w:rsidR="00FF4364" w:rsidRPr="00FF4364" w14:paraId="3AB2E458" w14:textId="77777777" w:rsidTr="00FF4364">
        <w:trPr>
          <w:jc w:val="center"/>
        </w:trPr>
        <w:tc>
          <w:tcPr>
            <w:tcW w:w="2611" w:type="dxa"/>
            <w:hideMark/>
          </w:tcPr>
          <w:p w14:paraId="6247EA94" w14:textId="77777777" w:rsidR="00FF4364" w:rsidRPr="00FF4364" w:rsidRDefault="00FF4364" w:rsidP="00FF4364">
            <w:pPr>
              <w:spacing w:after="160" w:line="278" w:lineRule="auto"/>
            </w:pPr>
            <w:r w:rsidRPr="00FF4364">
              <w:t>18.001–30.000</w:t>
            </w:r>
          </w:p>
        </w:tc>
        <w:tc>
          <w:tcPr>
            <w:tcW w:w="2918" w:type="dxa"/>
            <w:hideMark/>
          </w:tcPr>
          <w:p w14:paraId="7BFF2147" w14:textId="77777777" w:rsidR="00FF4364" w:rsidRPr="00FF4364" w:rsidRDefault="00FF4364" w:rsidP="00FF4364">
            <w:pPr>
              <w:spacing w:after="160" w:line="278" w:lineRule="auto"/>
            </w:pPr>
            <w:r w:rsidRPr="00FF4364">
              <w:t>≥68,1–114</w:t>
            </w:r>
          </w:p>
        </w:tc>
        <w:tc>
          <w:tcPr>
            <w:tcW w:w="2457" w:type="dxa"/>
            <w:hideMark/>
          </w:tcPr>
          <w:p w14:paraId="05ACA81E" w14:textId="77777777" w:rsidR="00FF4364" w:rsidRPr="00FF4364" w:rsidRDefault="00FF4364" w:rsidP="00FF4364">
            <w:pPr>
              <w:spacing w:after="160" w:line="278" w:lineRule="auto"/>
            </w:pPr>
            <w:r w:rsidRPr="00FF4364">
              <w:t>50</w:t>
            </w:r>
          </w:p>
        </w:tc>
        <w:tc>
          <w:tcPr>
            <w:tcW w:w="2457" w:type="dxa"/>
            <w:hideMark/>
          </w:tcPr>
          <w:p w14:paraId="4BBA3C2C" w14:textId="77777777" w:rsidR="00FF4364" w:rsidRPr="00FF4364" w:rsidRDefault="00FF4364" w:rsidP="00FF4364">
            <w:pPr>
              <w:spacing w:after="160" w:line="278" w:lineRule="auto"/>
            </w:pPr>
            <w:r w:rsidRPr="00FF4364">
              <w:t>15</w:t>
            </w:r>
          </w:p>
        </w:tc>
        <w:tc>
          <w:tcPr>
            <w:tcW w:w="2457" w:type="dxa"/>
            <w:hideMark/>
          </w:tcPr>
          <w:p w14:paraId="42A34371" w14:textId="77777777" w:rsidR="00FF4364" w:rsidRPr="00FF4364" w:rsidRDefault="00FF4364" w:rsidP="00FF4364">
            <w:pPr>
              <w:spacing w:after="160" w:line="278" w:lineRule="auto"/>
            </w:pPr>
            <w:r w:rsidRPr="00FF4364">
              <w:t>5</w:t>
            </w:r>
          </w:p>
        </w:tc>
        <w:tc>
          <w:tcPr>
            <w:tcW w:w="2458" w:type="dxa"/>
            <w:hideMark/>
          </w:tcPr>
          <w:p w14:paraId="0C5F2FA1" w14:textId="77777777" w:rsidR="00FF4364" w:rsidRPr="00FF4364" w:rsidRDefault="00FF4364" w:rsidP="00FF4364">
            <w:pPr>
              <w:spacing w:after="160" w:line="278" w:lineRule="auto"/>
            </w:pPr>
            <w:r w:rsidRPr="00FF4364">
              <w:t>1.5</w:t>
            </w:r>
          </w:p>
        </w:tc>
      </w:tr>
      <w:tr w:rsidR="00FF4364" w:rsidRPr="00FF4364" w14:paraId="4809A15E" w14:textId="77777777" w:rsidTr="00FF4364">
        <w:trPr>
          <w:jc w:val="center"/>
        </w:trPr>
        <w:tc>
          <w:tcPr>
            <w:tcW w:w="2611" w:type="dxa"/>
            <w:hideMark/>
          </w:tcPr>
          <w:p w14:paraId="7BEEC7ED" w14:textId="77777777" w:rsidR="00FF4364" w:rsidRPr="00FF4364" w:rsidRDefault="00FF4364" w:rsidP="00FF4364">
            <w:pPr>
              <w:spacing w:after="160" w:line="278" w:lineRule="auto"/>
            </w:pPr>
            <w:r w:rsidRPr="00FF4364">
              <w:t>30.001–70.000</w:t>
            </w:r>
          </w:p>
        </w:tc>
        <w:tc>
          <w:tcPr>
            <w:tcW w:w="2918" w:type="dxa"/>
            <w:hideMark/>
          </w:tcPr>
          <w:p w14:paraId="1278C5A3" w14:textId="77777777" w:rsidR="00FF4364" w:rsidRPr="00FF4364" w:rsidRDefault="00FF4364" w:rsidP="00FF4364">
            <w:pPr>
              <w:spacing w:after="160" w:line="278" w:lineRule="auto"/>
            </w:pPr>
            <w:r w:rsidRPr="00FF4364">
              <w:t>≥114–265</w:t>
            </w:r>
          </w:p>
        </w:tc>
        <w:tc>
          <w:tcPr>
            <w:tcW w:w="2457" w:type="dxa"/>
            <w:hideMark/>
          </w:tcPr>
          <w:p w14:paraId="3E42BF7A" w14:textId="77777777" w:rsidR="00FF4364" w:rsidRPr="00FF4364" w:rsidRDefault="00FF4364" w:rsidP="00FF4364">
            <w:pPr>
              <w:spacing w:after="160" w:line="278" w:lineRule="auto"/>
            </w:pPr>
            <w:r w:rsidRPr="00FF4364">
              <w:t>75</w:t>
            </w:r>
          </w:p>
        </w:tc>
        <w:tc>
          <w:tcPr>
            <w:tcW w:w="2457" w:type="dxa"/>
            <w:hideMark/>
          </w:tcPr>
          <w:p w14:paraId="21B88D2E" w14:textId="77777777" w:rsidR="00FF4364" w:rsidRPr="00FF4364" w:rsidRDefault="00FF4364" w:rsidP="00FF4364">
            <w:pPr>
              <w:spacing w:after="160" w:line="278" w:lineRule="auto"/>
            </w:pPr>
            <w:r w:rsidRPr="00FF4364">
              <w:t>23</w:t>
            </w:r>
          </w:p>
        </w:tc>
        <w:tc>
          <w:tcPr>
            <w:tcW w:w="4916" w:type="dxa"/>
            <w:gridSpan w:val="2"/>
            <w:hideMark/>
          </w:tcPr>
          <w:p w14:paraId="400CD9BB" w14:textId="77777777" w:rsidR="00FF4364" w:rsidRPr="00FF4364" w:rsidRDefault="00FF4364" w:rsidP="00FF4364">
            <w:pPr>
              <w:spacing w:after="160" w:line="278" w:lineRule="auto"/>
            </w:pPr>
            <w:r w:rsidRPr="00FF4364">
              <w:t>QSD*</w:t>
            </w:r>
          </w:p>
        </w:tc>
      </w:tr>
      <w:tr w:rsidR="00FF4364" w:rsidRPr="00FF4364" w14:paraId="44862794" w14:textId="77777777" w:rsidTr="00FF4364">
        <w:trPr>
          <w:jc w:val="center"/>
        </w:trPr>
        <w:tc>
          <w:tcPr>
            <w:tcW w:w="2611" w:type="dxa"/>
            <w:hideMark/>
          </w:tcPr>
          <w:p w14:paraId="34806319" w14:textId="77777777" w:rsidR="00FF4364" w:rsidRPr="00FF4364" w:rsidRDefault="00FF4364" w:rsidP="00FF4364">
            <w:pPr>
              <w:spacing w:after="160" w:line="278" w:lineRule="auto"/>
            </w:pPr>
            <w:r w:rsidRPr="00FF4364">
              <w:t>70.001–100.000</w:t>
            </w:r>
          </w:p>
        </w:tc>
        <w:tc>
          <w:tcPr>
            <w:tcW w:w="2918" w:type="dxa"/>
            <w:hideMark/>
          </w:tcPr>
          <w:p w14:paraId="3C6688A7" w14:textId="77777777" w:rsidR="00FF4364" w:rsidRPr="00FF4364" w:rsidRDefault="00FF4364" w:rsidP="00FF4364">
            <w:pPr>
              <w:spacing w:after="160" w:line="278" w:lineRule="auto"/>
            </w:pPr>
            <w:r w:rsidRPr="00FF4364">
              <w:t>≥265–379</w:t>
            </w:r>
          </w:p>
        </w:tc>
        <w:tc>
          <w:tcPr>
            <w:tcW w:w="2457" w:type="dxa"/>
            <w:hideMark/>
          </w:tcPr>
          <w:p w14:paraId="44954EF3" w14:textId="77777777" w:rsidR="00FF4364" w:rsidRPr="00FF4364" w:rsidRDefault="00FF4364" w:rsidP="00FF4364">
            <w:pPr>
              <w:spacing w:after="160" w:line="278" w:lineRule="auto"/>
            </w:pPr>
            <w:r w:rsidRPr="00FF4364">
              <w:t>100</w:t>
            </w:r>
          </w:p>
        </w:tc>
        <w:tc>
          <w:tcPr>
            <w:tcW w:w="2457" w:type="dxa"/>
            <w:hideMark/>
          </w:tcPr>
          <w:p w14:paraId="2F02A9C7" w14:textId="77777777" w:rsidR="00FF4364" w:rsidRPr="00FF4364" w:rsidRDefault="00FF4364" w:rsidP="00FF4364">
            <w:pPr>
              <w:spacing w:after="160" w:line="278" w:lineRule="auto"/>
            </w:pPr>
            <w:r w:rsidRPr="00FF4364">
              <w:t>30.5</w:t>
            </w:r>
          </w:p>
        </w:tc>
        <w:tc>
          <w:tcPr>
            <w:tcW w:w="4916" w:type="dxa"/>
            <w:gridSpan w:val="2"/>
            <w:hideMark/>
          </w:tcPr>
          <w:p w14:paraId="1438078B" w14:textId="77777777" w:rsidR="00FF4364" w:rsidRPr="00FF4364" w:rsidRDefault="00FF4364" w:rsidP="00FF4364">
            <w:pPr>
              <w:spacing w:after="160" w:line="278" w:lineRule="auto"/>
            </w:pPr>
            <w:r w:rsidRPr="00FF4364">
              <w:t>QSD*</w:t>
            </w:r>
          </w:p>
        </w:tc>
      </w:tr>
      <w:tr w:rsidR="00FF4364" w:rsidRPr="00FF4364" w14:paraId="4AFC9D0A" w14:textId="77777777" w:rsidTr="00FF4364">
        <w:trPr>
          <w:jc w:val="center"/>
        </w:trPr>
        <w:tc>
          <w:tcPr>
            <w:tcW w:w="2611" w:type="dxa"/>
            <w:hideMark/>
          </w:tcPr>
          <w:p w14:paraId="69A92890" w14:textId="77777777" w:rsidR="00FF4364" w:rsidRPr="00FF4364" w:rsidRDefault="00FF4364" w:rsidP="00FF4364">
            <w:pPr>
              <w:spacing w:after="160" w:line="278" w:lineRule="auto"/>
            </w:pPr>
            <w:r w:rsidRPr="00FF4364">
              <w:t>100.001–120.000</w:t>
            </w:r>
          </w:p>
        </w:tc>
        <w:tc>
          <w:tcPr>
            <w:tcW w:w="2918" w:type="dxa"/>
            <w:hideMark/>
          </w:tcPr>
          <w:p w14:paraId="19860750" w14:textId="77777777" w:rsidR="00FF4364" w:rsidRPr="00FF4364" w:rsidRDefault="00FF4364" w:rsidP="00FF4364">
            <w:pPr>
              <w:spacing w:after="160" w:line="278" w:lineRule="auto"/>
            </w:pPr>
            <w:r w:rsidRPr="00FF4364">
              <w:t>≥379–454</w:t>
            </w:r>
          </w:p>
        </w:tc>
        <w:tc>
          <w:tcPr>
            <w:tcW w:w="2457" w:type="dxa"/>
            <w:hideMark/>
          </w:tcPr>
          <w:p w14:paraId="45D34A39" w14:textId="77777777" w:rsidR="00FF4364" w:rsidRPr="00FF4364" w:rsidRDefault="00FF4364" w:rsidP="00FF4364">
            <w:pPr>
              <w:spacing w:after="160" w:line="278" w:lineRule="auto"/>
            </w:pPr>
            <w:r w:rsidRPr="00FF4364">
              <w:t>125</w:t>
            </w:r>
          </w:p>
        </w:tc>
        <w:tc>
          <w:tcPr>
            <w:tcW w:w="2457" w:type="dxa"/>
            <w:hideMark/>
          </w:tcPr>
          <w:p w14:paraId="55D35575" w14:textId="77777777" w:rsidR="00FF4364" w:rsidRPr="00FF4364" w:rsidRDefault="00FF4364" w:rsidP="00FF4364">
            <w:pPr>
              <w:spacing w:after="160" w:line="278" w:lineRule="auto"/>
            </w:pPr>
            <w:r w:rsidRPr="00FF4364">
              <w:t>38</w:t>
            </w:r>
          </w:p>
        </w:tc>
        <w:tc>
          <w:tcPr>
            <w:tcW w:w="4916" w:type="dxa"/>
            <w:gridSpan w:val="2"/>
            <w:hideMark/>
          </w:tcPr>
          <w:p w14:paraId="278240CC" w14:textId="77777777" w:rsidR="00FF4364" w:rsidRPr="00FF4364" w:rsidRDefault="00FF4364" w:rsidP="00FF4364">
            <w:pPr>
              <w:spacing w:after="160" w:line="278" w:lineRule="auto"/>
            </w:pPr>
            <w:r w:rsidRPr="00FF4364">
              <w:t>QSD*</w:t>
            </w:r>
          </w:p>
        </w:tc>
      </w:tr>
      <w:tr w:rsidR="00FF4364" w:rsidRPr="00FF4364" w14:paraId="1652E43E" w14:textId="77777777" w:rsidTr="00FF4364">
        <w:trPr>
          <w:jc w:val="center"/>
        </w:trPr>
        <w:tc>
          <w:tcPr>
            <w:tcW w:w="2611" w:type="dxa"/>
            <w:hideMark/>
          </w:tcPr>
          <w:p w14:paraId="582154AF" w14:textId="77777777" w:rsidR="00FF4364" w:rsidRPr="00FF4364" w:rsidRDefault="00FF4364" w:rsidP="00FF4364">
            <w:pPr>
              <w:spacing w:after="160" w:line="278" w:lineRule="auto"/>
            </w:pPr>
            <w:r w:rsidRPr="00FF4364">
              <w:t>120.001–200.000</w:t>
            </w:r>
          </w:p>
        </w:tc>
        <w:tc>
          <w:tcPr>
            <w:tcW w:w="2918" w:type="dxa"/>
            <w:hideMark/>
          </w:tcPr>
          <w:p w14:paraId="11BAA56E" w14:textId="77777777" w:rsidR="00FF4364" w:rsidRPr="00FF4364" w:rsidRDefault="00FF4364" w:rsidP="00FF4364">
            <w:pPr>
              <w:spacing w:after="160" w:line="278" w:lineRule="auto"/>
            </w:pPr>
            <w:r w:rsidRPr="00FF4364">
              <w:t>≥454–757</w:t>
            </w:r>
          </w:p>
        </w:tc>
        <w:tc>
          <w:tcPr>
            <w:tcW w:w="2457" w:type="dxa"/>
            <w:hideMark/>
          </w:tcPr>
          <w:p w14:paraId="406916FF" w14:textId="77777777" w:rsidR="00FF4364" w:rsidRPr="00FF4364" w:rsidRDefault="00FF4364" w:rsidP="00FF4364">
            <w:pPr>
              <w:spacing w:after="160" w:line="278" w:lineRule="auto"/>
            </w:pPr>
            <w:r w:rsidRPr="00FF4364">
              <w:t>200</w:t>
            </w:r>
          </w:p>
        </w:tc>
        <w:tc>
          <w:tcPr>
            <w:tcW w:w="2457" w:type="dxa"/>
            <w:hideMark/>
          </w:tcPr>
          <w:p w14:paraId="1AA40AA8" w14:textId="77777777" w:rsidR="00FF4364" w:rsidRPr="00FF4364" w:rsidRDefault="00FF4364" w:rsidP="00FF4364">
            <w:pPr>
              <w:spacing w:after="160" w:line="278" w:lineRule="auto"/>
            </w:pPr>
            <w:r w:rsidRPr="00FF4364">
              <w:t>61</w:t>
            </w:r>
          </w:p>
        </w:tc>
        <w:tc>
          <w:tcPr>
            <w:tcW w:w="4916" w:type="dxa"/>
            <w:gridSpan w:val="2"/>
            <w:hideMark/>
          </w:tcPr>
          <w:p w14:paraId="22399697" w14:textId="77777777" w:rsidR="00FF4364" w:rsidRPr="00FF4364" w:rsidRDefault="00FF4364" w:rsidP="00FF4364">
            <w:pPr>
              <w:spacing w:after="160" w:line="278" w:lineRule="auto"/>
            </w:pPr>
            <w:r w:rsidRPr="00FF4364">
              <w:t>QSD*</w:t>
            </w:r>
          </w:p>
        </w:tc>
      </w:tr>
      <w:tr w:rsidR="00FF4364" w:rsidRPr="00FF4364" w14:paraId="0F570777" w14:textId="77777777" w:rsidTr="00FF4364">
        <w:trPr>
          <w:jc w:val="center"/>
        </w:trPr>
        <w:tc>
          <w:tcPr>
            <w:tcW w:w="2611" w:type="dxa"/>
            <w:hideMark/>
          </w:tcPr>
          <w:p w14:paraId="050AD9A5" w14:textId="77777777" w:rsidR="00FF4364" w:rsidRPr="00FF4364" w:rsidRDefault="00FF4364" w:rsidP="00FF4364">
            <w:pPr>
              <w:spacing w:after="160" w:line="278" w:lineRule="auto"/>
            </w:pPr>
            <w:r w:rsidRPr="00FF4364">
              <w:t>200.001–1.056.000</w:t>
            </w:r>
          </w:p>
        </w:tc>
        <w:tc>
          <w:tcPr>
            <w:tcW w:w="2918" w:type="dxa"/>
            <w:hideMark/>
          </w:tcPr>
          <w:p w14:paraId="0C4C4E7C" w14:textId="77777777" w:rsidR="00FF4364" w:rsidRPr="00FF4364" w:rsidRDefault="00FF4364" w:rsidP="00FF4364">
            <w:pPr>
              <w:spacing w:after="160" w:line="278" w:lineRule="auto"/>
            </w:pPr>
            <w:r w:rsidRPr="00FF4364">
              <w:t>≥757–4000</w:t>
            </w:r>
          </w:p>
        </w:tc>
        <w:tc>
          <w:tcPr>
            <w:tcW w:w="2457" w:type="dxa"/>
            <w:hideMark/>
          </w:tcPr>
          <w:p w14:paraId="666B9FB8" w14:textId="77777777" w:rsidR="00FF4364" w:rsidRPr="00FF4364" w:rsidRDefault="00FF4364" w:rsidP="00FF4364">
            <w:pPr>
              <w:spacing w:after="160" w:line="278" w:lineRule="auto"/>
            </w:pPr>
            <w:r w:rsidRPr="00FF4364">
              <w:t>300</w:t>
            </w:r>
          </w:p>
        </w:tc>
        <w:tc>
          <w:tcPr>
            <w:tcW w:w="2457" w:type="dxa"/>
            <w:hideMark/>
          </w:tcPr>
          <w:p w14:paraId="49DB4A48" w14:textId="77777777" w:rsidR="00FF4364" w:rsidRPr="00FF4364" w:rsidRDefault="00FF4364" w:rsidP="00FF4364">
            <w:pPr>
              <w:spacing w:after="160" w:line="278" w:lineRule="auto"/>
            </w:pPr>
            <w:r w:rsidRPr="00FF4364">
              <w:t>91.4</w:t>
            </w:r>
          </w:p>
        </w:tc>
        <w:tc>
          <w:tcPr>
            <w:tcW w:w="4916" w:type="dxa"/>
            <w:gridSpan w:val="2"/>
            <w:hideMark/>
          </w:tcPr>
          <w:p w14:paraId="7CBD9055" w14:textId="77777777" w:rsidR="00FF4364" w:rsidRPr="00FF4364" w:rsidRDefault="00FF4364" w:rsidP="00FF4364">
            <w:pPr>
              <w:spacing w:after="160" w:line="278" w:lineRule="auto"/>
            </w:pPr>
            <w:r w:rsidRPr="00FF4364">
              <w:t>QSD*</w:t>
            </w:r>
          </w:p>
        </w:tc>
      </w:tr>
      <w:tr w:rsidR="00FF4364" w:rsidRPr="00FF4364" w14:paraId="02E04D91" w14:textId="77777777" w:rsidTr="00FF4364">
        <w:trPr>
          <w:jc w:val="center"/>
        </w:trPr>
        <w:tc>
          <w:tcPr>
            <w:tcW w:w="0" w:type="auto"/>
            <w:gridSpan w:val="6"/>
            <w:hideMark/>
          </w:tcPr>
          <w:p w14:paraId="18C61A01" w14:textId="77777777" w:rsidR="00FF4364" w:rsidRPr="00FF4364" w:rsidRDefault="00FF4364" w:rsidP="00FF4364">
            <w:pPr>
              <w:spacing w:after="160" w:line="278" w:lineRule="auto"/>
            </w:pPr>
            <w:r w:rsidRPr="00FF4364">
              <w:t>*QSD = 1 ⁄4 de la suma de los diámetros de los contenedores adyacentes [5 pies (1,5 m) mínimo]</w:t>
            </w:r>
          </w:p>
        </w:tc>
      </w:tr>
    </w:tbl>
    <w:p w14:paraId="720C65CD" w14:textId="77777777" w:rsidR="00FF4364" w:rsidRPr="00FF4364" w:rsidRDefault="00FF4364" w:rsidP="00FF4364">
      <w:hyperlink r:id="rId60" w:anchor="ID00059A002301" w:history="1">
        <w:r w:rsidRPr="00FF4364">
          <w:rPr>
            <w:rStyle w:val="Hipervnculo"/>
          </w:rPr>
          <w:t>Ver en publicación</w:t>
        </w:r>
      </w:hyperlink>
    </w:p>
    <w:tbl>
      <w:tblPr>
        <w:tblStyle w:val="Tablaconcuadrcula"/>
        <w:tblW w:w="15360" w:type="dxa"/>
        <w:jc w:val="center"/>
        <w:tblLook w:val="04A0" w:firstRow="1" w:lastRow="0" w:firstColumn="1" w:lastColumn="0" w:noHBand="0" w:noVBand="1"/>
      </w:tblPr>
      <w:tblGrid>
        <w:gridCol w:w="2610"/>
        <w:gridCol w:w="3226"/>
        <w:gridCol w:w="2457"/>
        <w:gridCol w:w="2458"/>
        <w:gridCol w:w="2457"/>
        <w:gridCol w:w="2152"/>
      </w:tblGrid>
      <w:tr w:rsidR="00FF4364" w:rsidRPr="00FF4364" w14:paraId="01DEFA8C" w14:textId="77777777" w:rsidTr="00FF4364">
        <w:trPr>
          <w:jc w:val="center"/>
        </w:trPr>
        <w:tc>
          <w:tcPr>
            <w:tcW w:w="0" w:type="auto"/>
            <w:gridSpan w:val="6"/>
            <w:hideMark/>
          </w:tcPr>
          <w:p w14:paraId="60AA572B" w14:textId="77777777" w:rsidR="00FF4364" w:rsidRPr="00FF4364" w:rsidRDefault="00FF4364" w:rsidP="00FF4364">
            <w:pPr>
              <w:spacing w:after="160" w:line="278" w:lineRule="auto"/>
              <w:rPr>
                <w:b/>
                <w:bCs/>
              </w:rPr>
            </w:pPr>
            <w:r w:rsidRPr="00FF4364">
              <w:rPr>
                <w:b/>
                <w:bCs/>
              </w:rPr>
              <w:t>Tabla 17.3.2.2.4 Distancias desde contenedores subterráneos y exposiciones</w:t>
            </w:r>
            <w:r w:rsidRPr="00FF4364">
              <w:rPr>
                <w:b/>
                <w:bCs/>
              </w:rPr>
              <w:br/>
            </w:r>
          </w:p>
        </w:tc>
      </w:tr>
      <w:tr w:rsidR="00FF4364" w:rsidRPr="00FF4364" w14:paraId="639BDE38" w14:textId="77777777" w:rsidTr="00FF4364">
        <w:trPr>
          <w:jc w:val="center"/>
        </w:trPr>
        <w:tc>
          <w:tcPr>
            <w:tcW w:w="5837" w:type="dxa"/>
            <w:gridSpan w:val="2"/>
            <w:hideMark/>
          </w:tcPr>
          <w:p w14:paraId="623E6BE1" w14:textId="77777777" w:rsidR="00FF4364" w:rsidRPr="00FF4364" w:rsidRDefault="00FF4364" w:rsidP="00FF4364">
            <w:pPr>
              <w:spacing w:after="160" w:line="278" w:lineRule="auto"/>
              <w:rPr>
                <w:b/>
                <w:bCs/>
              </w:rPr>
            </w:pPr>
            <w:r w:rsidRPr="00FF4364">
              <w:rPr>
                <w:b/>
                <w:bCs/>
              </w:rPr>
              <w:t>Capacidad de agua del contenedor</w:t>
            </w:r>
          </w:p>
        </w:tc>
        <w:tc>
          <w:tcPr>
            <w:tcW w:w="4915" w:type="dxa"/>
            <w:gridSpan w:val="2"/>
            <w:hideMark/>
          </w:tcPr>
          <w:p w14:paraId="0FBD783A" w14:textId="77777777" w:rsidR="00FF4364" w:rsidRPr="00FF4364" w:rsidRDefault="00FF4364" w:rsidP="00FF4364">
            <w:pPr>
              <w:spacing w:after="160" w:line="278" w:lineRule="auto"/>
              <w:rPr>
                <w:b/>
                <w:bCs/>
              </w:rPr>
            </w:pPr>
            <w:r w:rsidRPr="00FF4364">
              <w:rPr>
                <w:b/>
                <w:bCs/>
              </w:rPr>
              <w:t>Distancia mínima de los edificios y la línea de propiedad adyacente sobre la que se puede construir</w:t>
            </w:r>
          </w:p>
        </w:tc>
        <w:tc>
          <w:tcPr>
            <w:tcW w:w="4609" w:type="dxa"/>
            <w:gridSpan w:val="2"/>
            <w:hideMark/>
          </w:tcPr>
          <w:p w14:paraId="72B9F93F" w14:textId="77777777" w:rsidR="00FF4364" w:rsidRPr="00FF4364" w:rsidRDefault="00FF4364" w:rsidP="00FF4364">
            <w:pPr>
              <w:spacing w:after="160" w:line="278" w:lineRule="auto"/>
              <w:rPr>
                <w:b/>
                <w:bCs/>
              </w:rPr>
            </w:pPr>
            <w:r w:rsidRPr="00FF4364">
              <w:rPr>
                <w:b/>
                <w:bCs/>
              </w:rPr>
              <w:t>Distancia entre contenedores</w:t>
            </w:r>
          </w:p>
        </w:tc>
      </w:tr>
      <w:tr w:rsidR="00FF4364" w:rsidRPr="00FF4364" w14:paraId="163B484A" w14:textId="77777777" w:rsidTr="00FF4364">
        <w:trPr>
          <w:jc w:val="center"/>
        </w:trPr>
        <w:tc>
          <w:tcPr>
            <w:tcW w:w="2611" w:type="dxa"/>
            <w:hideMark/>
          </w:tcPr>
          <w:p w14:paraId="6DA8FFC1" w14:textId="77777777" w:rsidR="00FF4364" w:rsidRPr="00FF4364" w:rsidRDefault="00FF4364" w:rsidP="00FF4364">
            <w:pPr>
              <w:spacing w:after="160" w:line="278" w:lineRule="auto"/>
              <w:rPr>
                <w:b/>
                <w:bCs/>
              </w:rPr>
            </w:pPr>
            <w:r w:rsidRPr="00FF4364">
              <w:rPr>
                <w:b/>
                <w:bCs/>
              </w:rPr>
              <w:lastRenderedPageBreak/>
              <w:t>galón</w:t>
            </w:r>
          </w:p>
        </w:tc>
        <w:tc>
          <w:tcPr>
            <w:tcW w:w="3225" w:type="dxa"/>
            <w:hideMark/>
          </w:tcPr>
          <w:p w14:paraId="07688128" w14:textId="77777777" w:rsidR="00FF4364" w:rsidRPr="00FF4364" w:rsidRDefault="00FF4364" w:rsidP="00FF4364">
            <w:pPr>
              <w:spacing w:after="160" w:line="278" w:lineRule="auto"/>
              <w:rPr>
                <w:b/>
                <w:bCs/>
              </w:rPr>
            </w:pPr>
            <w:r w:rsidRPr="00FF4364">
              <w:rPr>
                <w:b/>
                <w:bCs/>
              </w:rPr>
              <w:t>metros </w:t>
            </w:r>
            <w:r w:rsidRPr="00FF4364">
              <w:rPr>
                <w:b/>
                <w:bCs/>
                <w:vertAlign w:val="superscript"/>
              </w:rPr>
              <w:t>cúbicos</w:t>
            </w:r>
          </w:p>
        </w:tc>
        <w:tc>
          <w:tcPr>
            <w:tcW w:w="2457" w:type="dxa"/>
            <w:hideMark/>
          </w:tcPr>
          <w:p w14:paraId="4F2FA0B1" w14:textId="77777777" w:rsidR="00FF4364" w:rsidRPr="00FF4364" w:rsidRDefault="00FF4364" w:rsidP="00FF4364">
            <w:pPr>
              <w:spacing w:after="160" w:line="278" w:lineRule="auto"/>
              <w:rPr>
                <w:b/>
                <w:bCs/>
              </w:rPr>
            </w:pPr>
            <w:r w:rsidRPr="00FF4364">
              <w:rPr>
                <w:b/>
                <w:bCs/>
              </w:rPr>
              <w:t>pie</w:t>
            </w:r>
          </w:p>
        </w:tc>
        <w:tc>
          <w:tcPr>
            <w:tcW w:w="2457" w:type="dxa"/>
            <w:hideMark/>
          </w:tcPr>
          <w:p w14:paraId="713472E0" w14:textId="77777777" w:rsidR="00FF4364" w:rsidRPr="00FF4364" w:rsidRDefault="00FF4364" w:rsidP="00FF4364">
            <w:pPr>
              <w:spacing w:after="160" w:line="278" w:lineRule="auto"/>
              <w:rPr>
                <w:b/>
                <w:bCs/>
              </w:rPr>
            </w:pPr>
            <w:r w:rsidRPr="00FF4364">
              <w:rPr>
                <w:b/>
                <w:bCs/>
              </w:rPr>
              <w:t>metro</w:t>
            </w:r>
          </w:p>
        </w:tc>
        <w:tc>
          <w:tcPr>
            <w:tcW w:w="2457" w:type="dxa"/>
            <w:hideMark/>
          </w:tcPr>
          <w:p w14:paraId="0427EDA5" w14:textId="77777777" w:rsidR="00FF4364" w:rsidRPr="00FF4364" w:rsidRDefault="00FF4364" w:rsidP="00FF4364">
            <w:pPr>
              <w:spacing w:after="160" w:line="278" w:lineRule="auto"/>
              <w:rPr>
                <w:b/>
                <w:bCs/>
              </w:rPr>
            </w:pPr>
            <w:r w:rsidRPr="00FF4364">
              <w:rPr>
                <w:b/>
                <w:bCs/>
              </w:rPr>
              <w:t>pie</w:t>
            </w:r>
          </w:p>
        </w:tc>
        <w:tc>
          <w:tcPr>
            <w:tcW w:w="2151" w:type="dxa"/>
            <w:hideMark/>
          </w:tcPr>
          <w:p w14:paraId="0AD48692" w14:textId="77777777" w:rsidR="00FF4364" w:rsidRPr="00FF4364" w:rsidRDefault="00FF4364" w:rsidP="00FF4364">
            <w:pPr>
              <w:spacing w:after="160" w:line="278" w:lineRule="auto"/>
              <w:rPr>
                <w:b/>
                <w:bCs/>
              </w:rPr>
            </w:pPr>
            <w:r w:rsidRPr="00FF4364">
              <w:rPr>
                <w:b/>
                <w:bCs/>
              </w:rPr>
              <w:t>metro</w:t>
            </w:r>
          </w:p>
        </w:tc>
      </w:tr>
      <w:tr w:rsidR="00FF4364" w:rsidRPr="00FF4364" w14:paraId="7D4C100C" w14:textId="77777777" w:rsidTr="00FF4364">
        <w:trPr>
          <w:jc w:val="center"/>
        </w:trPr>
        <w:tc>
          <w:tcPr>
            <w:tcW w:w="2611" w:type="dxa"/>
            <w:hideMark/>
          </w:tcPr>
          <w:p w14:paraId="7B50E9AA" w14:textId="77777777" w:rsidR="00FF4364" w:rsidRPr="00FF4364" w:rsidRDefault="00FF4364" w:rsidP="00FF4364">
            <w:pPr>
              <w:spacing w:after="160" w:line="278" w:lineRule="auto"/>
            </w:pPr>
            <w:r w:rsidRPr="00FF4364">
              <w:t>&lt;18.000</w:t>
            </w:r>
          </w:p>
        </w:tc>
        <w:tc>
          <w:tcPr>
            <w:tcW w:w="3225" w:type="dxa"/>
            <w:hideMark/>
          </w:tcPr>
          <w:p w14:paraId="6A211418" w14:textId="77777777" w:rsidR="00FF4364" w:rsidRPr="00FF4364" w:rsidRDefault="00FF4364" w:rsidP="00FF4364">
            <w:pPr>
              <w:spacing w:after="160" w:line="278" w:lineRule="auto"/>
            </w:pPr>
            <w:r w:rsidRPr="00FF4364">
              <w:t>&lt;68,1</w:t>
            </w:r>
          </w:p>
        </w:tc>
        <w:tc>
          <w:tcPr>
            <w:tcW w:w="2457" w:type="dxa"/>
            <w:hideMark/>
          </w:tcPr>
          <w:p w14:paraId="120CC7F2" w14:textId="77777777" w:rsidR="00FF4364" w:rsidRPr="00FF4364" w:rsidRDefault="00FF4364" w:rsidP="00FF4364">
            <w:pPr>
              <w:spacing w:after="160" w:line="278" w:lineRule="auto"/>
            </w:pPr>
            <w:r w:rsidRPr="00FF4364">
              <w:t>15</w:t>
            </w:r>
          </w:p>
        </w:tc>
        <w:tc>
          <w:tcPr>
            <w:tcW w:w="2457" w:type="dxa"/>
            <w:hideMark/>
          </w:tcPr>
          <w:p w14:paraId="0F5F3F9F" w14:textId="77777777" w:rsidR="00FF4364" w:rsidRPr="00FF4364" w:rsidRDefault="00FF4364" w:rsidP="00FF4364">
            <w:pPr>
              <w:spacing w:after="160" w:line="278" w:lineRule="auto"/>
            </w:pPr>
            <w:r w:rsidRPr="00FF4364">
              <w:t>4.6</w:t>
            </w:r>
          </w:p>
        </w:tc>
        <w:tc>
          <w:tcPr>
            <w:tcW w:w="2457" w:type="dxa"/>
            <w:hideMark/>
          </w:tcPr>
          <w:p w14:paraId="54186CC9" w14:textId="77777777" w:rsidR="00FF4364" w:rsidRPr="00FF4364" w:rsidRDefault="00FF4364" w:rsidP="00FF4364">
            <w:pPr>
              <w:spacing w:after="160" w:line="278" w:lineRule="auto"/>
            </w:pPr>
            <w:r w:rsidRPr="00FF4364">
              <w:t>15</w:t>
            </w:r>
          </w:p>
        </w:tc>
        <w:tc>
          <w:tcPr>
            <w:tcW w:w="2151" w:type="dxa"/>
            <w:hideMark/>
          </w:tcPr>
          <w:p w14:paraId="4812336F" w14:textId="77777777" w:rsidR="00FF4364" w:rsidRPr="00FF4364" w:rsidRDefault="00FF4364" w:rsidP="00FF4364">
            <w:pPr>
              <w:spacing w:after="160" w:line="278" w:lineRule="auto"/>
            </w:pPr>
            <w:r w:rsidRPr="00FF4364">
              <w:t>4.6</w:t>
            </w:r>
          </w:p>
        </w:tc>
      </w:tr>
      <w:tr w:rsidR="00FF4364" w:rsidRPr="00FF4364" w14:paraId="52C18454" w14:textId="77777777" w:rsidTr="00FF4364">
        <w:trPr>
          <w:jc w:val="center"/>
        </w:trPr>
        <w:tc>
          <w:tcPr>
            <w:tcW w:w="2611" w:type="dxa"/>
            <w:hideMark/>
          </w:tcPr>
          <w:p w14:paraId="6A109DAF" w14:textId="77777777" w:rsidR="00FF4364" w:rsidRPr="00FF4364" w:rsidRDefault="00FF4364" w:rsidP="00FF4364">
            <w:pPr>
              <w:spacing w:after="160" w:line="278" w:lineRule="auto"/>
            </w:pPr>
            <w:r w:rsidRPr="00FF4364">
              <w:t>18.000–30.000</w:t>
            </w:r>
          </w:p>
        </w:tc>
        <w:tc>
          <w:tcPr>
            <w:tcW w:w="3225" w:type="dxa"/>
            <w:hideMark/>
          </w:tcPr>
          <w:p w14:paraId="1A7E3032" w14:textId="77777777" w:rsidR="00FF4364" w:rsidRPr="00FF4364" w:rsidRDefault="00FF4364" w:rsidP="00FF4364">
            <w:pPr>
              <w:spacing w:after="160" w:line="278" w:lineRule="auto"/>
            </w:pPr>
            <w:r w:rsidRPr="00FF4364">
              <w:t>68.1–114</w:t>
            </w:r>
          </w:p>
        </w:tc>
        <w:tc>
          <w:tcPr>
            <w:tcW w:w="2457" w:type="dxa"/>
            <w:hideMark/>
          </w:tcPr>
          <w:p w14:paraId="760BBE09" w14:textId="77777777" w:rsidR="00FF4364" w:rsidRPr="00FF4364" w:rsidRDefault="00FF4364" w:rsidP="00FF4364">
            <w:pPr>
              <w:spacing w:after="160" w:line="278" w:lineRule="auto"/>
            </w:pPr>
            <w:r w:rsidRPr="00FF4364">
              <w:t>25</w:t>
            </w:r>
          </w:p>
        </w:tc>
        <w:tc>
          <w:tcPr>
            <w:tcW w:w="2457" w:type="dxa"/>
            <w:hideMark/>
          </w:tcPr>
          <w:p w14:paraId="3B86513C" w14:textId="77777777" w:rsidR="00FF4364" w:rsidRPr="00FF4364" w:rsidRDefault="00FF4364" w:rsidP="00FF4364">
            <w:pPr>
              <w:spacing w:after="160" w:line="278" w:lineRule="auto"/>
            </w:pPr>
            <w:r w:rsidRPr="00FF4364">
              <w:t>7.6</w:t>
            </w:r>
          </w:p>
        </w:tc>
        <w:tc>
          <w:tcPr>
            <w:tcW w:w="2457" w:type="dxa"/>
            <w:hideMark/>
          </w:tcPr>
          <w:p w14:paraId="2AE74F47" w14:textId="77777777" w:rsidR="00FF4364" w:rsidRPr="00FF4364" w:rsidRDefault="00FF4364" w:rsidP="00FF4364">
            <w:pPr>
              <w:spacing w:after="160" w:line="278" w:lineRule="auto"/>
            </w:pPr>
            <w:r w:rsidRPr="00FF4364">
              <w:t>15</w:t>
            </w:r>
          </w:p>
        </w:tc>
        <w:tc>
          <w:tcPr>
            <w:tcW w:w="2151" w:type="dxa"/>
            <w:hideMark/>
          </w:tcPr>
          <w:p w14:paraId="06D92087" w14:textId="77777777" w:rsidR="00FF4364" w:rsidRPr="00FF4364" w:rsidRDefault="00FF4364" w:rsidP="00FF4364">
            <w:pPr>
              <w:spacing w:after="160" w:line="278" w:lineRule="auto"/>
            </w:pPr>
            <w:r w:rsidRPr="00FF4364">
              <w:t>4.6</w:t>
            </w:r>
          </w:p>
        </w:tc>
      </w:tr>
      <w:tr w:rsidR="00FF4364" w:rsidRPr="00FF4364" w14:paraId="0DF80BC7" w14:textId="77777777" w:rsidTr="00FF4364">
        <w:trPr>
          <w:jc w:val="center"/>
        </w:trPr>
        <w:tc>
          <w:tcPr>
            <w:tcW w:w="2611" w:type="dxa"/>
            <w:hideMark/>
          </w:tcPr>
          <w:p w14:paraId="64FE6793" w14:textId="77777777" w:rsidR="00FF4364" w:rsidRPr="00FF4364" w:rsidRDefault="00FF4364" w:rsidP="00FF4364">
            <w:pPr>
              <w:spacing w:after="160" w:line="278" w:lineRule="auto"/>
            </w:pPr>
            <w:r w:rsidRPr="00FF4364">
              <w:t>30.001–100.000</w:t>
            </w:r>
          </w:p>
        </w:tc>
        <w:tc>
          <w:tcPr>
            <w:tcW w:w="3225" w:type="dxa"/>
            <w:hideMark/>
          </w:tcPr>
          <w:p w14:paraId="0ED8632C" w14:textId="77777777" w:rsidR="00FF4364" w:rsidRPr="00FF4364" w:rsidRDefault="00FF4364" w:rsidP="00FF4364">
            <w:pPr>
              <w:spacing w:after="160" w:line="278" w:lineRule="auto"/>
            </w:pPr>
            <w:r w:rsidRPr="00FF4364">
              <w:t>≥114–379</w:t>
            </w:r>
          </w:p>
        </w:tc>
        <w:tc>
          <w:tcPr>
            <w:tcW w:w="2457" w:type="dxa"/>
            <w:hideMark/>
          </w:tcPr>
          <w:p w14:paraId="1E6150A0" w14:textId="77777777" w:rsidR="00FF4364" w:rsidRPr="00FF4364" w:rsidRDefault="00FF4364" w:rsidP="00FF4364">
            <w:pPr>
              <w:spacing w:after="160" w:line="278" w:lineRule="auto"/>
            </w:pPr>
            <w:r w:rsidRPr="00FF4364">
              <w:t>40</w:t>
            </w:r>
          </w:p>
        </w:tc>
        <w:tc>
          <w:tcPr>
            <w:tcW w:w="2457" w:type="dxa"/>
            <w:hideMark/>
          </w:tcPr>
          <w:p w14:paraId="165EC219" w14:textId="77777777" w:rsidR="00FF4364" w:rsidRPr="00FF4364" w:rsidRDefault="00FF4364" w:rsidP="00FF4364">
            <w:pPr>
              <w:spacing w:after="160" w:line="278" w:lineRule="auto"/>
            </w:pPr>
            <w:r w:rsidRPr="00FF4364">
              <w:t>12.2</w:t>
            </w:r>
          </w:p>
        </w:tc>
        <w:tc>
          <w:tcPr>
            <w:tcW w:w="2457" w:type="dxa"/>
            <w:hideMark/>
          </w:tcPr>
          <w:p w14:paraId="4C4906DB" w14:textId="77777777" w:rsidR="00FF4364" w:rsidRPr="00FF4364" w:rsidRDefault="00FF4364" w:rsidP="00FF4364">
            <w:pPr>
              <w:spacing w:after="160" w:line="278" w:lineRule="auto"/>
            </w:pPr>
            <w:r w:rsidRPr="00FF4364">
              <w:t>15</w:t>
            </w:r>
          </w:p>
        </w:tc>
        <w:tc>
          <w:tcPr>
            <w:tcW w:w="2151" w:type="dxa"/>
            <w:hideMark/>
          </w:tcPr>
          <w:p w14:paraId="2898EE3B" w14:textId="77777777" w:rsidR="00FF4364" w:rsidRPr="00FF4364" w:rsidRDefault="00FF4364" w:rsidP="00FF4364">
            <w:pPr>
              <w:spacing w:after="160" w:line="278" w:lineRule="auto"/>
            </w:pPr>
            <w:r w:rsidRPr="00FF4364">
              <w:t>4.6</w:t>
            </w:r>
          </w:p>
        </w:tc>
      </w:tr>
      <w:tr w:rsidR="00FF4364" w:rsidRPr="00FF4364" w14:paraId="5E35A7FA" w14:textId="77777777" w:rsidTr="00FF4364">
        <w:trPr>
          <w:jc w:val="center"/>
        </w:trPr>
        <w:tc>
          <w:tcPr>
            <w:tcW w:w="2611" w:type="dxa"/>
            <w:hideMark/>
          </w:tcPr>
          <w:p w14:paraId="7FE8898F" w14:textId="77777777" w:rsidR="00FF4364" w:rsidRPr="00FF4364" w:rsidRDefault="00FF4364" w:rsidP="00FF4364">
            <w:pPr>
              <w:spacing w:after="160" w:line="278" w:lineRule="auto"/>
            </w:pPr>
            <w:r w:rsidRPr="00FF4364">
              <w:t>100.001–120.000</w:t>
            </w:r>
          </w:p>
        </w:tc>
        <w:tc>
          <w:tcPr>
            <w:tcW w:w="3225" w:type="dxa"/>
            <w:hideMark/>
          </w:tcPr>
          <w:p w14:paraId="16F242F7" w14:textId="77777777" w:rsidR="00FF4364" w:rsidRPr="00FF4364" w:rsidRDefault="00FF4364" w:rsidP="00FF4364">
            <w:pPr>
              <w:spacing w:after="160" w:line="278" w:lineRule="auto"/>
            </w:pPr>
            <w:r w:rsidRPr="00FF4364">
              <w:t>≥379–454</w:t>
            </w:r>
          </w:p>
        </w:tc>
        <w:tc>
          <w:tcPr>
            <w:tcW w:w="2457" w:type="dxa"/>
            <w:hideMark/>
          </w:tcPr>
          <w:p w14:paraId="66FFB5B3" w14:textId="77777777" w:rsidR="00FF4364" w:rsidRPr="00FF4364" w:rsidRDefault="00FF4364" w:rsidP="00FF4364">
            <w:pPr>
              <w:spacing w:after="160" w:line="278" w:lineRule="auto"/>
            </w:pPr>
            <w:r w:rsidRPr="00FF4364">
              <w:t>65</w:t>
            </w:r>
          </w:p>
        </w:tc>
        <w:tc>
          <w:tcPr>
            <w:tcW w:w="2457" w:type="dxa"/>
            <w:hideMark/>
          </w:tcPr>
          <w:p w14:paraId="7AEA882A" w14:textId="77777777" w:rsidR="00FF4364" w:rsidRPr="00FF4364" w:rsidRDefault="00FF4364" w:rsidP="00FF4364">
            <w:pPr>
              <w:spacing w:after="160" w:line="278" w:lineRule="auto"/>
            </w:pPr>
            <w:r w:rsidRPr="00FF4364">
              <w:t>20</w:t>
            </w:r>
          </w:p>
        </w:tc>
        <w:tc>
          <w:tcPr>
            <w:tcW w:w="2457" w:type="dxa"/>
            <w:hideMark/>
          </w:tcPr>
          <w:p w14:paraId="1276A1EE" w14:textId="77777777" w:rsidR="00FF4364" w:rsidRPr="00FF4364" w:rsidRDefault="00FF4364" w:rsidP="00FF4364">
            <w:pPr>
              <w:spacing w:after="160" w:line="278" w:lineRule="auto"/>
            </w:pPr>
            <w:r w:rsidRPr="00FF4364">
              <w:t>15</w:t>
            </w:r>
          </w:p>
        </w:tc>
        <w:tc>
          <w:tcPr>
            <w:tcW w:w="2151" w:type="dxa"/>
            <w:hideMark/>
          </w:tcPr>
          <w:p w14:paraId="6C2EE5E0" w14:textId="77777777" w:rsidR="00FF4364" w:rsidRPr="00FF4364" w:rsidRDefault="00FF4364" w:rsidP="00FF4364">
            <w:pPr>
              <w:spacing w:after="160" w:line="278" w:lineRule="auto"/>
            </w:pPr>
            <w:r w:rsidRPr="00FF4364">
              <w:t>4.6</w:t>
            </w:r>
          </w:p>
        </w:tc>
      </w:tr>
      <w:tr w:rsidR="00FF4364" w:rsidRPr="00FF4364" w14:paraId="12AAE3CB" w14:textId="77777777" w:rsidTr="00FF4364">
        <w:trPr>
          <w:jc w:val="center"/>
        </w:trPr>
        <w:tc>
          <w:tcPr>
            <w:tcW w:w="2611" w:type="dxa"/>
            <w:hideMark/>
          </w:tcPr>
          <w:p w14:paraId="4B7A0759" w14:textId="77777777" w:rsidR="00FF4364" w:rsidRPr="00FF4364" w:rsidRDefault="00FF4364" w:rsidP="00FF4364">
            <w:pPr>
              <w:spacing w:after="160" w:line="278" w:lineRule="auto"/>
            </w:pPr>
            <w:r w:rsidRPr="00FF4364">
              <w:t>120.001–200.000</w:t>
            </w:r>
          </w:p>
        </w:tc>
        <w:tc>
          <w:tcPr>
            <w:tcW w:w="3225" w:type="dxa"/>
            <w:hideMark/>
          </w:tcPr>
          <w:p w14:paraId="2378BFE5" w14:textId="77777777" w:rsidR="00FF4364" w:rsidRPr="00FF4364" w:rsidRDefault="00FF4364" w:rsidP="00FF4364">
            <w:pPr>
              <w:spacing w:after="160" w:line="278" w:lineRule="auto"/>
            </w:pPr>
            <w:r w:rsidRPr="00FF4364">
              <w:t>≥454–757</w:t>
            </w:r>
          </w:p>
        </w:tc>
        <w:tc>
          <w:tcPr>
            <w:tcW w:w="2457" w:type="dxa"/>
            <w:hideMark/>
          </w:tcPr>
          <w:p w14:paraId="6A667082" w14:textId="77777777" w:rsidR="00FF4364" w:rsidRPr="00FF4364" w:rsidRDefault="00FF4364" w:rsidP="00FF4364">
            <w:pPr>
              <w:spacing w:after="160" w:line="278" w:lineRule="auto"/>
            </w:pPr>
            <w:r w:rsidRPr="00FF4364">
              <w:t>100</w:t>
            </w:r>
          </w:p>
        </w:tc>
        <w:tc>
          <w:tcPr>
            <w:tcW w:w="2457" w:type="dxa"/>
            <w:hideMark/>
          </w:tcPr>
          <w:p w14:paraId="76F70D88" w14:textId="77777777" w:rsidR="00FF4364" w:rsidRPr="00FF4364" w:rsidRDefault="00FF4364" w:rsidP="00FF4364">
            <w:pPr>
              <w:spacing w:after="160" w:line="278" w:lineRule="auto"/>
            </w:pPr>
            <w:r w:rsidRPr="00FF4364">
              <w:t>30.5</w:t>
            </w:r>
          </w:p>
        </w:tc>
        <w:tc>
          <w:tcPr>
            <w:tcW w:w="2457" w:type="dxa"/>
            <w:hideMark/>
          </w:tcPr>
          <w:p w14:paraId="7ECF003B" w14:textId="77777777" w:rsidR="00FF4364" w:rsidRPr="00FF4364" w:rsidRDefault="00FF4364" w:rsidP="00FF4364">
            <w:pPr>
              <w:spacing w:after="160" w:line="278" w:lineRule="auto"/>
            </w:pPr>
            <w:r w:rsidRPr="00FF4364">
              <w:t>15</w:t>
            </w:r>
          </w:p>
        </w:tc>
        <w:tc>
          <w:tcPr>
            <w:tcW w:w="2151" w:type="dxa"/>
            <w:hideMark/>
          </w:tcPr>
          <w:p w14:paraId="6648D1F0" w14:textId="77777777" w:rsidR="00FF4364" w:rsidRPr="00FF4364" w:rsidRDefault="00FF4364" w:rsidP="00FF4364">
            <w:pPr>
              <w:spacing w:after="160" w:line="278" w:lineRule="auto"/>
            </w:pPr>
            <w:r w:rsidRPr="00FF4364">
              <w:t>4.6</w:t>
            </w:r>
          </w:p>
        </w:tc>
      </w:tr>
      <w:tr w:rsidR="00FF4364" w:rsidRPr="00FF4364" w14:paraId="7BF25E39" w14:textId="77777777" w:rsidTr="00FF4364">
        <w:trPr>
          <w:jc w:val="center"/>
        </w:trPr>
        <w:tc>
          <w:tcPr>
            <w:tcW w:w="2611" w:type="dxa"/>
            <w:hideMark/>
          </w:tcPr>
          <w:p w14:paraId="40F1A309" w14:textId="77777777" w:rsidR="00FF4364" w:rsidRPr="00FF4364" w:rsidRDefault="00FF4364" w:rsidP="00FF4364">
            <w:pPr>
              <w:spacing w:after="160" w:line="278" w:lineRule="auto"/>
            </w:pPr>
            <w:r w:rsidRPr="00FF4364">
              <w:t>20.0001–1.056.000</w:t>
            </w:r>
          </w:p>
        </w:tc>
        <w:tc>
          <w:tcPr>
            <w:tcW w:w="3225" w:type="dxa"/>
            <w:hideMark/>
          </w:tcPr>
          <w:p w14:paraId="11086444" w14:textId="77777777" w:rsidR="00FF4364" w:rsidRPr="00FF4364" w:rsidRDefault="00FF4364" w:rsidP="00FF4364">
            <w:pPr>
              <w:spacing w:after="160" w:line="278" w:lineRule="auto"/>
            </w:pPr>
            <w:r w:rsidRPr="00FF4364">
              <w:t>≥757–4000</w:t>
            </w:r>
          </w:p>
        </w:tc>
        <w:tc>
          <w:tcPr>
            <w:tcW w:w="2457" w:type="dxa"/>
            <w:hideMark/>
          </w:tcPr>
          <w:p w14:paraId="09FB4FEF" w14:textId="77777777" w:rsidR="00FF4364" w:rsidRPr="00FF4364" w:rsidRDefault="00FF4364" w:rsidP="00FF4364">
            <w:pPr>
              <w:spacing w:after="160" w:line="278" w:lineRule="auto"/>
            </w:pPr>
            <w:r w:rsidRPr="00FF4364">
              <w:t>150</w:t>
            </w:r>
          </w:p>
        </w:tc>
        <w:tc>
          <w:tcPr>
            <w:tcW w:w="2457" w:type="dxa"/>
            <w:hideMark/>
          </w:tcPr>
          <w:p w14:paraId="09364564" w14:textId="77777777" w:rsidR="00FF4364" w:rsidRPr="00FF4364" w:rsidRDefault="00FF4364" w:rsidP="00FF4364">
            <w:pPr>
              <w:spacing w:after="160" w:line="278" w:lineRule="auto"/>
            </w:pPr>
            <w:r w:rsidRPr="00FF4364">
              <w:t>45.7</w:t>
            </w:r>
          </w:p>
        </w:tc>
        <w:tc>
          <w:tcPr>
            <w:tcW w:w="2457" w:type="dxa"/>
            <w:hideMark/>
          </w:tcPr>
          <w:p w14:paraId="0210BE56" w14:textId="77777777" w:rsidR="00FF4364" w:rsidRPr="00FF4364" w:rsidRDefault="00FF4364" w:rsidP="00FF4364">
            <w:pPr>
              <w:spacing w:after="160" w:line="278" w:lineRule="auto"/>
            </w:pPr>
            <w:r w:rsidRPr="00FF4364">
              <w:t>15</w:t>
            </w:r>
          </w:p>
        </w:tc>
        <w:tc>
          <w:tcPr>
            <w:tcW w:w="2151" w:type="dxa"/>
            <w:hideMark/>
          </w:tcPr>
          <w:p w14:paraId="576294C6" w14:textId="77777777" w:rsidR="00FF4364" w:rsidRPr="00FF4364" w:rsidRDefault="00FF4364" w:rsidP="00FF4364">
            <w:pPr>
              <w:spacing w:after="160" w:line="278" w:lineRule="auto"/>
            </w:pPr>
            <w:r w:rsidRPr="00FF4364">
              <w:t>4.6</w:t>
            </w:r>
          </w:p>
        </w:tc>
      </w:tr>
    </w:tbl>
    <w:p w14:paraId="5C12E0D9" w14:textId="1C15AFF0" w:rsidR="00FF4364" w:rsidRDefault="00FF4364">
      <w:hyperlink r:id="rId61" w:anchor="ID00059A002303" w:history="1">
        <w:r w:rsidRPr="00FF4364">
          <w:rPr>
            <w:rStyle w:val="Hipervnculo"/>
          </w:rPr>
          <w:t>Ver en publicación</w:t>
        </w:r>
      </w:hyperlink>
    </w:p>
    <w:sectPr w:rsidR="00FF4364" w:rsidSect="00904BA5">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5D3D"/>
    <w:multiLevelType w:val="multilevel"/>
    <w:tmpl w:val="4F66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502BD"/>
    <w:multiLevelType w:val="multilevel"/>
    <w:tmpl w:val="69CEA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E7FC6"/>
    <w:multiLevelType w:val="multilevel"/>
    <w:tmpl w:val="545E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8229A"/>
    <w:multiLevelType w:val="multilevel"/>
    <w:tmpl w:val="2EBA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A0F5F"/>
    <w:multiLevelType w:val="multilevel"/>
    <w:tmpl w:val="E01C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B25C6"/>
    <w:multiLevelType w:val="multilevel"/>
    <w:tmpl w:val="D2D2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A164C"/>
    <w:multiLevelType w:val="multilevel"/>
    <w:tmpl w:val="4226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83373">
    <w:abstractNumId w:val="1"/>
  </w:num>
  <w:num w:numId="2" w16cid:durableId="2020809304">
    <w:abstractNumId w:val="5"/>
  </w:num>
  <w:num w:numId="3" w16cid:durableId="1165899458">
    <w:abstractNumId w:val="0"/>
  </w:num>
  <w:num w:numId="4" w16cid:durableId="2135515757">
    <w:abstractNumId w:val="3"/>
  </w:num>
  <w:num w:numId="5" w16cid:durableId="217085106">
    <w:abstractNumId w:val="4"/>
  </w:num>
  <w:num w:numId="6" w16cid:durableId="120224427">
    <w:abstractNumId w:val="6"/>
  </w:num>
  <w:num w:numId="7" w16cid:durableId="28336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2B"/>
    <w:rsid w:val="00493D72"/>
    <w:rsid w:val="004F5726"/>
    <w:rsid w:val="00552074"/>
    <w:rsid w:val="00904BA5"/>
    <w:rsid w:val="00BB0C94"/>
    <w:rsid w:val="00FD362B"/>
    <w:rsid w:val="00FF43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8BEC"/>
  <w15:chartTrackingRefBased/>
  <w15:docId w15:val="{46007A19-75EE-4173-AA11-4A0282C7D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3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3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36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36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36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36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36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36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36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36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36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36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36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36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36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36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36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362B"/>
    <w:rPr>
      <w:rFonts w:eastAsiaTheme="majorEastAsia" w:cstheme="majorBidi"/>
      <w:color w:val="272727" w:themeColor="text1" w:themeTint="D8"/>
    </w:rPr>
  </w:style>
  <w:style w:type="paragraph" w:styleId="Ttulo">
    <w:name w:val="Title"/>
    <w:basedOn w:val="Normal"/>
    <w:next w:val="Normal"/>
    <w:link w:val="TtuloCar"/>
    <w:uiPriority w:val="10"/>
    <w:qFormat/>
    <w:rsid w:val="00FD3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36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36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36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362B"/>
    <w:pPr>
      <w:spacing w:before="160"/>
      <w:jc w:val="center"/>
    </w:pPr>
    <w:rPr>
      <w:i/>
      <w:iCs/>
      <w:color w:val="404040" w:themeColor="text1" w:themeTint="BF"/>
    </w:rPr>
  </w:style>
  <w:style w:type="character" w:customStyle="1" w:styleId="CitaCar">
    <w:name w:val="Cita Car"/>
    <w:basedOn w:val="Fuentedeprrafopredeter"/>
    <w:link w:val="Cita"/>
    <w:uiPriority w:val="29"/>
    <w:rsid w:val="00FD362B"/>
    <w:rPr>
      <w:i/>
      <w:iCs/>
      <w:color w:val="404040" w:themeColor="text1" w:themeTint="BF"/>
    </w:rPr>
  </w:style>
  <w:style w:type="paragraph" w:styleId="Prrafodelista">
    <w:name w:val="List Paragraph"/>
    <w:basedOn w:val="Normal"/>
    <w:uiPriority w:val="34"/>
    <w:qFormat/>
    <w:rsid w:val="00FD362B"/>
    <w:pPr>
      <w:ind w:left="720"/>
      <w:contextualSpacing/>
    </w:pPr>
  </w:style>
  <w:style w:type="character" w:styleId="nfasisintenso">
    <w:name w:val="Intense Emphasis"/>
    <w:basedOn w:val="Fuentedeprrafopredeter"/>
    <w:uiPriority w:val="21"/>
    <w:qFormat/>
    <w:rsid w:val="00FD362B"/>
    <w:rPr>
      <w:i/>
      <w:iCs/>
      <w:color w:val="0F4761" w:themeColor="accent1" w:themeShade="BF"/>
    </w:rPr>
  </w:style>
  <w:style w:type="paragraph" w:styleId="Citadestacada">
    <w:name w:val="Intense Quote"/>
    <w:basedOn w:val="Normal"/>
    <w:next w:val="Normal"/>
    <w:link w:val="CitadestacadaCar"/>
    <w:uiPriority w:val="30"/>
    <w:qFormat/>
    <w:rsid w:val="00FD3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362B"/>
    <w:rPr>
      <w:i/>
      <w:iCs/>
      <w:color w:val="0F4761" w:themeColor="accent1" w:themeShade="BF"/>
    </w:rPr>
  </w:style>
  <w:style w:type="character" w:styleId="Referenciaintensa">
    <w:name w:val="Intense Reference"/>
    <w:basedOn w:val="Fuentedeprrafopredeter"/>
    <w:uiPriority w:val="32"/>
    <w:qFormat/>
    <w:rsid w:val="00FD362B"/>
    <w:rPr>
      <w:b/>
      <w:bCs/>
      <w:smallCaps/>
      <w:color w:val="0F4761" w:themeColor="accent1" w:themeShade="BF"/>
      <w:spacing w:val="5"/>
    </w:rPr>
  </w:style>
  <w:style w:type="character" w:styleId="Hipervnculo">
    <w:name w:val="Hyperlink"/>
    <w:basedOn w:val="Fuentedeprrafopredeter"/>
    <w:uiPriority w:val="99"/>
    <w:unhideWhenUsed/>
    <w:rsid w:val="00904BA5"/>
    <w:rPr>
      <w:color w:val="467886" w:themeColor="hyperlink"/>
      <w:u w:val="single"/>
    </w:rPr>
  </w:style>
  <w:style w:type="character" w:styleId="Mencinsinresolver">
    <w:name w:val="Unresolved Mention"/>
    <w:basedOn w:val="Fuentedeprrafopredeter"/>
    <w:uiPriority w:val="99"/>
    <w:semiHidden/>
    <w:unhideWhenUsed/>
    <w:rsid w:val="00904BA5"/>
    <w:rPr>
      <w:color w:val="605E5C"/>
      <w:shd w:val="clear" w:color="auto" w:fill="E1DFDD"/>
    </w:rPr>
  </w:style>
  <w:style w:type="table" w:styleId="Tablaconcuadrcula">
    <w:name w:val="Table Grid"/>
    <w:basedOn w:val="Tablanormal"/>
    <w:uiPriority w:val="39"/>
    <w:rsid w:val="00904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249412">
      <w:bodyDiv w:val="1"/>
      <w:marLeft w:val="0"/>
      <w:marRight w:val="0"/>
      <w:marTop w:val="0"/>
      <w:marBottom w:val="0"/>
      <w:divBdr>
        <w:top w:val="none" w:sz="0" w:space="0" w:color="auto"/>
        <w:left w:val="none" w:sz="0" w:space="0" w:color="auto"/>
        <w:bottom w:val="none" w:sz="0" w:space="0" w:color="auto"/>
        <w:right w:val="none" w:sz="0" w:space="0" w:color="auto"/>
      </w:divBdr>
      <w:divsChild>
        <w:div w:id="1553955320">
          <w:marLeft w:val="0"/>
          <w:marRight w:val="0"/>
          <w:marTop w:val="0"/>
          <w:marBottom w:val="0"/>
          <w:divBdr>
            <w:top w:val="none" w:sz="0" w:space="0" w:color="auto"/>
            <w:left w:val="none" w:sz="0" w:space="0" w:color="auto"/>
            <w:bottom w:val="none" w:sz="0" w:space="0" w:color="auto"/>
            <w:right w:val="none" w:sz="0" w:space="0" w:color="auto"/>
          </w:divBdr>
          <w:divsChild>
            <w:div w:id="787238226">
              <w:marLeft w:val="0"/>
              <w:marRight w:val="0"/>
              <w:marTop w:val="0"/>
              <w:marBottom w:val="0"/>
              <w:divBdr>
                <w:top w:val="none" w:sz="0" w:space="0" w:color="auto"/>
                <w:left w:val="none" w:sz="0" w:space="0" w:color="auto"/>
                <w:bottom w:val="none" w:sz="0" w:space="0" w:color="auto"/>
                <w:right w:val="none" w:sz="0" w:space="0" w:color="auto"/>
              </w:divBdr>
              <w:divsChild>
                <w:div w:id="6893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4421">
          <w:marLeft w:val="0"/>
          <w:marRight w:val="0"/>
          <w:marTop w:val="0"/>
          <w:marBottom w:val="0"/>
          <w:divBdr>
            <w:top w:val="none" w:sz="0" w:space="0" w:color="auto"/>
            <w:left w:val="none" w:sz="0" w:space="0" w:color="auto"/>
            <w:bottom w:val="none" w:sz="0" w:space="0" w:color="auto"/>
            <w:right w:val="none" w:sz="0" w:space="0" w:color="auto"/>
          </w:divBdr>
          <w:divsChild>
            <w:div w:id="454716813">
              <w:marLeft w:val="0"/>
              <w:marRight w:val="0"/>
              <w:marTop w:val="0"/>
              <w:marBottom w:val="0"/>
              <w:divBdr>
                <w:top w:val="none" w:sz="0" w:space="0" w:color="auto"/>
                <w:left w:val="none" w:sz="0" w:space="0" w:color="auto"/>
                <w:bottom w:val="none" w:sz="0" w:space="0" w:color="auto"/>
                <w:right w:val="none" w:sz="0" w:space="0" w:color="auto"/>
              </w:divBdr>
              <w:divsChild>
                <w:div w:id="18014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38554">
          <w:marLeft w:val="0"/>
          <w:marRight w:val="0"/>
          <w:marTop w:val="0"/>
          <w:marBottom w:val="0"/>
          <w:divBdr>
            <w:top w:val="none" w:sz="0" w:space="0" w:color="auto"/>
            <w:left w:val="none" w:sz="0" w:space="0" w:color="auto"/>
            <w:bottom w:val="none" w:sz="0" w:space="0" w:color="auto"/>
            <w:right w:val="none" w:sz="0" w:space="0" w:color="auto"/>
          </w:divBdr>
          <w:divsChild>
            <w:div w:id="1105274141">
              <w:marLeft w:val="0"/>
              <w:marRight w:val="0"/>
              <w:marTop w:val="0"/>
              <w:marBottom w:val="0"/>
              <w:divBdr>
                <w:top w:val="none" w:sz="0" w:space="0" w:color="auto"/>
                <w:left w:val="none" w:sz="0" w:space="0" w:color="auto"/>
                <w:bottom w:val="none" w:sz="0" w:space="0" w:color="auto"/>
                <w:right w:val="none" w:sz="0" w:space="0" w:color="auto"/>
              </w:divBdr>
              <w:divsChild>
                <w:div w:id="19627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1201">
      <w:bodyDiv w:val="1"/>
      <w:marLeft w:val="0"/>
      <w:marRight w:val="0"/>
      <w:marTop w:val="0"/>
      <w:marBottom w:val="0"/>
      <w:divBdr>
        <w:top w:val="none" w:sz="0" w:space="0" w:color="auto"/>
        <w:left w:val="none" w:sz="0" w:space="0" w:color="auto"/>
        <w:bottom w:val="none" w:sz="0" w:space="0" w:color="auto"/>
        <w:right w:val="none" w:sz="0" w:space="0" w:color="auto"/>
      </w:divBdr>
      <w:divsChild>
        <w:div w:id="1839996435">
          <w:marLeft w:val="0"/>
          <w:marRight w:val="0"/>
          <w:marTop w:val="0"/>
          <w:marBottom w:val="0"/>
          <w:divBdr>
            <w:top w:val="none" w:sz="0" w:space="0" w:color="auto"/>
            <w:left w:val="none" w:sz="0" w:space="0" w:color="auto"/>
            <w:bottom w:val="none" w:sz="0" w:space="0" w:color="auto"/>
            <w:right w:val="none" w:sz="0" w:space="0" w:color="auto"/>
          </w:divBdr>
          <w:divsChild>
            <w:div w:id="1502116939">
              <w:marLeft w:val="0"/>
              <w:marRight w:val="0"/>
              <w:marTop w:val="0"/>
              <w:marBottom w:val="0"/>
              <w:divBdr>
                <w:top w:val="none" w:sz="0" w:space="0" w:color="auto"/>
                <w:left w:val="none" w:sz="0" w:space="0" w:color="auto"/>
                <w:bottom w:val="none" w:sz="0" w:space="0" w:color="auto"/>
                <w:right w:val="none" w:sz="0" w:space="0" w:color="auto"/>
              </w:divBdr>
              <w:divsChild>
                <w:div w:id="11685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5848">
          <w:marLeft w:val="0"/>
          <w:marRight w:val="0"/>
          <w:marTop w:val="0"/>
          <w:marBottom w:val="0"/>
          <w:divBdr>
            <w:top w:val="none" w:sz="0" w:space="0" w:color="auto"/>
            <w:left w:val="none" w:sz="0" w:space="0" w:color="auto"/>
            <w:bottom w:val="none" w:sz="0" w:space="0" w:color="auto"/>
            <w:right w:val="none" w:sz="0" w:space="0" w:color="auto"/>
          </w:divBdr>
          <w:divsChild>
            <w:div w:id="1542472563">
              <w:marLeft w:val="0"/>
              <w:marRight w:val="0"/>
              <w:marTop w:val="0"/>
              <w:marBottom w:val="0"/>
              <w:divBdr>
                <w:top w:val="none" w:sz="0" w:space="0" w:color="auto"/>
                <w:left w:val="none" w:sz="0" w:space="0" w:color="auto"/>
                <w:bottom w:val="none" w:sz="0" w:space="0" w:color="auto"/>
                <w:right w:val="none" w:sz="0" w:space="0" w:color="auto"/>
              </w:divBdr>
              <w:divsChild>
                <w:div w:id="18882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2475">
          <w:marLeft w:val="0"/>
          <w:marRight w:val="0"/>
          <w:marTop w:val="0"/>
          <w:marBottom w:val="0"/>
          <w:divBdr>
            <w:top w:val="none" w:sz="0" w:space="0" w:color="auto"/>
            <w:left w:val="none" w:sz="0" w:space="0" w:color="auto"/>
            <w:bottom w:val="none" w:sz="0" w:space="0" w:color="auto"/>
            <w:right w:val="none" w:sz="0" w:space="0" w:color="auto"/>
          </w:divBdr>
          <w:divsChild>
            <w:div w:id="84309919">
              <w:marLeft w:val="0"/>
              <w:marRight w:val="0"/>
              <w:marTop w:val="0"/>
              <w:marBottom w:val="0"/>
              <w:divBdr>
                <w:top w:val="none" w:sz="0" w:space="0" w:color="auto"/>
                <w:left w:val="none" w:sz="0" w:space="0" w:color="auto"/>
                <w:bottom w:val="none" w:sz="0" w:space="0" w:color="auto"/>
                <w:right w:val="none" w:sz="0" w:space="0" w:color="auto"/>
              </w:divBdr>
              <w:divsChild>
                <w:div w:id="4581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676388">
      <w:bodyDiv w:val="1"/>
      <w:marLeft w:val="0"/>
      <w:marRight w:val="0"/>
      <w:marTop w:val="0"/>
      <w:marBottom w:val="0"/>
      <w:divBdr>
        <w:top w:val="none" w:sz="0" w:space="0" w:color="auto"/>
        <w:left w:val="none" w:sz="0" w:space="0" w:color="auto"/>
        <w:bottom w:val="none" w:sz="0" w:space="0" w:color="auto"/>
        <w:right w:val="none" w:sz="0" w:space="0" w:color="auto"/>
      </w:divBdr>
      <w:divsChild>
        <w:div w:id="449470189">
          <w:marLeft w:val="0"/>
          <w:marRight w:val="0"/>
          <w:marTop w:val="0"/>
          <w:marBottom w:val="0"/>
          <w:divBdr>
            <w:top w:val="none" w:sz="0" w:space="0" w:color="auto"/>
            <w:left w:val="none" w:sz="0" w:space="0" w:color="auto"/>
            <w:bottom w:val="none" w:sz="0" w:space="0" w:color="auto"/>
            <w:right w:val="none" w:sz="0" w:space="0" w:color="auto"/>
          </w:divBdr>
          <w:divsChild>
            <w:div w:id="1737316115">
              <w:marLeft w:val="0"/>
              <w:marRight w:val="0"/>
              <w:marTop w:val="0"/>
              <w:marBottom w:val="0"/>
              <w:divBdr>
                <w:top w:val="none" w:sz="0" w:space="0" w:color="auto"/>
                <w:left w:val="none" w:sz="0" w:space="0" w:color="auto"/>
                <w:bottom w:val="none" w:sz="0" w:space="0" w:color="auto"/>
                <w:right w:val="none" w:sz="0" w:space="0" w:color="auto"/>
              </w:divBdr>
            </w:div>
          </w:divsChild>
        </w:div>
        <w:div w:id="1263100346">
          <w:marLeft w:val="0"/>
          <w:marRight w:val="0"/>
          <w:marTop w:val="0"/>
          <w:marBottom w:val="0"/>
          <w:divBdr>
            <w:top w:val="none" w:sz="0" w:space="0" w:color="auto"/>
            <w:left w:val="none" w:sz="0" w:space="0" w:color="auto"/>
            <w:bottom w:val="none" w:sz="0" w:space="0" w:color="auto"/>
            <w:right w:val="none" w:sz="0" w:space="0" w:color="auto"/>
          </w:divBdr>
        </w:div>
        <w:div w:id="799810712">
          <w:marLeft w:val="0"/>
          <w:marRight w:val="0"/>
          <w:marTop w:val="0"/>
          <w:marBottom w:val="0"/>
          <w:divBdr>
            <w:top w:val="none" w:sz="0" w:space="0" w:color="auto"/>
            <w:left w:val="none" w:sz="0" w:space="0" w:color="auto"/>
            <w:bottom w:val="none" w:sz="0" w:space="0" w:color="auto"/>
            <w:right w:val="none" w:sz="0" w:space="0" w:color="auto"/>
          </w:divBdr>
          <w:divsChild>
            <w:div w:id="412091533">
              <w:marLeft w:val="0"/>
              <w:marRight w:val="0"/>
              <w:marTop w:val="0"/>
              <w:marBottom w:val="0"/>
              <w:divBdr>
                <w:top w:val="none" w:sz="0" w:space="0" w:color="auto"/>
                <w:left w:val="none" w:sz="0" w:space="0" w:color="auto"/>
                <w:bottom w:val="none" w:sz="0" w:space="0" w:color="auto"/>
                <w:right w:val="none" w:sz="0" w:space="0" w:color="auto"/>
              </w:divBdr>
              <w:divsChild>
                <w:div w:id="13561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447">
          <w:marLeft w:val="0"/>
          <w:marRight w:val="0"/>
          <w:marTop w:val="0"/>
          <w:marBottom w:val="0"/>
          <w:divBdr>
            <w:top w:val="none" w:sz="0" w:space="0" w:color="auto"/>
            <w:left w:val="none" w:sz="0" w:space="0" w:color="auto"/>
            <w:bottom w:val="none" w:sz="0" w:space="0" w:color="auto"/>
            <w:right w:val="none" w:sz="0" w:space="0" w:color="auto"/>
          </w:divBdr>
          <w:divsChild>
            <w:div w:id="405802771">
              <w:marLeft w:val="0"/>
              <w:marRight w:val="0"/>
              <w:marTop w:val="0"/>
              <w:marBottom w:val="0"/>
              <w:divBdr>
                <w:top w:val="none" w:sz="0" w:space="0" w:color="auto"/>
                <w:left w:val="none" w:sz="0" w:space="0" w:color="auto"/>
                <w:bottom w:val="none" w:sz="0" w:space="0" w:color="auto"/>
                <w:right w:val="none" w:sz="0" w:space="0" w:color="auto"/>
              </w:divBdr>
              <w:divsChild>
                <w:div w:id="1626814432">
                  <w:marLeft w:val="0"/>
                  <w:marRight w:val="0"/>
                  <w:marTop w:val="0"/>
                  <w:marBottom w:val="0"/>
                  <w:divBdr>
                    <w:top w:val="none" w:sz="0" w:space="0" w:color="auto"/>
                    <w:left w:val="none" w:sz="0" w:space="0" w:color="auto"/>
                    <w:bottom w:val="none" w:sz="0" w:space="0" w:color="auto"/>
                    <w:right w:val="none" w:sz="0" w:space="0" w:color="auto"/>
                  </w:divBdr>
                  <w:divsChild>
                    <w:div w:id="1192455408">
                      <w:marLeft w:val="0"/>
                      <w:marRight w:val="0"/>
                      <w:marTop w:val="0"/>
                      <w:marBottom w:val="0"/>
                      <w:divBdr>
                        <w:top w:val="none" w:sz="0" w:space="0" w:color="auto"/>
                        <w:left w:val="none" w:sz="0" w:space="0" w:color="auto"/>
                        <w:bottom w:val="none" w:sz="0" w:space="0" w:color="auto"/>
                        <w:right w:val="none" w:sz="0" w:space="0" w:color="auto"/>
                      </w:divBdr>
                      <w:divsChild>
                        <w:div w:id="1388143441">
                          <w:marLeft w:val="0"/>
                          <w:marRight w:val="0"/>
                          <w:marTop w:val="0"/>
                          <w:marBottom w:val="0"/>
                          <w:divBdr>
                            <w:top w:val="none" w:sz="0" w:space="0" w:color="auto"/>
                            <w:left w:val="none" w:sz="0" w:space="0" w:color="auto"/>
                            <w:bottom w:val="none" w:sz="0" w:space="0" w:color="auto"/>
                            <w:right w:val="none" w:sz="0" w:space="0" w:color="auto"/>
                          </w:divBdr>
                        </w:div>
                        <w:div w:id="1375618348">
                          <w:marLeft w:val="0"/>
                          <w:marRight w:val="0"/>
                          <w:marTop w:val="0"/>
                          <w:marBottom w:val="0"/>
                          <w:divBdr>
                            <w:top w:val="none" w:sz="0" w:space="0" w:color="auto"/>
                            <w:left w:val="none" w:sz="0" w:space="0" w:color="auto"/>
                            <w:bottom w:val="none" w:sz="0" w:space="0" w:color="auto"/>
                            <w:right w:val="none" w:sz="0" w:space="0" w:color="auto"/>
                          </w:divBdr>
                        </w:div>
                      </w:divsChild>
                    </w:div>
                    <w:div w:id="1775636064">
                      <w:marLeft w:val="0"/>
                      <w:marRight w:val="0"/>
                      <w:marTop w:val="0"/>
                      <w:marBottom w:val="0"/>
                      <w:divBdr>
                        <w:top w:val="none" w:sz="0" w:space="0" w:color="auto"/>
                        <w:left w:val="none" w:sz="0" w:space="0" w:color="auto"/>
                        <w:bottom w:val="none" w:sz="0" w:space="0" w:color="auto"/>
                        <w:right w:val="none" w:sz="0" w:space="0" w:color="auto"/>
                      </w:divBdr>
                    </w:div>
                    <w:div w:id="85206">
                      <w:marLeft w:val="0"/>
                      <w:marRight w:val="0"/>
                      <w:marTop w:val="0"/>
                      <w:marBottom w:val="0"/>
                      <w:divBdr>
                        <w:top w:val="none" w:sz="0" w:space="0" w:color="auto"/>
                        <w:left w:val="none" w:sz="0" w:space="0" w:color="auto"/>
                        <w:bottom w:val="none" w:sz="0" w:space="0" w:color="auto"/>
                        <w:right w:val="none" w:sz="0" w:space="0" w:color="auto"/>
                      </w:divBdr>
                    </w:div>
                    <w:div w:id="1575235485">
                      <w:marLeft w:val="0"/>
                      <w:marRight w:val="0"/>
                      <w:marTop w:val="0"/>
                      <w:marBottom w:val="0"/>
                      <w:divBdr>
                        <w:top w:val="none" w:sz="0" w:space="0" w:color="auto"/>
                        <w:left w:val="none" w:sz="0" w:space="0" w:color="auto"/>
                        <w:bottom w:val="none" w:sz="0" w:space="0" w:color="auto"/>
                        <w:right w:val="none" w:sz="0" w:space="0" w:color="auto"/>
                      </w:divBdr>
                    </w:div>
                    <w:div w:id="709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6475">
              <w:marLeft w:val="0"/>
              <w:marRight w:val="0"/>
              <w:marTop w:val="0"/>
              <w:marBottom w:val="0"/>
              <w:divBdr>
                <w:top w:val="none" w:sz="0" w:space="0" w:color="auto"/>
                <w:left w:val="none" w:sz="0" w:space="0" w:color="auto"/>
                <w:bottom w:val="none" w:sz="0" w:space="0" w:color="auto"/>
                <w:right w:val="none" w:sz="0" w:space="0" w:color="auto"/>
              </w:divBdr>
            </w:div>
          </w:divsChild>
        </w:div>
        <w:div w:id="600988859">
          <w:marLeft w:val="0"/>
          <w:marRight w:val="0"/>
          <w:marTop w:val="0"/>
          <w:marBottom w:val="0"/>
          <w:divBdr>
            <w:top w:val="none" w:sz="0" w:space="0" w:color="auto"/>
            <w:left w:val="none" w:sz="0" w:space="0" w:color="auto"/>
            <w:bottom w:val="none" w:sz="0" w:space="0" w:color="auto"/>
            <w:right w:val="none" w:sz="0" w:space="0" w:color="auto"/>
          </w:divBdr>
          <w:divsChild>
            <w:div w:id="2010326432">
              <w:marLeft w:val="0"/>
              <w:marRight w:val="0"/>
              <w:marTop w:val="0"/>
              <w:marBottom w:val="0"/>
              <w:divBdr>
                <w:top w:val="none" w:sz="0" w:space="0" w:color="auto"/>
                <w:left w:val="none" w:sz="0" w:space="0" w:color="auto"/>
                <w:bottom w:val="none" w:sz="0" w:space="0" w:color="auto"/>
                <w:right w:val="none" w:sz="0" w:space="0" w:color="auto"/>
              </w:divBdr>
              <w:divsChild>
                <w:div w:id="297732123">
                  <w:marLeft w:val="0"/>
                  <w:marRight w:val="0"/>
                  <w:marTop w:val="0"/>
                  <w:marBottom w:val="0"/>
                  <w:divBdr>
                    <w:top w:val="none" w:sz="0" w:space="0" w:color="auto"/>
                    <w:left w:val="none" w:sz="0" w:space="0" w:color="auto"/>
                    <w:bottom w:val="none" w:sz="0" w:space="0" w:color="auto"/>
                    <w:right w:val="none" w:sz="0" w:space="0" w:color="auto"/>
                  </w:divBdr>
                </w:div>
              </w:divsChild>
            </w:div>
            <w:div w:id="11107498">
              <w:marLeft w:val="0"/>
              <w:marRight w:val="0"/>
              <w:marTop w:val="0"/>
              <w:marBottom w:val="0"/>
              <w:divBdr>
                <w:top w:val="none" w:sz="0" w:space="0" w:color="auto"/>
                <w:left w:val="none" w:sz="0" w:space="0" w:color="auto"/>
                <w:bottom w:val="none" w:sz="0" w:space="0" w:color="auto"/>
                <w:right w:val="none" w:sz="0" w:space="0" w:color="auto"/>
              </w:divBdr>
            </w:div>
          </w:divsChild>
        </w:div>
        <w:div w:id="113838801">
          <w:marLeft w:val="0"/>
          <w:marRight w:val="0"/>
          <w:marTop w:val="0"/>
          <w:marBottom w:val="0"/>
          <w:divBdr>
            <w:top w:val="none" w:sz="0" w:space="0" w:color="auto"/>
            <w:left w:val="none" w:sz="0" w:space="0" w:color="auto"/>
            <w:bottom w:val="none" w:sz="0" w:space="0" w:color="auto"/>
            <w:right w:val="none" w:sz="0" w:space="0" w:color="auto"/>
          </w:divBdr>
        </w:div>
        <w:div w:id="141317615">
          <w:marLeft w:val="0"/>
          <w:marRight w:val="0"/>
          <w:marTop w:val="0"/>
          <w:marBottom w:val="0"/>
          <w:divBdr>
            <w:top w:val="none" w:sz="0" w:space="0" w:color="auto"/>
            <w:left w:val="none" w:sz="0" w:space="0" w:color="auto"/>
            <w:bottom w:val="none" w:sz="0" w:space="0" w:color="auto"/>
            <w:right w:val="none" w:sz="0" w:space="0" w:color="auto"/>
          </w:divBdr>
        </w:div>
        <w:div w:id="1426684242">
          <w:marLeft w:val="0"/>
          <w:marRight w:val="0"/>
          <w:marTop w:val="0"/>
          <w:marBottom w:val="0"/>
          <w:divBdr>
            <w:top w:val="none" w:sz="0" w:space="0" w:color="auto"/>
            <w:left w:val="none" w:sz="0" w:space="0" w:color="auto"/>
            <w:bottom w:val="none" w:sz="0" w:space="0" w:color="auto"/>
            <w:right w:val="none" w:sz="0" w:space="0" w:color="auto"/>
          </w:divBdr>
          <w:divsChild>
            <w:div w:id="1211187287">
              <w:marLeft w:val="0"/>
              <w:marRight w:val="0"/>
              <w:marTop w:val="0"/>
              <w:marBottom w:val="0"/>
              <w:divBdr>
                <w:top w:val="none" w:sz="0" w:space="0" w:color="auto"/>
                <w:left w:val="none" w:sz="0" w:space="0" w:color="auto"/>
                <w:bottom w:val="none" w:sz="0" w:space="0" w:color="auto"/>
                <w:right w:val="none" w:sz="0" w:space="0" w:color="auto"/>
              </w:divBdr>
              <w:divsChild>
                <w:div w:id="16784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4260">
          <w:marLeft w:val="0"/>
          <w:marRight w:val="0"/>
          <w:marTop w:val="0"/>
          <w:marBottom w:val="0"/>
          <w:divBdr>
            <w:top w:val="none" w:sz="0" w:space="0" w:color="auto"/>
            <w:left w:val="none" w:sz="0" w:space="0" w:color="auto"/>
            <w:bottom w:val="none" w:sz="0" w:space="0" w:color="auto"/>
            <w:right w:val="none" w:sz="0" w:space="0" w:color="auto"/>
          </w:divBdr>
          <w:divsChild>
            <w:div w:id="1008873906">
              <w:marLeft w:val="0"/>
              <w:marRight w:val="0"/>
              <w:marTop w:val="0"/>
              <w:marBottom w:val="0"/>
              <w:divBdr>
                <w:top w:val="none" w:sz="0" w:space="0" w:color="auto"/>
                <w:left w:val="none" w:sz="0" w:space="0" w:color="auto"/>
                <w:bottom w:val="none" w:sz="0" w:space="0" w:color="auto"/>
                <w:right w:val="none" w:sz="0" w:space="0" w:color="auto"/>
              </w:divBdr>
              <w:divsChild>
                <w:div w:id="1018577479">
                  <w:marLeft w:val="0"/>
                  <w:marRight w:val="0"/>
                  <w:marTop w:val="0"/>
                  <w:marBottom w:val="0"/>
                  <w:divBdr>
                    <w:top w:val="none" w:sz="0" w:space="0" w:color="auto"/>
                    <w:left w:val="none" w:sz="0" w:space="0" w:color="auto"/>
                    <w:bottom w:val="none" w:sz="0" w:space="0" w:color="auto"/>
                    <w:right w:val="none" w:sz="0" w:space="0" w:color="auto"/>
                  </w:divBdr>
                  <w:divsChild>
                    <w:div w:id="451635867">
                      <w:marLeft w:val="0"/>
                      <w:marRight w:val="0"/>
                      <w:marTop w:val="0"/>
                      <w:marBottom w:val="0"/>
                      <w:divBdr>
                        <w:top w:val="none" w:sz="0" w:space="0" w:color="auto"/>
                        <w:left w:val="none" w:sz="0" w:space="0" w:color="auto"/>
                        <w:bottom w:val="none" w:sz="0" w:space="0" w:color="auto"/>
                        <w:right w:val="none" w:sz="0" w:space="0" w:color="auto"/>
                      </w:divBdr>
                    </w:div>
                    <w:div w:id="1529488337">
                      <w:marLeft w:val="0"/>
                      <w:marRight w:val="0"/>
                      <w:marTop w:val="0"/>
                      <w:marBottom w:val="0"/>
                      <w:divBdr>
                        <w:top w:val="none" w:sz="0" w:space="0" w:color="auto"/>
                        <w:left w:val="none" w:sz="0" w:space="0" w:color="auto"/>
                        <w:bottom w:val="none" w:sz="0" w:space="0" w:color="auto"/>
                        <w:right w:val="none" w:sz="0" w:space="0" w:color="auto"/>
                      </w:divBdr>
                    </w:div>
                    <w:div w:id="539830210">
                      <w:marLeft w:val="0"/>
                      <w:marRight w:val="0"/>
                      <w:marTop w:val="0"/>
                      <w:marBottom w:val="0"/>
                      <w:divBdr>
                        <w:top w:val="none" w:sz="0" w:space="0" w:color="auto"/>
                        <w:left w:val="none" w:sz="0" w:space="0" w:color="auto"/>
                        <w:bottom w:val="none" w:sz="0" w:space="0" w:color="auto"/>
                        <w:right w:val="none" w:sz="0" w:space="0" w:color="auto"/>
                      </w:divBdr>
                    </w:div>
                    <w:div w:id="1594971059">
                      <w:marLeft w:val="0"/>
                      <w:marRight w:val="0"/>
                      <w:marTop w:val="0"/>
                      <w:marBottom w:val="0"/>
                      <w:divBdr>
                        <w:top w:val="none" w:sz="0" w:space="0" w:color="auto"/>
                        <w:left w:val="none" w:sz="0" w:space="0" w:color="auto"/>
                        <w:bottom w:val="none" w:sz="0" w:space="0" w:color="auto"/>
                        <w:right w:val="none" w:sz="0" w:space="0" w:color="auto"/>
                      </w:divBdr>
                    </w:div>
                    <w:div w:id="6308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41996">
          <w:marLeft w:val="0"/>
          <w:marRight w:val="0"/>
          <w:marTop w:val="0"/>
          <w:marBottom w:val="0"/>
          <w:divBdr>
            <w:top w:val="none" w:sz="0" w:space="0" w:color="auto"/>
            <w:left w:val="none" w:sz="0" w:space="0" w:color="auto"/>
            <w:bottom w:val="none" w:sz="0" w:space="0" w:color="auto"/>
            <w:right w:val="none" w:sz="0" w:space="0" w:color="auto"/>
          </w:divBdr>
          <w:divsChild>
            <w:div w:id="268969386">
              <w:marLeft w:val="0"/>
              <w:marRight w:val="0"/>
              <w:marTop w:val="0"/>
              <w:marBottom w:val="0"/>
              <w:divBdr>
                <w:top w:val="none" w:sz="0" w:space="0" w:color="auto"/>
                <w:left w:val="none" w:sz="0" w:space="0" w:color="auto"/>
                <w:bottom w:val="none" w:sz="0" w:space="0" w:color="auto"/>
                <w:right w:val="none" w:sz="0" w:space="0" w:color="auto"/>
              </w:divBdr>
              <w:divsChild>
                <w:div w:id="5634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5007">
          <w:marLeft w:val="0"/>
          <w:marRight w:val="0"/>
          <w:marTop w:val="0"/>
          <w:marBottom w:val="0"/>
          <w:divBdr>
            <w:top w:val="none" w:sz="0" w:space="0" w:color="auto"/>
            <w:left w:val="none" w:sz="0" w:space="0" w:color="auto"/>
            <w:bottom w:val="none" w:sz="0" w:space="0" w:color="auto"/>
            <w:right w:val="none" w:sz="0" w:space="0" w:color="auto"/>
          </w:divBdr>
          <w:divsChild>
            <w:div w:id="1515728433">
              <w:marLeft w:val="0"/>
              <w:marRight w:val="0"/>
              <w:marTop w:val="0"/>
              <w:marBottom w:val="0"/>
              <w:divBdr>
                <w:top w:val="none" w:sz="0" w:space="0" w:color="auto"/>
                <w:left w:val="none" w:sz="0" w:space="0" w:color="auto"/>
                <w:bottom w:val="none" w:sz="0" w:space="0" w:color="auto"/>
                <w:right w:val="none" w:sz="0" w:space="0" w:color="auto"/>
              </w:divBdr>
              <w:divsChild>
                <w:div w:id="11016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3912">
          <w:marLeft w:val="0"/>
          <w:marRight w:val="0"/>
          <w:marTop w:val="0"/>
          <w:marBottom w:val="0"/>
          <w:divBdr>
            <w:top w:val="none" w:sz="0" w:space="0" w:color="auto"/>
            <w:left w:val="none" w:sz="0" w:space="0" w:color="auto"/>
            <w:bottom w:val="none" w:sz="0" w:space="0" w:color="auto"/>
            <w:right w:val="none" w:sz="0" w:space="0" w:color="auto"/>
          </w:divBdr>
          <w:divsChild>
            <w:div w:id="1655790702">
              <w:marLeft w:val="0"/>
              <w:marRight w:val="0"/>
              <w:marTop w:val="0"/>
              <w:marBottom w:val="0"/>
              <w:divBdr>
                <w:top w:val="none" w:sz="0" w:space="0" w:color="auto"/>
                <w:left w:val="none" w:sz="0" w:space="0" w:color="auto"/>
                <w:bottom w:val="none" w:sz="0" w:space="0" w:color="auto"/>
                <w:right w:val="none" w:sz="0" w:space="0" w:color="auto"/>
              </w:divBdr>
              <w:divsChild>
                <w:div w:id="19790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4758">
          <w:marLeft w:val="0"/>
          <w:marRight w:val="0"/>
          <w:marTop w:val="0"/>
          <w:marBottom w:val="0"/>
          <w:divBdr>
            <w:top w:val="none" w:sz="0" w:space="0" w:color="auto"/>
            <w:left w:val="none" w:sz="0" w:space="0" w:color="auto"/>
            <w:bottom w:val="none" w:sz="0" w:space="0" w:color="auto"/>
            <w:right w:val="none" w:sz="0" w:space="0" w:color="auto"/>
          </w:divBdr>
        </w:div>
        <w:div w:id="141582752">
          <w:marLeft w:val="0"/>
          <w:marRight w:val="0"/>
          <w:marTop w:val="0"/>
          <w:marBottom w:val="0"/>
          <w:divBdr>
            <w:top w:val="none" w:sz="0" w:space="0" w:color="auto"/>
            <w:left w:val="none" w:sz="0" w:space="0" w:color="auto"/>
            <w:bottom w:val="none" w:sz="0" w:space="0" w:color="auto"/>
            <w:right w:val="none" w:sz="0" w:space="0" w:color="auto"/>
          </w:divBdr>
        </w:div>
        <w:div w:id="64881434">
          <w:marLeft w:val="0"/>
          <w:marRight w:val="0"/>
          <w:marTop w:val="0"/>
          <w:marBottom w:val="0"/>
          <w:divBdr>
            <w:top w:val="none" w:sz="0" w:space="0" w:color="auto"/>
            <w:left w:val="none" w:sz="0" w:space="0" w:color="auto"/>
            <w:bottom w:val="none" w:sz="0" w:space="0" w:color="auto"/>
            <w:right w:val="none" w:sz="0" w:space="0" w:color="auto"/>
          </w:divBdr>
          <w:divsChild>
            <w:div w:id="1482849292">
              <w:marLeft w:val="0"/>
              <w:marRight w:val="0"/>
              <w:marTop w:val="0"/>
              <w:marBottom w:val="0"/>
              <w:divBdr>
                <w:top w:val="none" w:sz="0" w:space="0" w:color="auto"/>
                <w:left w:val="none" w:sz="0" w:space="0" w:color="auto"/>
                <w:bottom w:val="none" w:sz="0" w:space="0" w:color="auto"/>
                <w:right w:val="none" w:sz="0" w:space="0" w:color="auto"/>
              </w:divBdr>
              <w:divsChild>
                <w:div w:id="12471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5234">
          <w:marLeft w:val="0"/>
          <w:marRight w:val="0"/>
          <w:marTop w:val="0"/>
          <w:marBottom w:val="0"/>
          <w:divBdr>
            <w:top w:val="none" w:sz="0" w:space="0" w:color="auto"/>
            <w:left w:val="none" w:sz="0" w:space="0" w:color="auto"/>
            <w:bottom w:val="none" w:sz="0" w:space="0" w:color="auto"/>
            <w:right w:val="none" w:sz="0" w:space="0" w:color="auto"/>
          </w:divBdr>
          <w:divsChild>
            <w:div w:id="1950240016">
              <w:marLeft w:val="0"/>
              <w:marRight w:val="0"/>
              <w:marTop w:val="0"/>
              <w:marBottom w:val="0"/>
              <w:divBdr>
                <w:top w:val="none" w:sz="0" w:space="0" w:color="auto"/>
                <w:left w:val="none" w:sz="0" w:space="0" w:color="auto"/>
                <w:bottom w:val="none" w:sz="0" w:space="0" w:color="auto"/>
                <w:right w:val="none" w:sz="0" w:space="0" w:color="auto"/>
              </w:divBdr>
              <w:divsChild>
                <w:div w:id="1124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3289">
          <w:marLeft w:val="0"/>
          <w:marRight w:val="0"/>
          <w:marTop w:val="0"/>
          <w:marBottom w:val="0"/>
          <w:divBdr>
            <w:top w:val="none" w:sz="0" w:space="0" w:color="auto"/>
            <w:left w:val="none" w:sz="0" w:space="0" w:color="auto"/>
            <w:bottom w:val="none" w:sz="0" w:space="0" w:color="auto"/>
            <w:right w:val="none" w:sz="0" w:space="0" w:color="auto"/>
          </w:divBdr>
          <w:divsChild>
            <w:div w:id="1438327107">
              <w:marLeft w:val="0"/>
              <w:marRight w:val="0"/>
              <w:marTop w:val="0"/>
              <w:marBottom w:val="0"/>
              <w:divBdr>
                <w:top w:val="none" w:sz="0" w:space="0" w:color="auto"/>
                <w:left w:val="none" w:sz="0" w:space="0" w:color="auto"/>
                <w:bottom w:val="none" w:sz="0" w:space="0" w:color="auto"/>
                <w:right w:val="none" w:sz="0" w:space="0" w:color="auto"/>
              </w:divBdr>
              <w:divsChild>
                <w:div w:id="1242527981">
                  <w:marLeft w:val="0"/>
                  <w:marRight w:val="0"/>
                  <w:marTop w:val="0"/>
                  <w:marBottom w:val="0"/>
                  <w:divBdr>
                    <w:top w:val="none" w:sz="0" w:space="0" w:color="auto"/>
                    <w:left w:val="none" w:sz="0" w:space="0" w:color="auto"/>
                    <w:bottom w:val="none" w:sz="0" w:space="0" w:color="auto"/>
                    <w:right w:val="none" w:sz="0" w:space="0" w:color="auto"/>
                  </w:divBdr>
                  <w:divsChild>
                    <w:div w:id="1256864390">
                      <w:marLeft w:val="0"/>
                      <w:marRight w:val="0"/>
                      <w:marTop w:val="0"/>
                      <w:marBottom w:val="0"/>
                      <w:divBdr>
                        <w:top w:val="none" w:sz="0" w:space="0" w:color="auto"/>
                        <w:left w:val="none" w:sz="0" w:space="0" w:color="auto"/>
                        <w:bottom w:val="none" w:sz="0" w:space="0" w:color="auto"/>
                        <w:right w:val="none" w:sz="0" w:space="0" w:color="auto"/>
                      </w:divBdr>
                    </w:div>
                    <w:div w:id="1259219538">
                      <w:marLeft w:val="0"/>
                      <w:marRight w:val="0"/>
                      <w:marTop w:val="0"/>
                      <w:marBottom w:val="0"/>
                      <w:divBdr>
                        <w:top w:val="none" w:sz="0" w:space="0" w:color="auto"/>
                        <w:left w:val="none" w:sz="0" w:space="0" w:color="auto"/>
                        <w:bottom w:val="none" w:sz="0" w:space="0" w:color="auto"/>
                        <w:right w:val="none" w:sz="0" w:space="0" w:color="auto"/>
                      </w:divBdr>
                    </w:div>
                    <w:div w:id="686559102">
                      <w:marLeft w:val="0"/>
                      <w:marRight w:val="0"/>
                      <w:marTop w:val="0"/>
                      <w:marBottom w:val="0"/>
                      <w:divBdr>
                        <w:top w:val="none" w:sz="0" w:space="0" w:color="auto"/>
                        <w:left w:val="none" w:sz="0" w:space="0" w:color="auto"/>
                        <w:bottom w:val="none" w:sz="0" w:space="0" w:color="auto"/>
                        <w:right w:val="none" w:sz="0" w:space="0" w:color="auto"/>
                      </w:divBdr>
                    </w:div>
                    <w:div w:id="16319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5343">
          <w:marLeft w:val="0"/>
          <w:marRight w:val="0"/>
          <w:marTop w:val="0"/>
          <w:marBottom w:val="0"/>
          <w:divBdr>
            <w:top w:val="none" w:sz="0" w:space="0" w:color="auto"/>
            <w:left w:val="none" w:sz="0" w:space="0" w:color="auto"/>
            <w:bottom w:val="none" w:sz="0" w:space="0" w:color="auto"/>
            <w:right w:val="none" w:sz="0" w:space="0" w:color="auto"/>
          </w:divBdr>
          <w:divsChild>
            <w:div w:id="696584412">
              <w:marLeft w:val="0"/>
              <w:marRight w:val="0"/>
              <w:marTop w:val="0"/>
              <w:marBottom w:val="0"/>
              <w:divBdr>
                <w:top w:val="none" w:sz="0" w:space="0" w:color="auto"/>
                <w:left w:val="none" w:sz="0" w:space="0" w:color="auto"/>
                <w:bottom w:val="none" w:sz="0" w:space="0" w:color="auto"/>
                <w:right w:val="none" w:sz="0" w:space="0" w:color="auto"/>
              </w:divBdr>
              <w:divsChild>
                <w:div w:id="1194198054">
                  <w:marLeft w:val="0"/>
                  <w:marRight w:val="0"/>
                  <w:marTop w:val="0"/>
                  <w:marBottom w:val="0"/>
                  <w:divBdr>
                    <w:top w:val="none" w:sz="0" w:space="0" w:color="auto"/>
                    <w:left w:val="none" w:sz="0" w:space="0" w:color="auto"/>
                    <w:bottom w:val="none" w:sz="0" w:space="0" w:color="auto"/>
                    <w:right w:val="none" w:sz="0" w:space="0" w:color="auto"/>
                  </w:divBdr>
                  <w:divsChild>
                    <w:div w:id="1955208538">
                      <w:marLeft w:val="0"/>
                      <w:marRight w:val="0"/>
                      <w:marTop w:val="0"/>
                      <w:marBottom w:val="0"/>
                      <w:divBdr>
                        <w:top w:val="none" w:sz="0" w:space="0" w:color="auto"/>
                        <w:left w:val="none" w:sz="0" w:space="0" w:color="auto"/>
                        <w:bottom w:val="none" w:sz="0" w:space="0" w:color="auto"/>
                        <w:right w:val="none" w:sz="0" w:space="0" w:color="auto"/>
                      </w:divBdr>
                    </w:div>
                    <w:div w:id="635988122">
                      <w:marLeft w:val="0"/>
                      <w:marRight w:val="0"/>
                      <w:marTop w:val="0"/>
                      <w:marBottom w:val="0"/>
                      <w:divBdr>
                        <w:top w:val="none" w:sz="0" w:space="0" w:color="auto"/>
                        <w:left w:val="none" w:sz="0" w:space="0" w:color="auto"/>
                        <w:bottom w:val="none" w:sz="0" w:space="0" w:color="auto"/>
                        <w:right w:val="none" w:sz="0" w:space="0" w:color="auto"/>
                      </w:divBdr>
                    </w:div>
                    <w:div w:id="158546551">
                      <w:marLeft w:val="0"/>
                      <w:marRight w:val="0"/>
                      <w:marTop w:val="0"/>
                      <w:marBottom w:val="0"/>
                      <w:divBdr>
                        <w:top w:val="none" w:sz="0" w:space="0" w:color="auto"/>
                        <w:left w:val="none" w:sz="0" w:space="0" w:color="auto"/>
                        <w:bottom w:val="none" w:sz="0" w:space="0" w:color="auto"/>
                        <w:right w:val="none" w:sz="0" w:space="0" w:color="auto"/>
                      </w:divBdr>
                    </w:div>
                    <w:div w:id="284503895">
                      <w:marLeft w:val="0"/>
                      <w:marRight w:val="0"/>
                      <w:marTop w:val="0"/>
                      <w:marBottom w:val="0"/>
                      <w:divBdr>
                        <w:top w:val="none" w:sz="0" w:space="0" w:color="auto"/>
                        <w:left w:val="none" w:sz="0" w:space="0" w:color="auto"/>
                        <w:bottom w:val="none" w:sz="0" w:space="0" w:color="auto"/>
                        <w:right w:val="none" w:sz="0" w:space="0" w:color="auto"/>
                      </w:divBdr>
                    </w:div>
                    <w:div w:id="9020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7197">
          <w:marLeft w:val="0"/>
          <w:marRight w:val="0"/>
          <w:marTop w:val="0"/>
          <w:marBottom w:val="0"/>
          <w:divBdr>
            <w:top w:val="none" w:sz="0" w:space="0" w:color="auto"/>
            <w:left w:val="none" w:sz="0" w:space="0" w:color="auto"/>
            <w:bottom w:val="none" w:sz="0" w:space="0" w:color="auto"/>
            <w:right w:val="none" w:sz="0" w:space="0" w:color="auto"/>
          </w:divBdr>
          <w:divsChild>
            <w:div w:id="1823157728">
              <w:marLeft w:val="0"/>
              <w:marRight w:val="0"/>
              <w:marTop w:val="0"/>
              <w:marBottom w:val="0"/>
              <w:divBdr>
                <w:top w:val="none" w:sz="0" w:space="0" w:color="auto"/>
                <w:left w:val="none" w:sz="0" w:space="0" w:color="auto"/>
                <w:bottom w:val="none" w:sz="0" w:space="0" w:color="auto"/>
                <w:right w:val="none" w:sz="0" w:space="0" w:color="auto"/>
              </w:divBdr>
              <w:divsChild>
                <w:div w:id="11809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2496">
          <w:marLeft w:val="0"/>
          <w:marRight w:val="0"/>
          <w:marTop w:val="0"/>
          <w:marBottom w:val="0"/>
          <w:divBdr>
            <w:top w:val="none" w:sz="0" w:space="0" w:color="auto"/>
            <w:left w:val="none" w:sz="0" w:space="0" w:color="auto"/>
            <w:bottom w:val="none" w:sz="0" w:space="0" w:color="auto"/>
            <w:right w:val="none" w:sz="0" w:space="0" w:color="auto"/>
          </w:divBdr>
          <w:divsChild>
            <w:div w:id="963773084">
              <w:marLeft w:val="0"/>
              <w:marRight w:val="0"/>
              <w:marTop w:val="0"/>
              <w:marBottom w:val="0"/>
              <w:divBdr>
                <w:top w:val="none" w:sz="0" w:space="0" w:color="auto"/>
                <w:left w:val="none" w:sz="0" w:space="0" w:color="auto"/>
                <w:bottom w:val="none" w:sz="0" w:space="0" w:color="auto"/>
                <w:right w:val="none" w:sz="0" w:space="0" w:color="auto"/>
              </w:divBdr>
              <w:divsChild>
                <w:div w:id="4891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2035">
          <w:marLeft w:val="0"/>
          <w:marRight w:val="0"/>
          <w:marTop w:val="0"/>
          <w:marBottom w:val="0"/>
          <w:divBdr>
            <w:top w:val="none" w:sz="0" w:space="0" w:color="auto"/>
            <w:left w:val="none" w:sz="0" w:space="0" w:color="auto"/>
            <w:bottom w:val="none" w:sz="0" w:space="0" w:color="auto"/>
            <w:right w:val="none" w:sz="0" w:space="0" w:color="auto"/>
          </w:divBdr>
          <w:divsChild>
            <w:div w:id="843203286">
              <w:marLeft w:val="0"/>
              <w:marRight w:val="0"/>
              <w:marTop w:val="0"/>
              <w:marBottom w:val="0"/>
              <w:divBdr>
                <w:top w:val="none" w:sz="0" w:space="0" w:color="auto"/>
                <w:left w:val="none" w:sz="0" w:space="0" w:color="auto"/>
                <w:bottom w:val="none" w:sz="0" w:space="0" w:color="auto"/>
                <w:right w:val="none" w:sz="0" w:space="0" w:color="auto"/>
              </w:divBdr>
              <w:divsChild>
                <w:div w:id="16053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7224">
          <w:marLeft w:val="0"/>
          <w:marRight w:val="0"/>
          <w:marTop w:val="0"/>
          <w:marBottom w:val="0"/>
          <w:divBdr>
            <w:top w:val="none" w:sz="0" w:space="0" w:color="auto"/>
            <w:left w:val="none" w:sz="0" w:space="0" w:color="auto"/>
            <w:bottom w:val="none" w:sz="0" w:space="0" w:color="auto"/>
            <w:right w:val="none" w:sz="0" w:space="0" w:color="auto"/>
          </w:divBdr>
          <w:divsChild>
            <w:div w:id="356154981">
              <w:marLeft w:val="0"/>
              <w:marRight w:val="0"/>
              <w:marTop w:val="0"/>
              <w:marBottom w:val="0"/>
              <w:divBdr>
                <w:top w:val="none" w:sz="0" w:space="0" w:color="auto"/>
                <w:left w:val="none" w:sz="0" w:space="0" w:color="auto"/>
                <w:bottom w:val="none" w:sz="0" w:space="0" w:color="auto"/>
                <w:right w:val="none" w:sz="0" w:space="0" w:color="auto"/>
              </w:divBdr>
              <w:divsChild>
                <w:div w:id="20347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7963">
          <w:marLeft w:val="0"/>
          <w:marRight w:val="0"/>
          <w:marTop w:val="0"/>
          <w:marBottom w:val="0"/>
          <w:divBdr>
            <w:top w:val="none" w:sz="0" w:space="0" w:color="auto"/>
            <w:left w:val="none" w:sz="0" w:space="0" w:color="auto"/>
            <w:bottom w:val="none" w:sz="0" w:space="0" w:color="auto"/>
            <w:right w:val="none" w:sz="0" w:space="0" w:color="auto"/>
          </w:divBdr>
          <w:divsChild>
            <w:div w:id="592861244">
              <w:marLeft w:val="0"/>
              <w:marRight w:val="0"/>
              <w:marTop w:val="0"/>
              <w:marBottom w:val="0"/>
              <w:divBdr>
                <w:top w:val="none" w:sz="0" w:space="0" w:color="auto"/>
                <w:left w:val="none" w:sz="0" w:space="0" w:color="auto"/>
                <w:bottom w:val="none" w:sz="0" w:space="0" w:color="auto"/>
                <w:right w:val="none" w:sz="0" w:space="0" w:color="auto"/>
              </w:divBdr>
              <w:divsChild>
                <w:div w:id="7459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9807">
          <w:marLeft w:val="0"/>
          <w:marRight w:val="0"/>
          <w:marTop w:val="0"/>
          <w:marBottom w:val="0"/>
          <w:divBdr>
            <w:top w:val="none" w:sz="0" w:space="0" w:color="auto"/>
            <w:left w:val="none" w:sz="0" w:space="0" w:color="auto"/>
            <w:bottom w:val="none" w:sz="0" w:space="0" w:color="auto"/>
            <w:right w:val="none" w:sz="0" w:space="0" w:color="auto"/>
          </w:divBdr>
        </w:div>
        <w:div w:id="2062628394">
          <w:marLeft w:val="0"/>
          <w:marRight w:val="0"/>
          <w:marTop w:val="0"/>
          <w:marBottom w:val="0"/>
          <w:divBdr>
            <w:top w:val="none" w:sz="0" w:space="0" w:color="auto"/>
            <w:left w:val="none" w:sz="0" w:space="0" w:color="auto"/>
            <w:bottom w:val="none" w:sz="0" w:space="0" w:color="auto"/>
            <w:right w:val="none" w:sz="0" w:space="0" w:color="auto"/>
          </w:divBdr>
          <w:divsChild>
            <w:div w:id="2040086295">
              <w:marLeft w:val="0"/>
              <w:marRight w:val="0"/>
              <w:marTop w:val="0"/>
              <w:marBottom w:val="0"/>
              <w:divBdr>
                <w:top w:val="none" w:sz="0" w:space="0" w:color="auto"/>
                <w:left w:val="none" w:sz="0" w:space="0" w:color="auto"/>
                <w:bottom w:val="none" w:sz="0" w:space="0" w:color="auto"/>
                <w:right w:val="none" w:sz="0" w:space="0" w:color="auto"/>
              </w:divBdr>
              <w:divsChild>
                <w:div w:id="16463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7593">
          <w:marLeft w:val="0"/>
          <w:marRight w:val="0"/>
          <w:marTop w:val="0"/>
          <w:marBottom w:val="0"/>
          <w:divBdr>
            <w:top w:val="none" w:sz="0" w:space="0" w:color="auto"/>
            <w:left w:val="none" w:sz="0" w:space="0" w:color="auto"/>
            <w:bottom w:val="none" w:sz="0" w:space="0" w:color="auto"/>
            <w:right w:val="none" w:sz="0" w:space="0" w:color="auto"/>
          </w:divBdr>
          <w:divsChild>
            <w:div w:id="1252818520">
              <w:marLeft w:val="0"/>
              <w:marRight w:val="0"/>
              <w:marTop w:val="0"/>
              <w:marBottom w:val="0"/>
              <w:divBdr>
                <w:top w:val="none" w:sz="0" w:space="0" w:color="auto"/>
                <w:left w:val="none" w:sz="0" w:space="0" w:color="auto"/>
                <w:bottom w:val="none" w:sz="0" w:space="0" w:color="auto"/>
                <w:right w:val="none" w:sz="0" w:space="0" w:color="auto"/>
              </w:divBdr>
              <w:divsChild>
                <w:div w:id="19903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7818">
          <w:marLeft w:val="0"/>
          <w:marRight w:val="0"/>
          <w:marTop w:val="0"/>
          <w:marBottom w:val="0"/>
          <w:divBdr>
            <w:top w:val="none" w:sz="0" w:space="0" w:color="auto"/>
            <w:left w:val="none" w:sz="0" w:space="0" w:color="auto"/>
            <w:bottom w:val="none" w:sz="0" w:space="0" w:color="auto"/>
            <w:right w:val="none" w:sz="0" w:space="0" w:color="auto"/>
          </w:divBdr>
          <w:divsChild>
            <w:div w:id="784738130">
              <w:marLeft w:val="0"/>
              <w:marRight w:val="0"/>
              <w:marTop w:val="0"/>
              <w:marBottom w:val="0"/>
              <w:divBdr>
                <w:top w:val="none" w:sz="0" w:space="0" w:color="auto"/>
                <w:left w:val="none" w:sz="0" w:space="0" w:color="auto"/>
                <w:bottom w:val="none" w:sz="0" w:space="0" w:color="auto"/>
                <w:right w:val="none" w:sz="0" w:space="0" w:color="auto"/>
              </w:divBdr>
              <w:divsChild>
                <w:div w:id="254897805">
                  <w:marLeft w:val="0"/>
                  <w:marRight w:val="0"/>
                  <w:marTop w:val="0"/>
                  <w:marBottom w:val="0"/>
                  <w:divBdr>
                    <w:top w:val="none" w:sz="0" w:space="0" w:color="auto"/>
                    <w:left w:val="none" w:sz="0" w:space="0" w:color="auto"/>
                    <w:bottom w:val="none" w:sz="0" w:space="0" w:color="auto"/>
                    <w:right w:val="none" w:sz="0" w:space="0" w:color="auto"/>
                  </w:divBdr>
                  <w:divsChild>
                    <w:div w:id="2086100707">
                      <w:marLeft w:val="0"/>
                      <w:marRight w:val="0"/>
                      <w:marTop w:val="0"/>
                      <w:marBottom w:val="0"/>
                      <w:divBdr>
                        <w:top w:val="none" w:sz="0" w:space="0" w:color="auto"/>
                        <w:left w:val="none" w:sz="0" w:space="0" w:color="auto"/>
                        <w:bottom w:val="none" w:sz="0" w:space="0" w:color="auto"/>
                        <w:right w:val="none" w:sz="0" w:space="0" w:color="auto"/>
                      </w:divBdr>
                    </w:div>
                    <w:div w:id="1534003626">
                      <w:marLeft w:val="0"/>
                      <w:marRight w:val="0"/>
                      <w:marTop w:val="0"/>
                      <w:marBottom w:val="0"/>
                      <w:divBdr>
                        <w:top w:val="none" w:sz="0" w:space="0" w:color="auto"/>
                        <w:left w:val="none" w:sz="0" w:space="0" w:color="auto"/>
                        <w:bottom w:val="none" w:sz="0" w:space="0" w:color="auto"/>
                        <w:right w:val="none" w:sz="0" w:space="0" w:color="auto"/>
                      </w:divBdr>
                    </w:div>
                    <w:div w:id="10535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729861">
          <w:marLeft w:val="0"/>
          <w:marRight w:val="0"/>
          <w:marTop w:val="0"/>
          <w:marBottom w:val="0"/>
          <w:divBdr>
            <w:top w:val="none" w:sz="0" w:space="0" w:color="auto"/>
            <w:left w:val="none" w:sz="0" w:space="0" w:color="auto"/>
            <w:bottom w:val="none" w:sz="0" w:space="0" w:color="auto"/>
            <w:right w:val="none" w:sz="0" w:space="0" w:color="auto"/>
          </w:divBdr>
          <w:divsChild>
            <w:div w:id="136148954">
              <w:marLeft w:val="0"/>
              <w:marRight w:val="0"/>
              <w:marTop w:val="0"/>
              <w:marBottom w:val="0"/>
              <w:divBdr>
                <w:top w:val="none" w:sz="0" w:space="0" w:color="auto"/>
                <w:left w:val="none" w:sz="0" w:space="0" w:color="auto"/>
                <w:bottom w:val="none" w:sz="0" w:space="0" w:color="auto"/>
                <w:right w:val="none" w:sz="0" w:space="0" w:color="auto"/>
              </w:divBdr>
              <w:divsChild>
                <w:div w:id="8105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2785">
          <w:marLeft w:val="0"/>
          <w:marRight w:val="0"/>
          <w:marTop w:val="0"/>
          <w:marBottom w:val="0"/>
          <w:divBdr>
            <w:top w:val="none" w:sz="0" w:space="0" w:color="auto"/>
            <w:left w:val="none" w:sz="0" w:space="0" w:color="auto"/>
            <w:bottom w:val="none" w:sz="0" w:space="0" w:color="auto"/>
            <w:right w:val="none" w:sz="0" w:space="0" w:color="auto"/>
          </w:divBdr>
          <w:divsChild>
            <w:div w:id="1458983639">
              <w:marLeft w:val="0"/>
              <w:marRight w:val="0"/>
              <w:marTop w:val="0"/>
              <w:marBottom w:val="0"/>
              <w:divBdr>
                <w:top w:val="none" w:sz="0" w:space="0" w:color="auto"/>
                <w:left w:val="none" w:sz="0" w:space="0" w:color="auto"/>
                <w:bottom w:val="none" w:sz="0" w:space="0" w:color="auto"/>
                <w:right w:val="none" w:sz="0" w:space="0" w:color="auto"/>
              </w:divBdr>
              <w:divsChild>
                <w:div w:id="1946107720">
                  <w:marLeft w:val="0"/>
                  <w:marRight w:val="0"/>
                  <w:marTop w:val="0"/>
                  <w:marBottom w:val="0"/>
                  <w:divBdr>
                    <w:top w:val="none" w:sz="0" w:space="0" w:color="auto"/>
                    <w:left w:val="none" w:sz="0" w:space="0" w:color="auto"/>
                    <w:bottom w:val="none" w:sz="0" w:space="0" w:color="auto"/>
                    <w:right w:val="none" w:sz="0" w:space="0" w:color="auto"/>
                  </w:divBdr>
                  <w:divsChild>
                    <w:div w:id="633370812">
                      <w:marLeft w:val="0"/>
                      <w:marRight w:val="0"/>
                      <w:marTop w:val="0"/>
                      <w:marBottom w:val="0"/>
                      <w:divBdr>
                        <w:top w:val="none" w:sz="0" w:space="0" w:color="auto"/>
                        <w:left w:val="none" w:sz="0" w:space="0" w:color="auto"/>
                        <w:bottom w:val="none" w:sz="0" w:space="0" w:color="auto"/>
                        <w:right w:val="none" w:sz="0" w:space="0" w:color="auto"/>
                      </w:divBdr>
                      <w:divsChild>
                        <w:div w:id="947547758">
                          <w:marLeft w:val="0"/>
                          <w:marRight w:val="0"/>
                          <w:marTop w:val="0"/>
                          <w:marBottom w:val="0"/>
                          <w:divBdr>
                            <w:top w:val="none" w:sz="0" w:space="0" w:color="auto"/>
                            <w:left w:val="none" w:sz="0" w:space="0" w:color="auto"/>
                            <w:bottom w:val="none" w:sz="0" w:space="0" w:color="auto"/>
                            <w:right w:val="none" w:sz="0" w:space="0" w:color="auto"/>
                          </w:divBdr>
                          <w:divsChild>
                            <w:div w:id="1482497813">
                              <w:marLeft w:val="0"/>
                              <w:marRight w:val="0"/>
                              <w:marTop w:val="0"/>
                              <w:marBottom w:val="0"/>
                              <w:divBdr>
                                <w:top w:val="none" w:sz="0" w:space="0" w:color="auto"/>
                                <w:left w:val="none" w:sz="0" w:space="0" w:color="auto"/>
                                <w:bottom w:val="none" w:sz="0" w:space="0" w:color="auto"/>
                                <w:right w:val="none" w:sz="0" w:space="0" w:color="auto"/>
                              </w:divBdr>
                            </w:div>
                            <w:div w:id="149058219">
                              <w:marLeft w:val="0"/>
                              <w:marRight w:val="0"/>
                              <w:marTop w:val="0"/>
                              <w:marBottom w:val="0"/>
                              <w:divBdr>
                                <w:top w:val="none" w:sz="0" w:space="0" w:color="auto"/>
                                <w:left w:val="none" w:sz="0" w:space="0" w:color="auto"/>
                                <w:bottom w:val="none" w:sz="0" w:space="0" w:color="auto"/>
                                <w:right w:val="none" w:sz="0" w:space="0" w:color="auto"/>
                              </w:divBdr>
                            </w:div>
                            <w:div w:id="735662112">
                              <w:marLeft w:val="0"/>
                              <w:marRight w:val="0"/>
                              <w:marTop w:val="0"/>
                              <w:marBottom w:val="0"/>
                              <w:divBdr>
                                <w:top w:val="none" w:sz="0" w:space="0" w:color="auto"/>
                                <w:left w:val="none" w:sz="0" w:space="0" w:color="auto"/>
                                <w:bottom w:val="none" w:sz="0" w:space="0" w:color="auto"/>
                                <w:right w:val="none" w:sz="0" w:space="0" w:color="auto"/>
                              </w:divBdr>
                            </w:div>
                            <w:div w:id="2143306630">
                              <w:marLeft w:val="0"/>
                              <w:marRight w:val="0"/>
                              <w:marTop w:val="0"/>
                              <w:marBottom w:val="0"/>
                              <w:divBdr>
                                <w:top w:val="none" w:sz="0" w:space="0" w:color="auto"/>
                                <w:left w:val="none" w:sz="0" w:space="0" w:color="auto"/>
                                <w:bottom w:val="none" w:sz="0" w:space="0" w:color="auto"/>
                                <w:right w:val="none" w:sz="0" w:space="0" w:color="auto"/>
                              </w:divBdr>
                            </w:div>
                            <w:div w:id="38167015">
                              <w:marLeft w:val="0"/>
                              <w:marRight w:val="0"/>
                              <w:marTop w:val="0"/>
                              <w:marBottom w:val="0"/>
                              <w:divBdr>
                                <w:top w:val="none" w:sz="0" w:space="0" w:color="auto"/>
                                <w:left w:val="none" w:sz="0" w:space="0" w:color="auto"/>
                                <w:bottom w:val="none" w:sz="0" w:space="0" w:color="auto"/>
                                <w:right w:val="none" w:sz="0" w:space="0" w:color="auto"/>
                              </w:divBdr>
                            </w:div>
                            <w:div w:id="172571335">
                              <w:marLeft w:val="0"/>
                              <w:marRight w:val="0"/>
                              <w:marTop w:val="0"/>
                              <w:marBottom w:val="0"/>
                              <w:divBdr>
                                <w:top w:val="none" w:sz="0" w:space="0" w:color="auto"/>
                                <w:left w:val="none" w:sz="0" w:space="0" w:color="auto"/>
                                <w:bottom w:val="none" w:sz="0" w:space="0" w:color="auto"/>
                                <w:right w:val="none" w:sz="0" w:space="0" w:color="auto"/>
                              </w:divBdr>
                            </w:div>
                            <w:div w:id="122121464">
                              <w:marLeft w:val="0"/>
                              <w:marRight w:val="0"/>
                              <w:marTop w:val="0"/>
                              <w:marBottom w:val="0"/>
                              <w:divBdr>
                                <w:top w:val="none" w:sz="0" w:space="0" w:color="auto"/>
                                <w:left w:val="none" w:sz="0" w:space="0" w:color="auto"/>
                                <w:bottom w:val="none" w:sz="0" w:space="0" w:color="auto"/>
                                <w:right w:val="none" w:sz="0" w:space="0" w:color="auto"/>
                              </w:divBdr>
                            </w:div>
                            <w:div w:id="2837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01237">
                      <w:marLeft w:val="0"/>
                      <w:marRight w:val="0"/>
                      <w:marTop w:val="0"/>
                      <w:marBottom w:val="0"/>
                      <w:divBdr>
                        <w:top w:val="none" w:sz="0" w:space="0" w:color="auto"/>
                        <w:left w:val="none" w:sz="0" w:space="0" w:color="auto"/>
                        <w:bottom w:val="none" w:sz="0" w:space="0" w:color="auto"/>
                        <w:right w:val="none" w:sz="0" w:space="0" w:color="auto"/>
                      </w:divBdr>
                      <w:divsChild>
                        <w:div w:id="480654134">
                          <w:marLeft w:val="0"/>
                          <w:marRight w:val="0"/>
                          <w:marTop w:val="0"/>
                          <w:marBottom w:val="0"/>
                          <w:divBdr>
                            <w:top w:val="none" w:sz="0" w:space="0" w:color="auto"/>
                            <w:left w:val="none" w:sz="0" w:space="0" w:color="auto"/>
                            <w:bottom w:val="none" w:sz="0" w:space="0" w:color="auto"/>
                            <w:right w:val="none" w:sz="0" w:space="0" w:color="auto"/>
                          </w:divBdr>
                          <w:divsChild>
                            <w:div w:id="8494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243391">
          <w:marLeft w:val="0"/>
          <w:marRight w:val="0"/>
          <w:marTop w:val="0"/>
          <w:marBottom w:val="0"/>
          <w:divBdr>
            <w:top w:val="none" w:sz="0" w:space="0" w:color="auto"/>
            <w:left w:val="none" w:sz="0" w:space="0" w:color="auto"/>
            <w:bottom w:val="none" w:sz="0" w:space="0" w:color="auto"/>
            <w:right w:val="none" w:sz="0" w:space="0" w:color="auto"/>
          </w:divBdr>
          <w:divsChild>
            <w:div w:id="767042296">
              <w:marLeft w:val="0"/>
              <w:marRight w:val="0"/>
              <w:marTop w:val="0"/>
              <w:marBottom w:val="0"/>
              <w:divBdr>
                <w:top w:val="none" w:sz="0" w:space="0" w:color="auto"/>
                <w:left w:val="none" w:sz="0" w:space="0" w:color="auto"/>
                <w:bottom w:val="none" w:sz="0" w:space="0" w:color="auto"/>
                <w:right w:val="none" w:sz="0" w:space="0" w:color="auto"/>
              </w:divBdr>
              <w:divsChild>
                <w:div w:id="15377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33938">
          <w:marLeft w:val="0"/>
          <w:marRight w:val="0"/>
          <w:marTop w:val="0"/>
          <w:marBottom w:val="0"/>
          <w:divBdr>
            <w:top w:val="none" w:sz="0" w:space="0" w:color="auto"/>
            <w:left w:val="none" w:sz="0" w:space="0" w:color="auto"/>
            <w:bottom w:val="none" w:sz="0" w:space="0" w:color="auto"/>
            <w:right w:val="none" w:sz="0" w:space="0" w:color="auto"/>
          </w:divBdr>
          <w:divsChild>
            <w:div w:id="498352135">
              <w:marLeft w:val="0"/>
              <w:marRight w:val="0"/>
              <w:marTop w:val="0"/>
              <w:marBottom w:val="0"/>
              <w:divBdr>
                <w:top w:val="none" w:sz="0" w:space="0" w:color="auto"/>
                <w:left w:val="none" w:sz="0" w:space="0" w:color="auto"/>
                <w:bottom w:val="none" w:sz="0" w:space="0" w:color="auto"/>
                <w:right w:val="none" w:sz="0" w:space="0" w:color="auto"/>
              </w:divBdr>
              <w:divsChild>
                <w:div w:id="14058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8509">
          <w:marLeft w:val="0"/>
          <w:marRight w:val="0"/>
          <w:marTop w:val="0"/>
          <w:marBottom w:val="0"/>
          <w:divBdr>
            <w:top w:val="none" w:sz="0" w:space="0" w:color="auto"/>
            <w:left w:val="none" w:sz="0" w:space="0" w:color="auto"/>
            <w:bottom w:val="none" w:sz="0" w:space="0" w:color="auto"/>
            <w:right w:val="none" w:sz="0" w:space="0" w:color="auto"/>
          </w:divBdr>
          <w:divsChild>
            <w:div w:id="62262472">
              <w:marLeft w:val="0"/>
              <w:marRight w:val="0"/>
              <w:marTop w:val="0"/>
              <w:marBottom w:val="0"/>
              <w:divBdr>
                <w:top w:val="none" w:sz="0" w:space="0" w:color="auto"/>
                <w:left w:val="none" w:sz="0" w:space="0" w:color="auto"/>
                <w:bottom w:val="none" w:sz="0" w:space="0" w:color="auto"/>
                <w:right w:val="none" w:sz="0" w:space="0" w:color="auto"/>
              </w:divBdr>
              <w:divsChild>
                <w:div w:id="404106313">
                  <w:marLeft w:val="0"/>
                  <w:marRight w:val="0"/>
                  <w:marTop w:val="0"/>
                  <w:marBottom w:val="0"/>
                  <w:divBdr>
                    <w:top w:val="none" w:sz="0" w:space="0" w:color="auto"/>
                    <w:left w:val="none" w:sz="0" w:space="0" w:color="auto"/>
                    <w:bottom w:val="none" w:sz="0" w:space="0" w:color="auto"/>
                    <w:right w:val="none" w:sz="0" w:space="0" w:color="auto"/>
                  </w:divBdr>
                  <w:divsChild>
                    <w:div w:id="398596543">
                      <w:marLeft w:val="0"/>
                      <w:marRight w:val="0"/>
                      <w:marTop w:val="0"/>
                      <w:marBottom w:val="0"/>
                      <w:divBdr>
                        <w:top w:val="none" w:sz="0" w:space="0" w:color="auto"/>
                        <w:left w:val="none" w:sz="0" w:space="0" w:color="auto"/>
                        <w:bottom w:val="none" w:sz="0" w:space="0" w:color="auto"/>
                        <w:right w:val="none" w:sz="0" w:space="0" w:color="auto"/>
                      </w:divBdr>
                    </w:div>
                    <w:div w:id="1252155382">
                      <w:marLeft w:val="0"/>
                      <w:marRight w:val="0"/>
                      <w:marTop w:val="0"/>
                      <w:marBottom w:val="0"/>
                      <w:divBdr>
                        <w:top w:val="none" w:sz="0" w:space="0" w:color="auto"/>
                        <w:left w:val="none" w:sz="0" w:space="0" w:color="auto"/>
                        <w:bottom w:val="none" w:sz="0" w:space="0" w:color="auto"/>
                        <w:right w:val="none" w:sz="0" w:space="0" w:color="auto"/>
                      </w:divBdr>
                    </w:div>
                    <w:div w:id="292950192">
                      <w:marLeft w:val="0"/>
                      <w:marRight w:val="0"/>
                      <w:marTop w:val="0"/>
                      <w:marBottom w:val="0"/>
                      <w:divBdr>
                        <w:top w:val="none" w:sz="0" w:space="0" w:color="auto"/>
                        <w:left w:val="none" w:sz="0" w:space="0" w:color="auto"/>
                        <w:bottom w:val="none" w:sz="0" w:space="0" w:color="auto"/>
                        <w:right w:val="none" w:sz="0" w:space="0" w:color="auto"/>
                      </w:divBdr>
                    </w:div>
                    <w:div w:id="684795407">
                      <w:marLeft w:val="0"/>
                      <w:marRight w:val="0"/>
                      <w:marTop w:val="0"/>
                      <w:marBottom w:val="0"/>
                      <w:divBdr>
                        <w:top w:val="none" w:sz="0" w:space="0" w:color="auto"/>
                        <w:left w:val="none" w:sz="0" w:space="0" w:color="auto"/>
                        <w:bottom w:val="none" w:sz="0" w:space="0" w:color="auto"/>
                        <w:right w:val="none" w:sz="0" w:space="0" w:color="auto"/>
                      </w:divBdr>
                      <w:divsChild>
                        <w:div w:id="1116023281">
                          <w:marLeft w:val="0"/>
                          <w:marRight w:val="0"/>
                          <w:marTop w:val="0"/>
                          <w:marBottom w:val="0"/>
                          <w:divBdr>
                            <w:top w:val="none" w:sz="0" w:space="0" w:color="auto"/>
                            <w:left w:val="none" w:sz="0" w:space="0" w:color="auto"/>
                            <w:bottom w:val="none" w:sz="0" w:space="0" w:color="auto"/>
                            <w:right w:val="none" w:sz="0" w:space="0" w:color="auto"/>
                          </w:divBdr>
                          <w:divsChild>
                            <w:div w:id="13529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105872">
          <w:marLeft w:val="0"/>
          <w:marRight w:val="0"/>
          <w:marTop w:val="0"/>
          <w:marBottom w:val="0"/>
          <w:divBdr>
            <w:top w:val="none" w:sz="0" w:space="0" w:color="auto"/>
            <w:left w:val="none" w:sz="0" w:space="0" w:color="auto"/>
            <w:bottom w:val="none" w:sz="0" w:space="0" w:color="auto"/>
            <w:right w:val="none" w:sz="0" w:space="0" w:color="auto"/>
          </w:divBdr>
          <w:divsChild>
            <w:div w:id="1613628820">
              <w:marLeft w:val="0"/>
              <w:marRight w:val="0"/>
              <w:marTop w:val="0"/>
              <w:marBottom w:val="0"/>
              <w:divBdr>
                <w:top w:val="none" w:sz="0" w:space="0" w:color="auto"/>
                <w:left w:val="none" w:sz="0" w:space="0" w:color="auto"/>
                <w:bottom w:val="none" w:sz="0" w:space="0" w:color="auto"/>
                <w:right w:val="none" w:sz="0" w:space="0" w:color="auto"/>
              </w:divBdr>
              <w:divsChild>
                <w:div w:id="254556206">
                  <w:marLeft w:val="0"/>
                  <w:marRight w:val="0"/>
                  <w:marTop w:val="0"/>
                  <w:marBottom w:val="0"/>
                  <w:divBdr>
                    <w:top w:val="none" w:sz="0" w:space="0" w:color="auto"/>
                    <w:left w:val="none" w:sz="0" w:space="0" w:color="auto"/>
                    <w:bottom w:val="none" w:sz="0" w:space="0" w:color="auto"/>
                    <w:right w:val="none" w:sz="0" w:space="0" w:color="auto"/>
                  </w:divBdr>
                  <w:divsChild>
                    <w:div w:id="1015227185">
                      <w:marLeft w:val="0"/>
                      <w:marRight w:val="0"/>
                      <w:marTop w:val="0"/>
                      <w:marBottom w:val="0"/>
                      <w:divBdr>
                        <w:top w:val="none" w:sz="0" w:space="0" w:color="auto"/>
                        <w:left w:val="none" w:sz="0" w:space="0" w:color="auto"/>
                        <w:bottom w:val="none" w:sz="0" w:space="0" w:color="auto"/>
                        <w:right w:val="none" w:sz="0" w:space="0" w:color="auto"/>
                      </w:divBdr>
                      <w:divsChild>
                        <w:div w:id="211159926">
                          <w:marLeft w:val="0"/>
                          <w:marRight w:val="0"/>
                          <w:marTop w:val="0"/>
                          <w:marBottom w:val="0"/>
                          <w:divBdr>
                            <w:top w:val="none" w:sz="0" w:space="0" w:color="auto"/>
                            <w:left w:val="none" w:sz="0" w:space="0" w:color="auto"/>
                            <w:bottom w:val="none" w:sz="0" w:space="0" w:color="auto"/>
                            <w:right w:val="none" w:sz="0" w:space="0" w:color="auto"/>
                          </w:divBdr>
                          <w:divsChild>
                            <w:div w:id="5457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72461">
              <w:marLeft w:val="0"/>
              <w:marRight w:val="0"/>
              <w:marTop w:val="0"/>
              <w:marBottom w:val="0"/>
              <w:divBdr>
                <w:top w:val="none" w:sz="0" w:space="0" w:color="auto"/>
                <w:left w:val="none" w:sz="0" w:space="0" w:color="auto"/>
                <w:bottom w:val="none" w:sz="0" w:space="0" w:color="auto"/>
                <w:right w:val="none" w:sz="0" w:space="0" w:color="auto"/>
              </w:divBdr>
            </w:div>
          </w:divsChild>
        </w:div>
        <w:div w:id="663122823">
          <w:marLeft w:val="0"/>
          <w:marRight w:val="0"/>
          <w:marTop w:val="0"/>
          <w:marBottom w:val="0"/>
          <w:divBdr>
            <w:top w:val="none" w:sz="0" w:space="0" w:color="auto"/>
            <w:left w:val="none" w:sz="0" w:space="0" w:color="auto"/>
            <w:bottom w:val="none" w:sz="0" w:space="0" w:color="auto"/>
            <w:right w:val="none" w:sz="0" w:space="0" w:color="auto"/>
          </w:divBdr>
        </w:div>
        <w:div w:id="1986085891">
          <w:marLeft w:val="0"/>
          <w:marRight w:val="0"/>
          <w:marTop w:val="0"/>
          <w:marBottom w:val="0"/>
          <w:divBdr>
            <w:top w:val="none" w:sz="0" w:space="0" w:color="auto"/>
            <w:left w:val="none" w:sz="0" w:space="0" w:color="auto"/>
            <w:bottom w:val="none" w:sz="0" w:space="0" w:color="auto"/>
            <w:right w:val="none" w:sz="0" w:space="0" w:color="auto"/>
          </w:divBdr>
          <w:divsChild>
            <w:div w:id="1923175703">
              <w:marLeft w:val="0"/>
              <w:marRight w:val="0"/>
              <w:marTop w:val="0"/>
              <w:marBottom w:val="0"/>
              <w:divBdr>
                <w:top w:val="none" w:sz="0" w:space="0" w:color="auto"/>
                <w:left w:val="none" w:sz="0" w:space="0" w:color="auto"/>
                <w:bottom w:val="none" w:sz="0" w:space="0" w:color="auto"/>
                <w:right w:val="none" w:sz="0" w:space="0" w:color="auto"/>
              </w:divBdr>
              <w:divsChild>
                <w:div w:id="5306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693">
          <w:marLeft w:val="0"/>
          <w:marRight w:val="0"/>
          <w:marTop w:val="0"/>
          <w:marBottom w:val="0"/>
          <w:divBdr>
            <w:top w:val="none" w:sz="0" w:space="0" w:color="auto"/>
            <w:left w:val="none" w:sz="0" w:space="0" w:color="auto"/>
            <w:bottom w:val="none" w:sz="0" w:space="0" w:color="auto"/>
            <w:right w:val="none" w:sz="0" w:space="0" w:color="auto"/>
          </w:divBdr>
          <w:divsChild>
            <w:div w:id="1563251382">
              <w:marLeft w:val="0"/>
              <w:marRight w:val="0"/>
              <w:marTop w:val="0"/>
              <w:marBottom w:val="0"/>
              <w:divBdr>
                <w:top w:val="none" w:sz="0" w:space="0" w:color="auto"/>
                <w:left w:val="none" w:sz="0" w:space="0" w:color="auto"/>
                <w:bottom w:val="none" w:sz="0" w:space="0" w:color="auto"/>
                <w:right w:val="none" w:sz="0" w:space="0" w:color="auto"/>
              </w:divBdr>
              <w:divsChild>
                <w:div w:id="1366713370">
                  <w:marLeft w:val="0"/>
                  <w:marRight w:val="0"/>
                  <w:marTop w:val="0"/>
                  <w:marBottom w:val="0"/>
                  <w:divBdr>
                    <w:top w:val="none" w:sz="0" w:space="0" w:color="auto"/>
                    <w:left w:val="none" w:sz="0" w:space="0" w:color="auto"/>
                    <w:bottom w:val="none" w:sz="0" w:space="0" w:color="auto"/>
                    <w:right w:val="none" w:sz="0" w:space="0" w:color="auto"/>
                  </w:divBdr>
                </w:div>
              </w:divsChild>
            </w:div>
            <w:div w:id="742025207">
              <w:marLeft w:val="0"/>
              <w:marRight w:val="0"/>
              <w:marTop w:val="0"/>
              <w:marBottom w:val="0"/>
              <w:divBdr>
                <w:top w:val="none" w:sz="0" w:space="0" w:color="auto"/>
                <w:left w:val="none" w:sz="0" w:space="0" w:color="auto"/>
                <w:bottom w:val="none" w:sz="0" w:space="0" w:color="auto"/>
                <w:right w:val="none" w:sz="0" w:space="0" w:color="auto"/>
              </w:divBdr>
            </w:div>
          </w:divsChild>
        </w:div>
        <w:div w:id="602344754">
          <w:marLeft w:val="0"/>
          <w:marRight w:val="0"/>
          <w:marTop w:val="0"/>
          <w:marBottom w:val="0"/>
          <w:divBdr>
            <w:top w:val="none" w:sz="0" w:space="0" w:color="auto"/>
            <w:left w:val="none" w:sz="0" w:space="0" w:color="auto"/>
            <w:bottom w:val="none" w:sz="0" w:space="0" w:color="auto"/>
            <w:right w:val="none" w:sz="0" w:space="0" w:color="auto"/>
          </w:divBdr>
          <w:divsChild>
            <w:div w:id="578559551">
              <w:marLeft w:val="0"/>
              <w:marRight w:val="0"/>
              <w:marTop w:val="0"/>
              <w:marBottom w:val="0"/>
              <w:divBdr>
                <w:top w:val="none" w:sz="0" w:space="0" w:color="auto"/>
                <w:left w:val="none" w:sz="0" w:space="0" w:color="auto"/>
                <w:bottom w:val="none" w:sz="0" w:space="0" w:color="auto"/>
                <w:right w:val="none" w:sz="0" w:space="0" w:color="auto"/>
              </w:divBdr>
              <w:divsChild>
                <w:div w:id="697585016">
                  <w:marLeft w:val="0"/>
                  <w:marRight w:val="0"/>
                  <w:marTop w:val="0"/>
                  <w:marBottom w:val="0"/>
                  <w:divBdr>
                    <w:top w:val="none" w:sz="0" w:space="0" w:color="auto"/>
                    <w:left w:val="none" w:sz="0" w:space="0" w:color="auto"/>
                    <w:bottom w:val="none" w:sz="0" w:space="0" w:color="auto"/>
                    <w:right w:val="none" w:sz="0" w:space="0" w:color="auto"/>
                  </w:divBdr>
                </w:div>
              </w:divsChild>
            </w:div>
            <w:div w:id="1497069821">
              <w:marLeft w:val="0"/>
              <w:marRight w:val="0"/>
              <w:marTop w:val="0"/>
              <w:marBottom w:val="0"/>
              <w:divBdr>
                <w:top w:val="none" w:sz="0" w:space="0" w:color="auto"/>
                <w:left w:val="none" w:sz="0" w:space="0" w:color="auto"/>
                <w:bottom w:val="none" w:sz="0" w:space="0" w:color="auto"/>
                <w:right w:val="none" w:sz="0" w:space="0" w:color="auto"/>
              </w:divBdr>
            </w:div>
          </w:divsChild>
        </w:div>
        <w:div w:id="1361080431">
          <w:marLeft w:val="0"/>
          <w:marRight w:val="0"/>
          <w:marTop w:val="0"/>
          <w:marBottom w:val="0"/>
          <w:divBdr>
            <w:top w:val="none" w:sz="0" w:space="0" w:color="auto"/>
            <w:left w:val="none" w:sz="0" w:space="0" w:color="auto"/>
            <w:bottom w:val="none" w:sz="0" w:space="0" w:color="auto"/>
            <w:right w:val="none" w:sz="0" w:space="0" w:color="auto"/>
          </w:divBdr>
          <w:divsChild>
            <w:div w:id="464547813">
              <w:marLeft w:val="0"/>
              <w:marRight w:val="0"/>
              <w:marTop w:val="0"/>
              <w:marBottom w:val="0"/>
              <w:divBdr>
                <w:top w:val="none" w:sz="0" w:space="0" w:color="auto"/>
                <w:left w:val="none" w:sz="0" w:space="0" w:color="auto"/>
                <w:bottom w:val="none" w:sz="0" w:space="0" w:color="auto"/>
                <w:right w:val="none" w:sz="0" w:space="0" w:color="auto"/>
              </w:divBdr>
              <w:divsChild>
                <w:div w:id="12697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4004">
          <w:marLeft w:val="0"/>
          <w:marRight w:val="0"/>
          <w:marTop w:val="0"/>
          <w:marBottom w:val="0"/>
          <w:divBdr>
            <w:top w:val="none" w:sz="0" w:space="0" w:color="auto"/>
            <w:left w:val="none" w:sz="0" w:space="0" w:color="auto"/>
            <w:bottom w:val="none" w:sz="0" w:space="0" w:color="auto"/>
            <w:right w:val="none" w:sz="0" w:space="0" w:color="auto"/>
          </w:divBdr>
          <w:divsChild>
            <w:div w:id="1369378967">
              <w:marLeft w:val="0"/>
              <w:marRight w:val="0"/>
              <w:marTop w:val="0"/>
              <w:marBottom w:val="0"/>
              <w:divBdr>
                <w:top w:val="none" w:sz="0" w:space="0" w:color="auto"/>
                <w:left w:val="none" w:sz="0" w:space="0" w:color="auto"/>
                <w:bottom w:val="none" w:sz="0" w:space="0" w:color="auto"/>
                <w:right w:val="none" w:sz="0" w:space="0" w:color="auto"/>
              </w:divBdr>
              <w:divsChild>
                <w:div w:id="20524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371">
          <w:marLeft w:val="0"/>
          <w:marRight w:val="0"/>
          <w:marTop w:val="0"/>
          <w:marBottom w:val="0"/>
          <w:divBdr>
            <w:top w:val="none" w:sz="0" w:space="0" w:color="auto"/>
            <w:left w:val="none" w:sz="0" w:space="0" w:color="auto"/>
            <w:bottom w:val="none" w:sz="0" w:space="0" w:color="auto"/>
            <w:right w:val="none" w:sz="0" w:space="0" w:color="auto"/>
          </w:divBdr>
          <w:divsChild>
            <w:div w:id="126826517">
              <w:marLeft w:val="0"/>
              <w:marRight w:val="0"/>
              <w:marTop w:val="0"/>
              <w:marBottom w:val="0"/>
              <w:divBdr>
                <w:top w:val="none" w:sz="0" w:space="0" w:color="auto"/>
                <w:left w:val="none" w:sz="0" w:space="0" w:color="auto"/>
                <w:bottom w:val="none" w:sz="0" w:space="0" w:color="auto"/>
                <w:right w:val="none" w:sz="0" w:space="0" w:color="auto"/>
              </w:divBdr>
              <w:divsChild>
                <w:div w:id="8743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3326">
          <w:marLeft w:val="0"/>
          <w:marRight w:val="0"/>
          <w:marTop w:val="0"/>
          <w:marBottom w:val="0"/>
          <w:divBdr>
            <w:top w:val="none" w:sz="0" w:space="0" w:color="auto"/>
            <w:left w:val="none" w:sz="0" w:space="0" w:color="auto"/>
            <w:bottom w:val="none" w:sz="0" w:space="0" w:color="auto"/>
            <w:right w:val="none" w:sz="0" w:space="0" w:color="auto"/>
          </w:divBdr>
          <w:divsChild>
            <w:div w:id="1214190937">
              <w:marLeft w:val="0"/>
              <w:marRight w:val="0"/>
              <w:marTop w:val="0"/>
              <w:marBottom w:val="0"/>
              <w:divBdr>
                <w:top w:val="none" w:sz="0" w:space="0" w:color="auto"/>
                <w:left w:val="none" w:sz="0" w:space="0" w:color="auto"/>
                <w:bottom w:val="none" w:sz="0" w:space="0" w:color="auto"/>
                <w:right w:val="none" w:sz="0" w:space="0" w:color="auto"/>
              </w:divBdr>
              <w:divsChild>
                <w:div w:id="4789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1183">
          <w:marLeft w:val="0"/>
          <w:marRight w:val="0"/>
          <w:marTop w:val="0"/>
          <w:marBottom w:val="0"/>
          <w:divBdr>
            <w:top w:val="none" w:sz="0" w:space="0" w:color="auto"/>
            <w:left w:val="none" w:sz="0" w:space="0" w:color="auto"/>
            <w:bottom w:val="none" w:sz="0" w:space="0" w:color="auto"/>
            <w:right w:val="none" w:sz="0" w:space="0" w:color="auto"/>
          </w:divBdr>
          <w:divsChild>
            <w:div w:id="1265068950">
              <w:marLeft w:val="0"/>
              <w:marRight w:val="0"/>
              <w:marTop w:val="0"/>
              <w:marBottom w:val="0"/>
              <w:divBdr>
                <w:top w:val="none" w:sz="0" w:space="0" w:color="auto"/>
                <w:left w:val="none" w:sz="0" w:space="0" w:color="auto"/>
                <w:bottom w:val="none" w:sz="0" w:space="0" w:color="auto"/>
                <w:right w:val="none" w:sz="0" w:space="0" w:color="auto"/>
              </w:divBdr>
              <w:divsChild>
                <w:div w:id="574630456">
                  <w:marLeft w:val="0"/>
                  <w:marRight w:val="0"/>
                  <w:marTop w:val="0"/>
                  <w:marBottom w:val="0"/>
                  <w:divBdr>
                    <w:top w:val="none" w:sz="0" w:space="0" w:color="auto"/>
                    <w:left w:val="none" w:sz="0" w:space="0" w:color="auto"/>
                    <w:bottom w:val="none" w:sz="0" w:space="0" w:color="auto"/>
                    <w:right w:val="none" w:sz="0" w:space="0" w:color="auto"/>
                  </w:divBdr>
                </w:div>
              </w:divsChild>
            </w:div>
            <w:div w:id="18817111">
              <w:marLeft w:val="0"/>
              <w:marRight w:val="0"/>
              <w:marTop w:val="0"/>
              <w:marBottom w:val="0"/>
              <w:divBdr>
                <w:top w:val="none" w:sz="0" w:space="0" w:color="auto"/>
                <w:left w:val="none" w:sz="0" w:space="0" w:color="auto"/>
                <w:bottom w:val="none" w:sz="0" w:space="0" w:color="auto"/>
                <w:right w:val="none" w:sz="0" w:space="0" w:color="auto"/>
              </w:divBdr>
            </w:div>
          </w:divsChild>
        </w:div>
        <w:div w:id="1032921503">
          <w:marLeft w:val="0"/>
          <w:marRight w:val="0"/>
          <w:marTop w:val="0"/>
          <w:marBottom w:val="0"/>
          <w:divBdr>
            <w:top w:val="none" w:sz="0" w:space="0" w:color="auto"/>
            <w:left w:val="none" w:sz="0" w:space="0" w:color="auto"/>
            <w:bottom w:val="none" w:sz="0" w:space="0" w:color="auto"/>
            <w:right w:val="none" w:sz="0" w:space="0" w:color="auto"/>
          </w:divBdr>
          <w:divsChild>
            <w:div w:id="1631983546">
              <w:marLeft w:val="0"/>
              <w:marRight w:val="0"/>
              <w:marTop w:val="0"/>
              <w:marBottom w:val="0"/>
              <w:divBdr>
                <w:top w:val="none" w:sz="0" w:space="0" w:color="auto"/>
                <w:left w:val="none" w:sz="0" w:space="0" w:color="auto"/>
                <w:bottom w:val="none" w:sz="0" w:space="0" w:color="auto"/>
                <w:right w:val="none" w:sz="0" w:space="0" w:color="auto"/>
              </w:divBdr>
              <w:divsChild>
                <w:div w:id="1846050043">
                  <w:marLeft w:val="0"/>
                  <w:marRight w:val="0"/>
                  <w:marTop w:val="0"/>
                  <w:marBottom w:val="0"/>
                  <w:divBdr>
                    <w:top w:val="none" w:sz="0" w:space="0" w:color="auto"/>
                    <w:left w:val="none" w:sz="0" w:space="0" w:color="auto"/>
                    <w:bottom w:val="none" w:sz="0" w:space="0" w:color="auto"/>
                    <w:right w:val="none" w:sz="0" w:space="0" w:color="auto"/>
                  </w:divBdr>
                </w:div>
              </w:divsChild>
            </w:div>
            <w:div w:id="1168474102">
              <w:marLeft w:val="0"/>
              <w:marRight w:val="0"/>
              <w:marTop w:val="0"/>
              <w:marBottom w:val="0"/>
              <w:divBdr>
                <w:top w:val="none" w:sz="0" w:space="0" w:color="auto"/>
                <w:left w:val="none" w:sz="0" w:space="0" w:color="auto"/>
                <w:bottom w:val="none" w:sz="0" w:space="0" w:color="auto"/>
                <w:right w:val="none" w:sz="0" w:space="0" w:color="auto"/>
              </w:divBdr>
            </w:div>
          </w:divsChild>
        </w:div>
        <w:div w:id="1336961511">
          <w:marLeft w:val="0"/>
          <w:marRight w:val="0"/>
          <w:marTop w:val="0"/>
          <w:marBottom w:val="0"/>
          <w:divBdr>
            <w:top w:val="none" w:sz="0" w:space="0" w:color="auto"/>
            <w:left w:val="none" w:sz="0" w:space="0" w:color="auto"/>
            <w:bottom w:val="none" w:sz="0" w:space="0" w:color="auto"/>
            <w:right w:val="none" w:sz="0" w:space="0" w:color="auto"/>
          </w:divBdr>
        </w:div>
        <w:div w:id="827481201">
          <w:marLeft w:val="0"/>
          <w:marRight w:val="0"/>
          <w:marTop w:val="0"/>
          <w:marBottom w:val="0"/>
          <w:divBdr>
            <w:top w:val="none" w:sz="0" w:space="0" w:color="auto"/>
            <w:left w:val="none" w:sz="0" w:space="0" w:color="auto"/>
            <w:bottom w:val="none" w:sz="0" w:space="0" w:color="auto"/>
            <w:right w:val="none" w:sz="0" w:space="0" w:color="auto"/>
          </w:divBdr>
          <w:divsChild>
            <w:div w:id="1752316099">
              <w:marLeft w:val="0"/>
              <w:marRight w:val="0"/>
              <w:marTop w:val="0"/>
              <w:marBottom w:val="0"/>
              <w:divBdr>
                <w:top w:val="none" w:sz="0" w:space="0" w:color="auto"/>
                <w:left w:val="none" w:sz="0" w:space="0" w:color="auto"/>
                <w:bottom w:val="none" w:sz="0" w:space="0" w:color="auto"/>
                <w:right w:val="none" w:sz="0" w:space="0" w:color="auto"/>
              </w:divBdr>
              <w:divsChild>
                <w:div w:id="203241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47460">
          <w:marLeft w:val="0"/>
          <w:marRight w:val="0"/>
          <w:marTop w:val="0"/>
          <w:marBottom w:val="0"/>
          <w:divBdr>
            <w:top w:val="none" w:sz="0" w:space="0" w:color="auto"/>
            <w:left w:val="none" w:sz="0" w:space="0" w:color="auto"/>
            <w:bottom w:val="none" w:sz="0" w:space="0" w:color="auto"/>
            <w:right w:val="none" w:sz="0" w:space="0" w:color="auto"/>
          </w:divBdr>
          <w:divsChild>
            <w:div w:id="780149564">
              <w:marLeft w:val="0"/>
              <w:marRight w:val="0"/>
              <w:marTop w:val="0"/>
              <w:marBottom w:val="0"/>
              <w:divBdr>
                <w:top w:val="none" w:sz="0" w:space="0" w:color="auto"/>
                <w:left w:val="none" w:sz="0" w:space="0" w:color="auto"/>
                <w:bottom w:val="none" w:sz="0" w:space="0" w:color="auto"/>
                <w:right w:val="none" w:sz="0" w:space="0" w:color="auto"/>
              </w:divBdr>
              <w:divsChild>
                <w:div w:id="35129929">
                  <w:marLeft w:val="0"/>
                  <w:marRight w:val="0"/>
                  <w:marTop w:val="0"/>
                  <w:marBottom w:val="0"/>
                  <w:divBdr>
                    <w:top w:val="none" w:sz="0" w:space="0" w:color="auto"/>
                    <w:left w:val="none" w:sz="0" w:space="0" w:color="auto"/>
                    <w:bottom w:val="none" w:sz="0" w:space="0" w:color="auto"/>
                    <w:right w:val="none" w:sz="0" w:space="0" w:color="auto"/>
                  </w:divBdr>
                </w:div>
              </w:divsChild>
            </w:div>
            <w:div w:id="1056733568">
              <w:marLeft w:val="0"/>
              <w:marRight w:val="0"/>
              <w:marTop w:val="0"/>
              <w:marBottom w:val="0"/>
              <w:divBdr>
                <w:top w:val="none" w:sz="0" w:space="0" w:color="auto"/>
                <w:left w:val="none" w:sz="0" w:space="0" w:color="auto"/>
                <w:bottom w:val="none" w:sz="0" w:space="0" w:color="auto"/>
                <w:right w:val="none" w:sz="0" w:space="0" w:color="auto"/>
              </w:divBdr>
            </w:div>
          </w:divsChild>
        </w:div>
        <w:div w:id="996374517">
          <w:marLeft w:val="0"/>
          <w:marRight w:val="0"/>
          <w:marTop w:val="0"/>
          <w:marBottom w:val="0"/>
          <w:divBdr>
            <w:top w:val="none" w:sz="0" w:space="0" w:color="auto"/>
            <w:left w:val="none" w:sz="0" w:space="0" w:color="auto"/>
            <w:bottom w:val="none" w:sz="0" w:space="0" w:color="auto"/>
            <w:right w:val="none" w:sz="0" w:space="0" w:color="auto"/>
          </w:divBdr>
          <w:divsChild>
            <w:div w:id="824904759">
              <w:marLeft w:val="0"/>
              <w:marRight w:val="0"/>
              <w:marTop w:val="0"/>
              <w:marBottom w:val="0"/>
              <w:divBdr>
                <w:top w:val="none" w:sz="0" w:space="0" w:color="auto"/>
                <w:left w:val="none" w:sz="0" w:space="0" w:color="auto"/>
                <w:bottom w:val="none" w:sz="0" w:space="0" w:color="auto"/>
                <w:right w:val="none" w:sz="0" w:space="0" w:color="auto"/>
              </w:divBdr>
              <w:divsChild>
                <w:div w:id="948045936">
                  <w:marLeft w:val="0"/>
                  <w:marRight w:val="0"/>
                  <w:marTop w:val="0"/>
                  <w:marBottom w:val="0"/>
                  <w:divBdr>
                    <w:top w:val="none" w:sz="0" w:space="0" w:color="auto"/>
                    <w:left w:val="none" w:sz="0" w:space="0" w:color="auto"/>
                    <w:bottom w:val="none" w:sz="0" w:space="0" w:color="auto"/>
                    <w:right w:val="none" w:sz="0" w:space="0" w:color="auto"/>
                  </w:divBdr>
                </w:div>
              </w:divsChild>
            </w:div>
            <w:div w:id="686369446">
              <w:marLeft w:val="0"/>
              <w:marRight w:val="0"/>
              <w:marTop w:val="0"/>
              <w:marBottom w:val="0"/>
              <w:divBdr>
                <w:top w:val="none" w:sz="0" w:space="0" w:color="auto"/>
                <w:left w:val="none" w:sz="0" w:space="0" w:color="auto"/>
                <w:bottom w:val="none" w:sz="0" w:space="0" w:color="auto"/>
                <w:right w:val="none" w:sz="0" w:space="0" w:color="auto"/>
              </w:divBdr>
            </w:div>
          </w:divsChild>
        </w:div>
        <w:div w:id="295262496">
          <w:marLeft w:val="0"/>
          <w:marRight w:val="0"/>
          <w:marTop w:val="0"/>
          <w:marBottom w:val="0"/>
          <w:divBdr>
            <w:top w:val="none" w:sz="0" w:space="0" w:color="auto"/>
            <w:left w:val="none" w:sz="0" w:space="0" w:color="auto"/>
            <w:bottom w:val="none" w:sz="0" w:space="0" w:color="auto"/>
            <w:right w:val="none" w:sz="0" w:space="0" w:color="auto"/>
          </w:divBdr>
          <w:divsChild>
            <w:div w:id="1094324927">
              <w:marLeft w:val="0"/>
              <w:marRight w:val="0"/>
              <w:marTop w:val="0"/>
              <w:marBottom w:val="0"/>
              <w:divBdr>
                <w:top w:val="none" w:sz="0" w:space="0" w:color="auto"/>
                <w:left w:val="none" w:sz="0" w:space="0" w:color="auto"/>
                <w:bottom w:val="none" w:sz="0" w:space="0" w:color="auto"/>
                <w:right w:val="none" w:sz="0" w:space="0" w:color="auto"/>
              </w:divBdr>
              <w:divsChild>
                <w:div w:id="259144610">
                  <w:marLeft w:val="0"/>
                  <w:marRight w:val="0"/>
                  <w:marTop w:val="0"/>
                  <w:marBottom w:val="0"/>
                  <w:divBdr>
                    <w:top w:val="none" w:sz="0" w:space="0" w:color="auto"/>
                    <w:left w:val="none" w:sz="0" w:space="0" w:color="auto"/>
                    <w:bottom w:val="none" w:sz="0" w:space="0" w:color="auto"/>
                    <w:right w:val="none" w:sz="0" w:space="0" w:color="auto"/>
                  </w:divBdr>
                </w:div>
              </w:divsChild>
            </w:div>
            <w:div w:id="687605968">
              <w:marLeft w:val="0"/>
              <w:marRight w:val="0"/>
              <w:marTop w:val="0"/>
              <w:marBottom w:val="0"/>
              <w:divBdr>
                <w:top w:val="none" w:sz="0" w:space="0" w:color="auto"/>
                <w:left w:val="none" w:sz="0" w:space="0" w:color="auto"/>
                <w:bottom w:val="none" w:sz="0" w:space="0" w:color="auto"/>
                <w:right w:val="none" w:sz="0" w:space="0" w:color="auto"/>
              </w:divBdr>
            </w:div>
          </w:divsChild>
        </w:div>
        <w:div w:id="1777170626">
          <w:marLeft w:val="0"/>
          <w:marRight w:val="0"/>
          <w:marTop w:val="0"/>
          <w:marBottom w:val="0"/>
          <w:divBdr>
            <w:top w:val="none" w:sz="0" w:space="0" w:color="auto"/>
            <w:left w:val="none" w:sz="0" w:space="0" w:color="auto"/>
            <w:bottom w:val="none" w:sz="0" w:space="0" w:color="auto"/>
            <w:right w:val="none" w:sz="0" w:space="0" w:color="auto"/>
          </w:divBdr>
          <w:divsChild>
            <w:div w:id="1421177754">
              <w:marLeft w:val="0"/>
              <w:marRight w:val="0"/>
              <w:marTop w:val="0"/>
              <w:marBottom w:val="0"/>
              <w:divBdr>
                <w:top w:val="none" w:sz="0" w:space="0" w:color="auto"/>
                <w:left w:val="none" w:sz="0" w:space="0" w:color="auto"/>
                <w:bottom w:val="none" w:sz="0" w:space="0" w:color="auto"/>
                <w:right w:val="none" w:sz="0" w:space="0" w:color="auto"/>
              </w:divBdr>
              <w:divsChild>
                <w:div w:id="1216240191">
                  <w:marLeft w:val="0"/>
                  <w:marRight w:val="0"/>
                  <w:marTop w:val="0"/>
                  <w:marBottom w:val="0"/>
                  <w:divBdr>
                    <w:top w:val="none" w:sz="0" w:space="0" w:color="auto"/>
                    <w:left w:val="none" w:sz="0" w:space="0" w:color="auto"/>
                    <w:bottom w:val="none" w:sz="0" w:space="0" w:color="auto"/>
                    <w:right w:val="none" w:sz="0" w:space="0" w:color="auto"/>
                  </w:divBdr>
                </w:div>
              </w:divsChild>
            </w:div>
            <w:div w:id="176965299">
              <w:marLeft w:val="0"/>
              <w:marRight w:val="0"/>
              <w:marTop w:val="0"/>
              <w:marBottom w:val="0"/>
              <w:divBdr>
                <w:top w:val="none" w:sz="0" w:space="0" w:color="auto"/>
                <w:left w:val="none" w:sz="0" w:space="0" w:color="auto"/>
                <w:bottom w:val="none" w:sz="0" w:space="0" w:color="auto"/>
                <w:right w:val="none" w:sz="0" w:space="0" w:color="auto"/>
              </w:divBdr>
            </w:div>
          </w:divsChild>
        </w:div>
        <w:div w:id="190077335">
          <w:marLeft w:val="0"/>
          <w:marRight w:val="0"/>
          <w:marTop w:val="0"/>
          <w:marBottom w:val="0"/>
          <w:divBdr>
            <w:top w:val="none" w:sz="0" w:space="0" w:color="auto"/>
            <w:left w:val="none" w:sz="0" w:space="0" w:color="auto"/>
            <w:bottom w:val="none" w:sz="0" w:space="0" w:color="auto"/>
            <w:right w:val="none" w:sz="0" w:space="0" w:color="auto"/>
          </w:divBdr>
          <w:divsChild>
            <w:div w:id="1968008599">
              <w:marLeft w:val="0"/>
              <w:marRight w:val="0"/>
              <w:marTop w:val="0"/>
              <w:marBottom w:val="0"/>
              <w:divBdr>
                <w:top w:val="none" w:sz="0" w:space="0" w:color="auto"/>
                <w:left w:val="none" w:sz="0" w:space="0" w:color="auto"/>
                <w:bottom w:val="none" w:sz="0" w:space="0" w:color="auto"/>
                <w:right w:val="none" w:sz="0" w:space="0" w:color="auto"/>
              </w:divBdr>
              <w:divsChild>
                <w:div w:id="1306397159">
                  <w:marLeft w:val="0"/>
                  <w:marRight w:val="0"/>
                  <w:marTop w:val="0"/>
                  <w:marBottom w:val="0"/>
                  <w:divBdr>
                    <w:top w:val="none" w:sz="0" w:space="0" w:color="auto"/>
                    <w:left w:val="none" w:sz="0" w:space="0" w:color="auto"/>
                    <w:bottom w:val="none" w:sz="0" w:space="0" w:color="auto"/>
                    <w:right w:val="none" w:sz="0" w:space="0" w:color="auto"/>
                  </w:divBdr>
                </w:div>
              </w:divsChild>
            </w:div>
            <w:div w:id="1747261001">
              <w:marLeft w:val="0"/>
              <w:marRight w:val="0"/>
              <w:marTop w:val="0"/>
              <w:marBottom w:val="0"/>
              <w:divBdr>
                <w:top w:val="none" w:sz="0" w:space="0" w:color="auto"/>
                <w:left w:val="none" w:sz="0" w:space="0" w:color="auto"/>
                <w:bottom w:val="none" w:sz="0" w:space="0" w:color="auto"/>
                <w:right w:val="none" w:sz="0" w:space="0" w:color="auto"/>
              </w:divBdr>
            </w:div>
          </w:divsChild>
        </w:div>
        <w:div w:id="328606538">
          <w:marLeft w:val="0"/>
          <w:marRight w:val="0"/>
          <w:marTop w:val="0"/>
          <w:marBottom w:val="0"/>
          <w:divBdr>
            <w:top w:val="none" w:sz="0" w:space="0" w:color="auto"/>
            <w:left w:val="none" w:sz="0" w:space="0" w:color="auto"/>
            <w:bottom w:val="none" w:sz="0" w:space="0" w:color="auto"/>
            <w:right w:val="none" w:sz="0" w:space="0" w:color="auto"/>
          </w:divBdr>
          <w:divsChild>
            <w:div w:id="2118405827">
              <w:marLeft w:val="0"/>
              <w:marRight w:val="0"/>
              <w:marTop w:val="0"/>
              <w:marBottom w:val="0"/>
              <w:divBdr>
                <w:top w:val="none" w:sz="0" w:space="0" w:color="auto"/>
                <w:left w:val="none" w:sz="0" w:space="0" w:color="auto"/>
                <w:bottom w:val="none" w:sz="0" w:space="0" w:color="auto"/>
                <w:right w:val="none" w:sz="0" w:space="0" w:color="auto"/>
              </w:divBdr>
              <w:divsChild>
                <w:div w:id="247808605">
                  <w:marLeft w:val="0"/>
                  <w:marRight w:val="0"/>
                  <w:marTop w:val="0"/>
                  <w:marBottom w:val="0"/>
                  <w:divBdr>
                    <w:top w:val="none" w:sz="0" w:space="0" w:color="auto"/>
                    <w:left w:val="none" w:sz="0" w:space="0" w:color="auto"/>
                    <w:bottom w:val="none" w:sz="0" w:space="0" w:color="auto"/>
                    <w:right w:val="none" w:sz="0" w:space="0" w:color="auto"/>
                  </w:divBdr>
                </w:div>
              </w:divsChild>
            </w:div>
            <w:div w:id="939067506">
              <w:marLeft w:val="0"/>
              <w:marRight w:val="0"/>
              <w:marTop w:val="0"/>
              <w:marBottom w:val="0"/>
              <w:divBdr>
                <w:top w:val="none" w:sz="0" w:space="0" w:color="auto"/>
                <w:left w:val="none" w:sz="0" w:space="0" w:color="auto"/>
                <w:bottom w:val="none" w:sz="0" w:space="0" w:color="auto"/>
                <w:right w:val="none" w:sz="0" w:space="0" w:color="auto"/>
              </w:divBdr>
            </w:div>
          </w:divsChild>
        </w:div>
        <w:div w:id="855853067">
          <w:marLeft w:val="0"/>
          <w:marRight w:val="0"/>
          <w:marTop w:val="0"/>
          <w:marBottom w:val="0"/>
          <w:divBdr>
            <w:top w:val="none" w:sz="0" w:space="0" w:color="auto"/>
            <w:left w:val="none" w:sz="0" w:space="0" w:color="auto"/>
            <w:bottom w:val="none" w:sz="0" w:space="0" w:color="auto"/>
            <w:right w:val="none" w:sz="0" w:space="0" w:color="auto"/>
          </w:divBdr>
          <w:divsChild>
            <w:div w:id="1490437713">
              <w:marLeft w:val="0"/>
              <w:marRight w:val="0"/>
              <w:marTop w:val="0"/>
              <w:marBottom w:val="0"/>
              <w:divBdr>
                <w:top w:val="none" w:sz="0" w:space="0" w:color="auto"/>
                <w:left w:val="none" w:sz="0" w:space="0" w:color="auto"/>
                <w:bottom w:val="none" w:sz="0" w:space="0" w:color="auto"/>
                <w:right w:val="none" w:sz="0" w:space="0" w:color="auto"/>
              </w:divBdr>
              <w:divsChild>
                <w:div w:id="630482757">
                  <w:marLeft w:val="0"/>
                  <w:marRight w:val="0"/>
                  <w:marTop w:val="0"/>
                  <w:marBottom w:val="0"/>
                  <w:divBdr>
                    <w:top w:val="none" w:sz="0" w:space="0" w:color="auto"/>
                    <w:left w:val="none" w:sz="0" w:space="0" w:color="auto"/>
                    <w:bottom w:val="none" w:sz="0" w:space="0" w:color="auto"/>
                    <w:right w:val="none" w:sz="0" w:space="0" w:color="auto"/>
                  </w:divBdr>
                  <w:divsChild>
                    <w:div w:id="839737926">
                      <w:marLeft w:val="0"/>
                      <w:marRight w:val="0"/>
                      <w:marTop w:val="0"/>
                      <w:marBottom w:val="0"/>
                      <w:divBdr>
                        <w:top w:val="none" w:sz="0" w:space="0" w:color="auto"/>
                        <w:left w:val="none" w:sz="0" w:space="0" w:color="auto"/>
                        <w:bottom w:val="none" w:sz="0" w:space="0" w:color="auto"/>
                        <w:right w:val="none" w:sz="0" w:space="0" w:color="auto"/>
                      </w:divBdr>
                    </w:div>
                    <w:div w:id="1023746797">
                      <w:marLeft w:val="0"/>
                      <w:marRight w:val="0"/>
                      <w:marTop w:val="0"/>
                      <w:marBottom w:val="0"/>
                      <w:divBdr>
                        <w:top w:val="none" w:sz="0" w:space="0" w:color="auto"/>
                        <w:left w:val="none" w:sz="0" w:space="0" w:color="auto"/>
                        <w:bottom w:val="none" w:sz="0" w:space="0" w:color="auto"/>
                        <w:right w:val="none" w:sz="0" w:space="0" w:color="auto"/>
                      </w:divBdr>
                    </w:div>
                    <w:div w:id="17784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40707">
      <w:bodyDiv w:val="1"/>
      <w:marLeft w:val="0"/>
      <w:marRight w:val="0"/>
      <w:marTop w:val="0"/>
      <w:marBottom w:val="0"/>
      <w:divBdr>
        <w:top w:val="none" w:sz="0" w:space="0" w:color="auto"/>
        <w:left w:val="none" w:sz="0" w:space="0" w:color="auto"/>
        <w:bottom w:val="none" w:sz="0" w:space="0" w:color="auto"/>
        <w:right w:val="none" w:sz="0" w:space="0" w:color="auto"/>
      </w:divBdr>
      <w:divsChild>
        <w:div w:id="285359060">
          <w:marLeft w:val="0"/>
          <w:marRight w:val="0"/>
          <w:marTop w:val="0"/>
          <w:marBottom w:val="0"/>
          <w:divBdr>
            <w:top w:val="none" w:sz="0" w:space="0" w:color="auto"/>
            <w:left w:val="none" w:sz="0" w:space="0" w:color="auto"/>
            <w:bottom w:val="none" w:sz="0" w:space="0" w:color="auto"/>
            <w:right w:val="none" w:sz="0" w:space="0" w:color="auto"/>
          </w:divBdr>
          <w:divsChild>
            <w:div w:id="1922173109">
              <w:marLeft w:val="0"/>
              <w:marRight w:val="0"/>
              <w:marTop w:val="0"/>
              <w:marBottom w:val="0"/>
              <w:divBdr>
                <w:top w:val="none" w:sz="0" w:space="0" w:color="auto"/>
                <w:left w:val="none" w:sz="0" w:space="0" w:color="auto"/>
                <w:bottom w:val="none" w:sz="0" w:space="0" w:color="auto"/>
                <w:right w:val="none" w:sz="0" w:space="0" w:color="auto"/>
              </w:divBdr>
            </w:div>
          </w:divsChild>
        </w:div>
        <w:div w:id="1320423423">
          <w:marLeft w:val="0"/>
          <w:marRight w:val="0"/>
          <w:marTop w:val="0"/>
          <w:marBottom w:val="0"/>
          <w:divBdr>
            <w:top w:val="none" w:sz="0" w:space="0" w:color="auto"/>
            <w:left w:val="none" w:sz="0" w:space="0" w:color="auto"/>
            <w:bottom w:val="none" w:sz="0" w:space="0" w:color="auto"/>
            <w:right w:val="none" w:sz="0" w:space="0" w:color="auto"/>
          </w:divBdr>
        </w:div>
        <w:div w:id="1563056595">
          <w:marLeft w:val="0"/>
          <w:marRight w:val="0"/>
          <w:marTop w:val="0"/>
          <w:marBottom w:val="0"/>
          <w:divBdr>
            <w:top w:val="none" w:sz="0" w:space="0" w:color="auto"/>
            <w:left w:val="none" w:sz="0" w:space="0" w:color="auto"/>
            <w:bottom w:val="none" w:sz="0" w:space="0" w:color="auto"/>
            <w:right w:val="none" w:sz="0" w:space="0" w:color="auto"/>
          </w:divBdr>
          <w:divsChild>
            <w:div w:id="441728273">
              <w:marLeft w:val="0"/>
              <w:marRight w:val="0"/>
              <w:marTop w:val="0"/>
              <w:marBottom w:val="0"/>
              <w:divBdr>
                <w:top w:val="none" w:sz="0" w:space="0" w:color="auto"/>
                <w:left w:val="none" w:sz="0" w:space="0" w:color="auto"/>
                <w:bottom w:val="none" w:sz="0" w:space="0" w:color="auto"/>
                <w:right w:val="none" w:sz="0" w:space="0" w:color="auto"/>
              </w:divBdr>
              <w:divsChild>
                <w:div w:id="9533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192">
          <w:marLeft w:val="0"/>
          <w:marRight w:val="0"/>
          <w:marTop w:val="0"/>
          <w:marBottom w:val="0"/>
          <w:divBdr>
            <w:top w:val="none" w:sz="0" w:space="0" w:color="auto"/>
            <w:left w:val="none" w:sz="0" w:space="0" w:color="auto"/>
            <w:bottom w:val="none" w:sz="0" w:space="0" w:color="auto"/>
            <w:right w:val="none" w:sz="0" w:space="0" w:color="auto"/>
          </w:divBdr>
          <w:divsChild>
            <w:div w:id="2027903056">
              <w:marLeft w:val="0"/>
              <w:marRight w:val="0"/>
              <w:marTop w:val="0"/>
              <w:marBottom w:val="0"/>
              <w:divBdr>
                <w:top w:val="none" w:sz="0" w:space="0" w:color="auto"/>
                <w:left w:val="none" w:sz="0" w:space="0" w:color="auto"/>
                <w:bottom w:val="none" w:sz="0" w:space="0" w:color="auto"/>
                <w:right w:val="none" w:sz="0" w:space="0" w:color="auto"/>
              </w:divBdr>
              <w:divsChild>
                <w:div w:id="1717387425">
                  <w:marLeft w:val="0"/>
                  <w:marRight w:val="0"/>
                  <w:marTop w:val="0"/>
                  <w:marBottom w:val="0"/>
                  <w:divBdr>
                    <w:top w:val="none" w:sz="0" w:space="0" w:color="auto"/>
                    <w:left w:val="none" w:sz="0" w:space="0" w:color="auto"/>
                    <w:bottom w:val="none" w:sz="0" w:space="0" w:color="auto"/>
                    <w:right w:val="none" w:sz="0" w:space="0" w:color="auto"/>
                  </w:divBdr>
                  <w:divsChild>
                    <w:div w:id="244657692">
                      <w:marLeft w:val="0"/>
                      <w:marRight w:val="0"/>
                      <w:marTop w:val="0"/>
                      <w:marBottom w:val="0"/>
                      <w:divBdr>
                        <w:top w:val="none" w:sz="0" w:space="0" w:color="auto"/>
                        <w:left w:val="none" w:sz="0" w:space="0" w:color="auto"/>
                        <w:bottom w:val="none" w:sz="0" w:space="0" w:color="auto"/>
                        <w:right w:val="none" w:sz="0" w:space="0" w:color="auto"/>
                      </w:divBdr>
                      <w:divsChild>
                        <w:div w:id="450519846">
                          <w:marLeft w:val="0"/>
                          <w:marRight w:val="0"/>
                          <w:marTop w:val="0"/>
                          <w:marBottom w:val="0"/>
                          <w:divBdr>
                            <w:top w:val="none" w:sz="0" w:space="0" w:color="auto"/>
                            <w:left w:val="none" w:sz="0" w:space="0" w:color="auto"/>
                            <w:bottom w:val="none" w:sz="0" w:space="0" w:color="auto"/>
                            <w:right w:val="none" w:sz="0" w:space="0" w:color="auto"/>
                          </w:divBdr>
                        </w:div>
                        <w:div w:id="1328091041">
                          <w:marLeft w:val="0"/>
                          <w:marRight w:val="0"/>
                          <w:marTop w:val="0"/>
                          <w:marBottom w:val="0"/>
                          <w:divBdr>
                            <w:top w:val="none" w:sz="0" w:space="0" w:color="auto"/>
                            <w:left w:val="none" w:sz="0" w:space="0" w:color="auto"/>
                            <w:bottom w:val="none" w:sz="0" w:space="0" w:color="auto"/>
                            <w:right w:val="none" w:sz="0" w:space="0" w:color="auto"/>
                          </w:divBdr>
                        </w:div>
                      </w:divsChild>
                    </w:div>
                    <w:div w:id="2049647458">
                      <w:marLeft w:val="0"/>
                      <w:marRight w:val="0"/>
                      <w:marTop w:val="0"/>
                      <w:marBottom w:val="0"/>
                      <w:divBdr>
                        <w:top w:val="none" w:sz="0" w:space="0" w:color="auto"/>
                        <w:left w:val="none" w:sz="0" w:space="0" w:color="auto"/>
                        <w:bottom w:val="none" w:sz="0" w:space="0" w:color="auto"/>
                        <w:right w:val="none" w:sz="0" w:space="0" w:color="auto"/>
                      </w:divBdr>
                    </w:div>
                    <w:div w:id="2016610486">
                      <w:marLeft w:val="0"/>
                      <w:marRight w:val="0"/>
                      <w:marTop w:val="0"/>
                      <w:marBottom w:val="0"/>
                      <w:divBdr>
                        <w:top w:val="none" w:sz="0" w:space="0" w:color="auto"/>
                        <w:left w:val="none" w:sz="0" w:space="0" w:color="auto"/>
                        <w:bottom w:val="none" w:sz="0" w:space="0" w:color="auto"/>
                        <w:right w:val="none" w:sz="0" w:space="0" w:color="auto"/>
                      </w:divBdr>
                    </w:div>
                    <w:div w:id="784155812">
                      <w:marLeft w:val="0"/>
                      <w:marRight w:val="0"/>
                      <w:marTop w:val="0"/>
                      <w:marBottom w:val="0"/>
                      <w:divBdr>
                        <w:top w:val="none" w:sz="0" w:space="0" w:color="auto"/>
                        <w:left w:val="none" w:sz="0" w:space="0" w:color="auto"/>
                        <w:bottom w:val="none" w:sz="0" w:space="0" w:color="auto"/>
                        <w:right w:val="none" w:sz="0" w:space="0" w:color="auto"/>
                      </w:divBdr>
                    </w:div>
                    <w:div w:id="14717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285">
              <w:marLeft w:val="0"/>
              <w:marRight w:val="0"/>
              <w:marTop w:val="0"/>
              <w:marBottom w:val="0"/>
              <w:divBdr>
                <w:top w:val="none" w:sz="0" w:space="0" w:color="auto"/>
                <w:left w:val="none" w:sz="0" w:space="0" w:color="auto"/>
                <w:bottom w:val="none" w:sz="0" w:space="0" w:color="auto"/>
                <w:right w:val="none" w:sz="0" w:space="0" w:color="auto"/>
              </w:divBdr>
            </w:div>
          </w:divsChild>
        </w:div>
        <w:div w:id="126509130">
          <w:marLeft w:val="0"/>
          <w:marRight w:val="0"/>
          <w:marTop w:val="0"/>
          <w:marBottom w:val="0"/>
          <w:divBdr>
            <w:top w:val="none" w:sz="0" w:space="0" w:color="auto"/>
            <w:left w:val="none" w:sz="0" w:space="0" w:color="auto"/>
            <w:bottom w:val="none" w:sz="0" w:space="0" w:color="auto"/>
            <w:right w:val="none" w:sz="0" w:space="0" w:color="auto"/>
          </w:divBdr>
          <w:divsChild>
            <w:div w:id="1561558045">
              <w:marLeft w:val="0"/>
              <w:marRight w:val="0"/>
              <w:marTop w:val="0"/>
              <w:marBottom w:val="0"/>
              <w:divBdr>
                <w:top w:val="none" w:sz="0" w:space="0" w:color="auto"/>
                <w:left w:val="none" w:sz="0" w:space="0" w:color="auto"/>
                <w:bottom w:val="none" w:sz="0" w:space="0" w:color="auto"/>
                <w:right w:val="none" w:sz="0" w:space="0" w:color="auto"/>
              </w:divBdr>
              <w:divsChild>
                <w:div w:id="1504785204">
                  <w:marLeft w:val="0"/>
                  <w:marRight w:val="0"/>
                  <w:marTop w:val="0"/>
                  <w:marBottom w:val="0"/>
                  <w:divBdr>
                    <w:top w:val="none" w:sz="0" w:space="0" w:color="auto"/>
                    <w:left w:val="none" w:sz="0" w:space="0" w:color="auto"/>
                    <w:bottom w:val="none" w:sz="0" w:space="0" w:color="auto"/>
                    <w:right w:val="none" w:sz="0" w:space="0" w:color="auto"/>
                  </w:divBdr>
                </w:div>
              </w:divsChild>
            </w:div>
            <w:div w:id="484854309">
              <w:marLeft w:val="0"/>
              <w:marRight w:val="0"/>
              <w:marTop w:val="0"/>
              <w:marBottom w:val="0"/>
              <w:divBdr>
                <w:top w:val="none" w:sz="0" w:space="0" w:color="auto"/>
                <w:left w:val="none" w:sz="0" w:space="0" w:color="auto"/>
                <w:bottom w:val="none" w:sz="0" w:space="0" w:color="auto"/>
                <w:right w:val="none" w:sz="0" w:space="0" w:color="auto"/>
              </w:divBdr>
            </w:div>
          </w:divsChild>
        </w:div>
        <w:div w:id="356274445">
          <w:marLeft w:val="0"/>
          <w:marRight w:val="0"/>
          <w:marTop w:val="0"/>
          <w:marBottom w:val="0"/>
          <w:divBdr>
            <w:top w:val="none" w:sz="0" w:space="0" w:color="auto"/>
            <w:left w:val="none" w:sz="0" w:space="0" w:color="auto"/>
            <w:bottom w:val="none" w:sz="0" w:space="0" w:color="auto"/>
            <w:right w:val="none" w:sz="0" w:space="0" w:color="auto"/>
          </w:divBdr>
        </w:div>
        <w:div w:id="1884634730">
          <w:marLeft w:val="0"/>
          <w:marRight w:val="0"/>
          <w:marTop w:val="0"/>
          <w:marBottom w:val="0"/>
          <w:divBdr>
            <w:top w:val="none" w:sz="0" w:space="0" w:color="auto"/>
            <w:left w:val="none" w:sz="0" w:space="0" w:color="auto"/>
            <w:bottom w:val="none" w:sz="0" w:space="0" w:color="auto"/>
            <w:right w:val="none" w:sz="0" w:space="0" w:color="auto"/>
          </w:divBdr>
        </w:div>
        <w:div w:id="1471701949">
          <w:marLeft w:val="0"/>
          <w:marRight w:val="0"/>
          <w:marTop w:val="0"/>
          <w:marBottom w:val="0"/>
          <w:divBdr>
            <w:top w:val="none" w:sz="0" w:space="0" w:color="auto"/>
            <w:left w:val="none" w:sz="0" w:space="0" w:color="auto"/>
            <w:bottom w:val="none" w:sz="0" w:space="0" w:color="auto"/>
            <w:right w:val="none" w:sz="0" w:space="0" w:color="auto"/>
          </w:divBdr>
          <w:divsChild>
            <w:div w:id="1271623610">
              <w:marLeft w:val="0"/>
              <w:marRight w:val="0"/>
              <w:marTop w:val="0"/>
              <w:marBottom w:val="0"/>
              <w:divBdr>
                <w:top w:val="none" w:sz="0" w:space="0" w:color="auto"/>
                <w:left w:val="none" w:sz="0" w:space="0" w:color="auto"/>
                <w:bottom w:val="none" w:sz="0" w:space="0" w:color="auto"/>
                <w:right w:val="none" w:sz="0" w:space="0" w:color="auto"/>
              </w:divBdr>
              <w:divsChild>
                <w:div w:id="1382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3802">
          <w:marLeft w:val="0"/>
          <w:marRight w:val="0"/>
          <w:marTop w:val="0"/>
          <w:marBottom w:val="0"/>
          <w:divBdr>
            <w:top w:val="none" w:sz="0" w:space="0" w:color="auto"/>
            <w:left w:val="none" w:sz="0" w:space="0" w:color="auto"/>
            <w:bottom w:val="none" w:sz="0" w:space="0" w:color="auto"/>
            <w:right w:val="none" w:sz="0" w:space="0" w:color="auto"/>
          </w:divBdr>
          <w:divsChild>
            <w:div w:id="779225052">
              <w:marLeft w:val="0"/>
              <w:marRight w:val="0"/>
              <w:marTop w:val="0"/>
              <w:marBottom w:val="0"/>
              <w:divBdr>
                <w:top w:val="none" w:sz="0" w:space="0" w:color="auto"/>
                <w:left w:val="none" w:sz="0" w:space="0" w:color="auto"/>
                <w:bottom w:val="none" w:sz="0" w:space="0" w:color="auto"/>
                <w:right w:val="none" w:sz="0" w:space="0" w:color="auto"/>
              </w:divBdr>
              <w:divsChild>
                <w:div w:id="982196110">
                  <w:marLeft w:val="0"/>
                  <w:marRight w:val="0"/>
                  <w:marTop w:val="0"/>
                  <w:marBottom w:val="0"/>
                  <w:divBdr>
                    <w:top w:val="none" w:sz="0" w:space="0" w:color="auto"/>
                    <w:left w:val="none" w:sz="0" w:space="0" w:color="auto"/>
                    <w:bottom w:val="none" w:sz="0" w:space="0" w:color="auto"/>
                    <w:right w:val="none" w:sz="0" w:space="0" w:color="auto"/>
                  </w:divBdr>
                  <w:divsChild>
                    <w:div w:id="1651709416">
                      <w:marLeft w:val="0"/>
                      <w:marRight w:val="0"/>
                      <w:marTop w:val="0"/>
                      <w:marBottom w:val="0"/>
                      <w:divBdr>
                        <w:top w:val="none" w:sz="0" w:space="0" w:color="auto"/>
                        <w:left w:val="none" w:sz="0" w:space="0" w:color="auto"/>
                        <w:bottom w:val="none" w:sz="0" w:space="0" w:color="auto"/>
                        <w:right w:val="none" w:sz="0" w:space="0" w:color="auto"/>
                      </w:divBdr>
                    </w:div>
                    <w:div w:id="2125689829">
                      <w:marLeft w:val="0"/>
                      <w:marRight w:val="0"/>
                      <w:marTop w:val="0"/>
                      <w:marBottom w:val="0"/>
                      <w:divBdr>
                        <w:top w:val="none" w:sz="0" w:space="0" w:color="auto"/>
                        <w:left w:val="none" w:sz="0" w:space="0" w:color="auto"/>
                        <w:bottom w:val="none" w:sz="0" w:space="0" w:color="auto"/>
                        <w:right w:val="none" w:sz="0" w:space="0" w:color="auto"/>
                      </w:divBdr>
                    </w:div>
                    <w:div w:id="1154223062">
                      <w:marLeft w:val="0"/>
                      <w:marRight w:val="0"/>
                      <w:marTop w:val="0"/>
                      <w:marBottom w:val="0"/>
                      <w:divBdr>
                        <w:top w:val="none" w:sz="0" w:space="0" w:color="auto"/>
                        <w:left w:val="none" w:sz="0" w:space="0" w:color="auto"/>
                        <w:bottom w:val="none" w:sz="0" w:space="0" w:color="auto"/>
                        <w:right w:val="none" w:sz="0" w:space="0" w:color="auto"/>
                      </w:divBdr>
                    </w:div>
                    <w:div w:id="779909377">
                      <w:marLeft w:val="0"/>
                      <w:marRight w:val="0"/>
                      <w:marTop w:val="0"/>
                      <w:marBottom w:val="0"/>
                      <w:divBdr>
                        <w:top w:val="none" w:sz="0" w:space="0" w:color="auto"/>
                        <w:left w:val="none" w:sz="0" w:space="0" w:color="auto"/>
                        <w:bottom w:val="none" w:sz="0" w:space="0" w:color="auto"/>
                        <w:right w:val="none" w:sz="0" w:space="0" w:color="auto"/>
                      </w:divBdr>
                    </w:div>
                    <w:div w:id="13482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6902">
          <w:marLeft w:val="0"/>
          <w:marRight w:val="0"/>
          <w:marTop w:val="0"/>
          <w:marBottom w:val="0"/>
          <w:divBdr>
            <w:top w:val="none" w:sz="0" w:space="0" w:color="auto"/>
            <w:left w:val="none" w:sz="0" w:space="0" w:color="auto"/>
            <w:bottom w:val="none" w:sz="0" w:space="0" w:color="auto"/>
            <w:right w:val="none" w:sz="0" w:space="0" w:color="auto"/>
          </w:divBdr>
          <w:divsChild>
            <w:div w:id="1986199775">
              <w:marLeft w:val="0"/>
              <w:marRight w:val="0"/>
              <w:marTop w:val="0"/>
              <w:marBottom w:val="0"/>
              <w:divBdr>
                <w:top w:val="none" w:sz="0" w:space="0" w:color="auto"/>
                <w:left w:val="none" w:sz="0" w:space="0" w:color="auto"/>
                <w:bottom w:val="none" w:sz="0" w:space="0" w:color="auto"/>
                <w:right w:val="none" w:sz="0" w:space="0" w:color="auto"/>
              </w:divBdr>
              <w:divsChild>
                <w:div w:id="3812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4327">
          <w:marLeft w:val="0"/>
          <w:marRight w:val="0"/>
          <w:marTop w:val="0"/>
          <w:marBottom w:val="0"/>
          <w:divBdr>
            <w:top w:val="none" w:sz="0" w:space="0" w:color="auto"/>
            <w:left w:val="none" w:sz="0" w:space="0" w:color="auto"/>
            <w:bottom w:val="none" w:sz="0" w:space="0" w:color="auto"/>
            <w:right w:val="none" w:sz="0" w:space="0" w:color="auto"/>
          </w:divBdr>
          <w:divsChild>
            <w:div w:id="2026636175">
              <w:marLeft w:val="0"/>
              <w:marRight w:val="0"/>
              <w:marTop w:val="0"/>
              <w:marBottom w:val="0"/>
              <w:divBdr>
                <w:top w:val="none" w:sz="0" w:space="0" w:color="auto"/>
                <w:left w:val="none" w:sz="0" w:space="0" w:color="auto"/>
                <w:bottom w:val="none" w:sz="0" w:space="0" w:color="auto"/>
                <w:right w:val="none" w:sz="0" w:space="0" w:color="auto"/>
              </w:divBdr>
              <w:divsChild>
                <w:div w:id="1283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2997">
          <w:marLeft w:val="0"/>
          <w:marRight w:val="0"/>
          <w:marTop w:val="0"/>
          <w:marBottom w:val="0"/>
          <w:divBdr>
            <w:top w:val="none" w:sz="0" w:space="0" w:color="auto"/>
            <w:left w:val="none" w:sz="0" w:space="0" w:color="auto"/>
            <w:bottom w:val="none" w:sz="0" w:space="0" w:color="auto"/>
            <w:right w:val="none" w:sz="0" w:space="0" w:color="auto"/>
          </w:divBdr>
          <w:divsChild>
            <w:div w:id="1449202708">
              <w:marLeft w:val="0"/>
              <w:marRight w:val="0"/>
              <w:marTop w:val="0"/>
              <w:marBottom w:val="0"/>
              <w:divBdr>
                <w:top w:val="none" w:sz="0" w:space="0" w:color="auto"/>
                <w:left w:val="none" w:sz="0" w:space="0" w:color="auto"/>
                <w:bottom w:val="none" w:sz="0" w:space="0" w:color="auto"/>
                <w:right w:val="none" w:sz="0" w:space="0" w:color="auto"/>
              </w:divBdr>
              <w:divsChild>
                <w:div w:id="19788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2905">
          <w:marLeft w:val="0"/>
          <w:marRight w:val="0"/>
          <w:marTop w:val="0"/>
          <w:marBottom w:val="0"/>
          <w:divBdr>
            <w:top w:val="none" w:sz="0" w:space="0" w:color="auto"/>
            <w:left w:val="none" w:sz="0" w:space="0" w:color="auto"/>
            <w:bottom w:val="none" w:sz="0" w:space="0" w:color="auto"/>
            <w:right w:val="none" w:sz="0" w:space="0" w:color="auto"/>
          </w:divBdr>
        </w:div>
        <w:div w:id="652024286">
          <w:marLeft w:val="0"/>
          <w:marRight w:val="0"/>
          <w:marTop w:val="0"/>
          <w:marBottom w:val="0"/>
          <w:divBdr>
            <w:top w:val="none" w:sz="0" w:space="0" w:color="auto"/>
            <w:left w:val="none" w:sz="0" w:space="0" w:color="auto"/>
            <w:bottom w:val="none" w:sz="0" w:space="0" w:color="auto"/>
            <w:right w:val="none" w:sz="0" w:space="0" w:color="auto"/>
          </w:divBdr>
        </w:div>
        <w:div w:id="468255198">
          <w:marLeft w:val="0"/>
          <w:marRight w:val="0"/>
          <w:marTop w:val="0"/>
          <w:marBottom w:val="0"/>
          <w:divBdr>
            <w:top w:val="none" w:sz="0" w:space="0" w:color="auto"/>
            <w:left w:val="none" w:sz="0" w:space="0" w:color="auto"/>
            <w:bottom w:val="none" w:sz="0" w:space="0" w:color="auto"/>
            <w:right w:val="none" w:sz="0" w:space="0" w:color="auto"/>
          </w:divBdr>
          <w:divsChild>
            <w:div w:id="2106345177">
              <w:marLeft w:val="0"/>
              <w:marRight w:val="0"/>
              <w:marTop w:val="0"/>
              <w:marBottom w:val="0"/>
              <w:divBdr>
                <w:top w:val="none" w:sz="0" w:space="0" w:color="auto"/>
                <w:left w:val="none" w:sz="0" w:space="0" w:color="auto"/>
                <w:bottom w:val="none" w:sz="0" w:space="0" w:color="auto"/>
                <w:right w:val="none" w:sz="0" w:space="0" w:color="auto"/>
              </w:divBdr>
              <w:divsChild>
                <w:div w:id="19042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0701">
          <w:marLeft w:val="0"/>
          <w:marRight w:val="0"/>
          <w:marTop w:val="0"/>
          <w:marBottom w:val="0"/>
          <w:divBdr>
            <w:top w:val="none" w:sz="0" w:space="0" w:color="auto"/>
            <w:left w:val="none" w:sz="0" w:space="0" w:color="auto"/>
            <w:bottom w:val="none" w:sz="0" w:space="0" w:color="auto"/>
            <w:right w:val="none" w:sz="0" w:space="0" w:color="auto"/>
          </w:divBdr>
          <w:divsChild>
            <w:div w:id="367685732">
              <w:marLeft w:val="0"/>
              <w:marRight w:val="0"/>
              <w:marTop w:val="0"/>
              <w:marBottom w:val="0"/>
              <w:divBdr>
                <w:top w:val="none" w:sz="0" w:space="0" w:color="auto"/>
                <w:left w:val="none" w:sz="0" w:space="0" w:color="auto"/>
                <w:bottom w:val="none" w:sz="0" w:space="0" w:color="auto"/>
                <w:right w:val="none" w:sz="0" w:space="0" w:color="auto"/>
              </w:divBdr>
              <w:divsChild>
                <w:div w:id="7167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6668">
          <w:marLeft w:val="0"/>
          <w:marRight w:val="0"/>
          <w:marTop w:val="0"/>
          <w:marBottom w:val="0"/>
          <w:divBdr>
            <w:top w:val="none" w:sz="0" w:space="0" w:color="auto"/>
            <w:left w:val="none" w:sz="0" w:space="0" w:color="auto"/>
            <w:bottom w:val="none" w:sz="0" w:space="0" w:color="auto"/>
            <w:right w:val="none" w:sz="0" w:space="0" w:color="auto"/>
          </w:divBdr>
          <w:divsChild>
            <w:div w:id="2096826193">
              <w:marLeft w:val="0"/>
              <w:marRight w:val="0"/>
              <w:marTop w:val="0"/>
              <w:marBottom w:val="0"/>
              <w:divBdr>
                <w:top w:val="none" w:sz="0" w:space="0" w:color="auto"/>
                <w:left w:val="none" w:sz="0" w:space="0" w:color="auto"/>
                <w:bottom w:val="none" w:sz="0" w:space="0" w:color="auto"/>
                <w:right w:val="none" w:sz="0" w:space="0" w:color="auto"/>
              </w:divBdr>
              <w:divsChild>
                <w:div w:id="687829270">
                  <w:marLeft w:val="0"/>
                  <w:marRight w:val="0"/>
                  <w:marTop w:val="0"/>
                  <w:marBottom w:val="0"/>
                  <w:divBdr>
                    <w:top w:val="none" w:sz="0" w:space="0" w:color="auto"/>
                    <w:left w:val="none" w:sz="0" w:space="0" w:color="auto"/>
                    <w:bottom w:val="none" w:sz="0" w:space="0" w:color="auto"/>
                    <w:right w:val="none" w:sz="0" w:space="0" w:color="auto"/>
                  </w:divBdr>
                  <w:divsChild>
                    <w:div w:id="1921283191">
                      <w:marLeft w:val="0"/>
                      <w:marRight w:val="0"/>
                      <w:marTop w:val="0"/>
                      <w:marBottom w:val="0"/>
                      <w:divBdr>
                        <w:top w:val="none" w:sz="0" w:space="0" w:color="auto"/>
                        <w:left w:val="none" w:sz="0" w:space="0" w:color="auto"/>
                        <w:bottom w:val="none" w:sz="0" w:space="0" w:color="auto"/>
                        <w:right w:val="none" w:sz="0" w:space="0" w:color="auto"/>
                      </w:divBdr>
                    </w:div>
                    <w:div w:id="776681239">
                      <w:marLeft w:val="0"/>
                      <w:marRight w:val="0"/>
                      <w:marTop w:val="0"/>
                      <w:marBottom w:val="0"/>
                      <w:divBdr>
                        <w:top w:val="none" w:sz="0" w:space="0" w:color="auto"/>
                        <w:left w:val="none" w:sz="0" w:space="0" w:color="auto"/>
                        <w:bottom w:val="none" w:sz="0" w:space="0" w:color="auto"/>
                        <w:right w:val="none" w:sz="0" w:space="0" w:color="auto"/>
                      </w:divBdr>
                    </w:div>
                    <w:div w:id="60637962">
                      <w:marLeft w:val="0"/>
                      <w:marRight w:val="0"/>
                      <w:marTop w:val="0"/>
                      <w:marBottom w:val="0"/>
                      <w:divBdr>
                        <w:top w:val="none" w:sz="0" w:space="0" w:color="auto"/>
                        <w:left w:val="none" w:sz="0" w:space="0" w:color="auto"/>
                        <w:bottom w:val="none" w:sz="0" w:space="0" w:color="auto"/>
                        <w:right w:val="none" w:sz="0" w:space="0" w:color="auto"/>
                      </w:divBdr>
                    </w:div>
                    <w:div w:id="16410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43080">
          <w:marLeft w:val="0"/>
          <w:marRight w:val="0"/>
          <w:marTop w:val="0"/>
          <w:marBottom w:val="0"/>
          <w:divBdr>
            <w:top w:val="none" w:sz="0" w:space="0" w:color="auto"/>
            <w:left w:val="none" w:sz="0" w:space="0" w:color="auto"/>
            <w:bottom w:val="none" w:sz="0" w:space="0" w:color="auto"/>
            <w:right w:val="none" w:sz="0" w:space="0" w:color="auto"/>
          </w:divBdr>
          <w:divsChild>
            <w:div w:id="499081202">
              <w:marLeft w:val="0"/>
              <w:marRight w:val="0"/>
              <w:marTop w:val="0"/>
              <w:marBottom w:val="0"/>
              <w:divBdr>
                <w:top w:val="none" w:sz="0" w:space="0" w:color="auto"/>
                <w:left w:val="none" w:sz="0" w:space="0" w:color="auto"/>
                <w:bottom w:val="none" w:sz="0" w:space="0" w:color="auto"/>
                <w:right w:val="none" w:sz="0" w:space="0" w:color="auto"/>
              </w:divBdr>
              <w:divsChild>
                <w:div w:id="458451659">
                  <w:marLeft w:val="0"/>
                  <w:marRight w:val="0"/>
                  <w:marTop w:val="0"/>
                  <w:marBottom w:val="0"/>
                  <w:divBdr>
                    <w:top w:val="none" w:sz="0" w:space="0" w:color="auto"/>
                    <w:left w:val="none" w:sz="0" w:space="0" w:color="auto"/>
                    <w:bottom w:val="none" w:sz="0" w:space="0" w:color="auto"/>
                    <w:right w:val="none" w:sz="0" w:space="0" w:color="auto"/>
                  </w:divBdr>
                  <w:divsChild>
                    <w:div w:id="942305837">
                      <w:marLeft w:val="0"/>
                      <w:marRight w:val="0"/>
                      <w:marTop w:val="0"/>
                      <w:marBottom w:val="0"/>
                      <w:divBdr>
                        <w:top w:val="none" w:sz="0" w:space="0" w:color="auto"/>
                        <w:left w:val="none" w:sz="0" w:space="0" w:color="auto"/>
                        <w:bottom w:val="none" w:sz="0" w:space="0" w:color="auto"/>
                        <w:right w:val="none" w:sz="0" w:space="0" w:color="auto"/>
                      </w:divBdr>
                    </w:div>
                    <w:div w:id="1440833418">
                      <w:marLeft w:val="0"/>
                      <w:marRight w:val="0"/>
                      <w:marTop w:val="0"/>
                      <w:marBottom w:val="0"/>
                      <w:divBdr>
                        <w:top w:val="none" w:sz="0" w:space="0" w:color="auto"/>
                        <w:left w:val="none" w:sz="0" w:space="0" w:color="auto"/>
                        <w:bottom w:val="none" w:sz="0" w:space="0" w:color="auto"/>
                        <w:right w:val="none" w:sz="0" w:space="0" w:color="auto"/>
                      </w:divBdr>
                    </w:div>
                    <w:div w:id="1413889315">
                      <w:marLeft w:val="0"/>
                      <w:marRight w:val="0"/>
                      <w:marTop w:val="0"/>
                      <w:marBottom w:val="0"/>
                      <w:divBdr>
                        <w:top w:val="none" w:sz="0" w:space="0" w:color="auto"/>
                        <w:left w:val="none" w:sz="0" w:space="0" w:color="auto"/>
                        <w:bottom w:val="none" w:sz="0" w:space="0" w:color="auto"/>
                        <w:right w:val="none" w:sz="0" w:space="0" w:color="auto"/>
                      </w:divBdr>
                    </w:div>
                    <w:div w:id="35012761">
                      <w:marLeft w:val="0"/>
                      <w:marRight w:val="0"/>
                      <w:marTop w:val="0"/>
                      <w:marBottom w:val="0"/>
                      <w:divBdr>
                        <w:top w:val="none" w:sz="0" w:space="0" w:color="auto"/>
                        <w:left w:val="none" w:sz="0" w:space="0" w:color="auto"/>
                        <w:bottom w:val="none" w:sz="0" w:space="0" w:color="auto"/>
                        <w:right w:val="none" w:sz="0" w:space="0" w:color="auto"/>
                      </w:divBdr>
                    </w:div>
                    <w:div w:id="9877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5289">
          <w:marLeft w:val="0"/>
          <w:marRight w:val="0"/>
          <w:marTop w:val="0"/>
          <w:marBottom w:val="0"/>
          <w:divBdr>
            <w:top w:val="none" w:sz="0" w:space="0" w:color="auto"/>
            <w:left w:val="none" w:sz="0" w:space="0" w:color="auto"/>
            <w:bottom w:val="none" w:sz="0" w:space="0" w:color="auto"/>
            <w:right w:val="none" w:sz="0" w:space="0" w:color="auto"/>
          </w:divBdr>
          <w:divsChild>
            <w:div w:id="1843163304">
              <w:marLeft w:val="0"/>
              <w:marRight w:val="0"/>
              <w:marTop w:val="0"/>
              <w:marBottom w:val="0"/>
              <w:divBdr>
                <w:top w:val="none" w:sz="0" w:space="0" w:color="auto"/>
                <w:left w:val="none" w:sz="0" w:space="0" w:color="auto"/>
                <w:bottom w:val="none" w:sz="0" w:space="0" w:color="auto"/>
                <w:right w:val="none" w:sz="0" w:space="0" w:color="auto"/>
              </w:divBdr>
              <w:divsChild>
                <w:div w:id="16216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9773">
          <w:marLeft w:val="0"/>
          <w:marRight w:val="0"/>
          <w:marTop w:val="0"/>
          <w:marBottom w:val="0"/>
          <w:divBdr>
            <w:top w:val="none" w:sz="0" w:space="0" w:color="auto"/>
            <w:left w:val="none" w:sz="0" w:space="0" w:color="auto"/>
            <w:bottom w:val="none" w:sz="0" w:space="0" w:color="auto"/>
            <w:right w:val="none" w:sz="0" w:space="0" w:color="auto"/>
          </w:divBdr>
          <w:divsChild>
            <w:div w:id="27142546">
              <w:marLeft w:val="0"/>
              <w:marRight w:val="0"/>
              <w:marTop w:val="0"/>
              <w:marBottom w:val="0"/>
              <w:divBdr>
                <w:top w:val="none" w:sz="0" w:space="0" w:color="auto"/>
                <w:left w:val="none" w:sz="0" w:space="0" w:color="auto"/>
                <w:bottom w:val="none" w:sz="0" w:space="0" w:color="auto"/>
                <w:right w:val="none" w:sz="0" w:space="0" w:color="auto"/>
              </w:divBdr>
              <w:divsChild>
                <w:div w:id="12644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0008">
          <w:marLeft w:val="0"/>
          <w:marRight w:val="0"/>
          <w:marTop w:val="0"/>
          <w:marBottom w:val="0"/>
          <w:divBdr>
            <w:top w:val="none" w:sz="0" w:space="0" w:color="auto"/>
            <w:left w:val="none" w:sz="0" w:space="0" w:color="auto"/>
            <w:bottom w:val="none" w:sz="0" w:space="0" w:color="auto"/>
            <w:right w:val="none" w:sz="0" w:space="0" w:color="auto"/>
          </w:divBdr>
          <w:divsChild>
            <w:div w:id="1347512818">
              <w:marLeft w:val="0"/>
              <w:marRight w:val="0"/>
              <w:marTop w:val="0"/>
              <w:marBottom w:val="0"/>
              <w:divBdr>
                <w:top w:val="none" w:sz="0" w:space="0" w:color="auto"/>
                <w:left w:val="none" w:sz="0" w:space="0" w:color="auto"/>
                <w:bottom w:val="none" w:sz="0" w:space="0" w:color="auto"/>
                <w:right w:val="none" w:sz="0" w:space="0" w:color="auto"/>
              </w:divBdr>
              <w:divsChild>
                <w:div w:id="18142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8825">
          <w:marLeft w:val="0"/>
          <w:marRight w:val="0"/>
          <w:marTop w:val="0"/>
          <w:marBottom w:val="0"/>
          <w:divBdr>
            <w:top w:val="none" w:sz="0" w:space="0" w:color="auto"/>
            <w:left w:val="none" w:sz="0" w:space="0" w:color="auto"/>
            <w:bottom w:val="none" w:sz="0" w:space="0" w:color="auto"/>
            <w:right w:val="none" w:sz="0" w:space="0" w:color="auto"/>
          </w:divBdr>
          <w:divsChild>
            <w:div w:id="2061853491">
              <w:marLeft w:val="0"/>
              <w:marRight w:val="0"/>
              <w:marTop w:val="0"/>
              <w:marBottom w:val="0"/>
              <w:divBdr>
                <w:top w:val="none" w:sz="0" w:space="0" w:color="auto"/>
                <w:left w:val="none" w:sz="0" w:space="0" w:color="auto"/>
                <w:bottom w:val="none" w:sz="0" w:space="0" w:color="auto"/>
                <w:right w:val="none" w:sz="0" w:space="0" w:color="auto"/>
              </w:divBdr>
              <w:divsChild>
                <w:div w:id="18077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0234">
          <w:marLeft w:val="0"/>
          <w:marRight w:val="0"/>
          <w:marTop w:val="0"/>
          <w:marBottom w:val="0"/>
          <w:divBdr>
            <w:top w:val="none" w:sz="0" w:space="0" w:color="auto"/>
            <w:left w:val="none" w:sz="0" w:space="0" w:color="auto"/>
            <w:bottom w:val="none" w:sz="0" w:space="0" w:color="auto"/>
            <w:right w:val="none" w:sz="0" w:space="0" w:color="auto"/>
          </w:divBdr>
          <w:divsChild>
            <w:div w:id="1598438368">
              <w:marLeft w:val="0"/>
              <w:marRight w:val="0"/>
              <w:marTop w:val="0"/>
              <w:marBottom w:val="0"/>
              <w:divBdr>
                <w:top w:val="none" w:sz="0" w:space="0" w:color="auto"/>
                <w:left w:val="none" w:sz="0" w:space="0" w:color="auto"/>
                <w:bottom w:val="none" w:sz="0" w:space="0" w:color="auto"/>
                <w:right w:val="none" w:sz="0" w:space="0" w:color="auto"/>
              </w:divBdr>
              <w:divsChild>
                <w:div w:id="12819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6189">
          <w:marLeft w:val="0"/>
          <w:marRight w:val="0"/>
          <w:marTop w:val="0"/>
          <w:marBottom w:val="0"/>
          <w:divBdr>
            <w:top w:val="none" w:sz="0" w:space="0" w:color="auto"/>
            <w:left w:val="none" w:sz="0" w:space="0" w:color="auto"/>
            <w:bottom w:val="none" w:sz="0" w:space="0" w:color="auto"/>
            <w:right w:val="none" w:sz="0" w:space="0" w:color="auto"/>
          </w:divBdr>
        </w:div>
        <w:div w:id="508720026">
          <w:marLeft w:val="0"/>
          <w:marRight w:val="0"/>
          <w:marTop w:val="0"/>
          <w:marBottom w:val="0"/>
          <w:divBdr>
            <w:top w:val="none" w:sz="0" w:space="0" w:color="auto"/>
            <w:left w:val="none" w:sz="0" w:space="0" w:color="auto"/>
            <w:bottom w:val="none" w:sz="0" w:space="0" w:color="auto"/>
            <w:right w:val="none" w:sz="0" w:space="0" w:color="auto"/>
          </w:divBdr>
          <w:divsChild>
            <w:div w:id="1644507020">
              <w:marLeft w:val="0"/>
              <w:marRight w:val="0"/>
              <w:marTop w:val="0"/>
              <w:marBottom w:val="0"/>
              <w:divBdr>
                <w:top w:val="none" w:sz="0" w:space="0" w:color="auto"/>
                <w:left w:val="none" w:sz="0" w:space="0" w:color="auto"/>
                <w:bottom w:val="none" w:sz="0" w:space="0" w:color="auto"/>
                <w:right w:val="none" w:sz="0" w:space="0" w:color="auto"/>
              </w:divBdr>
              <w:divsChild>
                <w:div w:id="1030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3012">
          <w:marLeft w:val="0"/>
          <w:marRight w:val="0"/>
          <w:marTop w:val="0"/>
          <w:marBottom w:val="0"/>
          <w:divBdr>
            <w:top w:val="none" w:sz="0" w:space="0" w:color="auto"/>
            <w:left w:val="none" w:sz="0" w:space="0" w:color="auto"/>
            <w:bottom w:val="none" w:sz="0" w:space="0" w:color="auto"/>
            <w:right w:val="none" w:sz="0" w:space="0" w:color="auto"/>
          </w:divBdr>
          <w:divsChild>
            <w:div w:id="1816993509">
              <w:marLeft w:val="0"/>
              <w:marRight w:val="0"/>
              <w:marTop w:val="0"/>
              <w:marBottom w:val="0"/>
              <w:divBdr>
                <w:top w:val="none" w:sz="0" w:space="0" w:color="auto"/>
                <w:left w:val="none" w:sz="0" w:space="0" w:color="auto"/>
                <w:bottom w:val="none" w:sz="0" w:space="0" w:color="auto"/>
                <w:right w:val="none" w:sz="0" w:space="0" w:color="auto"/>
              </w:divBdr>
              <w:divsChild>
                <w:div w:id="19488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60581">
          <w:marLeft w:val="0"/>
          <w:marRight w:val="0"/>
          <w:marTop w:val="0"/>
          <w:marBottom w:val="0"/>
          <w:divBdr>
            <w:top w:val="none" w:sz="0" w:space="0" w:color="auto"/>
            <w:left w:val="none" w:sz="0" w:space="0" w:color="auto"/>
            <w:bottom w:val="none" w:sz="0" w:space="0" w:color="auto"/>
            <w:right w:val="none" w:sz="0" w:space="0" w:color="auto"/>
          </w:divBdr>
          <w:divsChild>
            <w:div w:id="592936954">
              <w:marLeft w:val="0"/>
              <w:marRight w:val="0"/>
              <w:marTop w:val="0"/>
              <w:marBottom w:val="0"/>
              <w:divBdr>
                <w:top w:val="none" w:sz="0" w:space="0" w:color="auto"/>
                <w:left w:val="none" w:sz="0" w:space="0" w:color="auto"/>
                <w:bottom w:val="none" w:sz="0" w:space="0" w:color="auto"/>
                <w:right w:val="none" w:sz="0" w:space="0" w:color="auto"/>
              </w:divBdr>
              <w:divsChild>
                <w:div w:id="541208340">
                  <w:marLeft w:val="0"/>
                  <w:marRight w:val="0"/>
                  <w:marTop w:val="0"/>
                  <w:marBottom w:val="0"/>
                  <w:divBdr>
                    <w:top w:val="none" w:sz="0" w:space="0" w:color="auto"/>
                    <w:left w:val="none" w:sz="0" w:space="0" w:color="auto"/>
                    <w:bottom w:val="none" w:sz="0" w:space="0" w:color="auto"/>
                    <w:right w:val="none" w:sz="0" w:space="0" w:color="auto"/>
                  </w:divBdr>
                  <w:divsChild>
                    <w:div w:id="344863566">
                      <w:marLeft w:val="0"/>
                      <w:marRight w:val="0"/>
                      <w:marTop w:val="0"/>
                      <w:marBottom w:val="0"/>
                      <w:divBdr>
                        <w:top w:val="none" w:sz="0" w:space="0" w:color="auto"/>
                        <w:left w:val="none" w:sz="0" w:space="0" w:color="auto"/>
                        <w:bottom w:val="none" w:sz="0" w:space="0" w:color="auto"/>
                        <w:right w:val="none" w:sz="0" w:space="0" w:color="auto"/>
                      </w:divBdr>
                    </w:div>
                    <w:div w:id="1068267130">
                      <w:marLeft w:val="0"/>
                      <w:marRight w:val="0"/>
                      <w:marTop w:val="0"/>
                      <w:marBottom w:val="0"/>
                      <w:divBdr>
                        <w:top w:val="none" w:sz="0" w:space="0" w:color="auto"/>
                        <w:left w:val="none" w:sz="0" w:space="0" w:color="auto"/>
                        <w:bottom w:val="none" w:sz="0" w:space="0" w:color="auto"/>
                        <w:right w:val="none" w:sz="0" w:space="0" w:color="auto"/>
                      </w:divBdr>
                    </w:div>
                    <w:div w:id="14085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74329">
          <w:marLeft w:val="0"/>
          <w:marRight w:val="0"/>
          <w:marTop w:val="0"/>
          <w:marBottom w:val="0"/>
          <w:divBdr>
            <w:top w:val="none" w:sz="0" w:space="0" w:color="auto"/>
            <w:left w:val="none" w:sz="0" w:space="0" w:color="auto"/>
            <w:bottom w:val="none" w:sz="0" w:space="0" w:color="auto"/>
            <w:right w:val="none" w:sz="0" w:space="0" w:color="auto"/>
          </w:divBdr>
          <w:divsChild>
            <w:div w:id="325282002">
              <w:marLeft w:val="0"/>
              <w:marRight w:val="0"/>
              <w:marTop w:val="0"/>
              <w:marBottom w:val="0"/>
              <w:divBdr>
                <w:top w:val="none" w:sz="0" w:space="0" w:color="auto"/>
                <w:left w:val="none" w:sz="0" w:space="0" w:color="auto"/>
                <w:bottom w:val="none" w:sz="0" w:space="0" w:color="auto"/>
                <w:right w:val="none" w:sz="0" w:space="0" w:color="auto"/>
              </w:divBdr>
              <w:divsChild>
                <w:div w:id="5293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8059">
          <w:marLeft w:val="0"/>
          <w:marRight w:val="0"/>
          <w:marTop w:val="0"/>
          <w:marBottom w:val="0"/>
          <w:divBdr>
            <w:top w:val="none" w:sz="0" w:space="0" w:color="auto"/>
            <w:left w:val="none" w:sz="0" w:space="0" w:color="auto"/>
            <w:bottom w:val="none" w:sz="0" w:space="0" w:color="auto"/>
            <w:right w:val="none" w:sz="0" w:space="0" w:color="auto"/>
          </w:divBdr>
          <w:divsChild>
            <w:div w:id="2072148986">
              <w:marLeft w:val="0"/>
              <w:marRight w:val="0"/>
              <w:marTop w:val="0"/>
              <w:marBottom w:val="0"/>
              <w:divBdr>
                <w:top w:val="none" w:sz="0" w:space="0" w:color="auto"/>
                <w:left w:val="none" w:sz="0" w:space="0" w:color="auto"/>
                <w:bottom w:val="none" w:sz="0" w:space="0" w:color="auto"/>
                <w:right w:val="none" w:sz="0" w:space="0" w:color="auto"/>
              </w:divBdr>
              <w:divsChild>
                <w:div w:id="49811750">
                  <w:marLeft w:val="0"/>
                  <w:marRight w:val="0"/>
                  <w:marTop w:val="0"/>
                  <w:marBottom w:val="0"/>
                  <w:divBdr>
                    <w:top w:val="none" w:sz="0" w:space="0" w:color="auto"/>
                    <w:left w:val="none" w:sz="0" w:space="0" w:color="auto"/>
                    <w:bottom w:val="none" w:sz="0" w:space="0" w:color="auto"/>
                    <w:right w:val="none" w:sz="0" w:space="0" w:color="auto"/>
                  </w:divBdr>
                  <w:divsChild>
                    <w:div w:id="1633367786">
                      <w:marLeft w:val="0"/>
                      <w:marRight w:val="0"/>
                      <w:marTop w:val="0"/>
                      <w:marBottom w:val="0"/>
                      <w:divBdr>
                        <w:top w:val="none" w:sz="0" w:space="0" w:color="auto"/>
                        <w:left w:val="none" w:sz="0" w:space="0" w:color="auto"/>
                        <w:bottom w:val="none" w:sz="0" w:space="0" w:color="auto"/>
                        <w:right w:val="none" w:sz="0" w:space="0" w:color="auto"/>
                      </w:divBdr>
                      <w:divsChild>
                        <w:div w:id="316345431">
                          <w:marLeft w:val="0"/>
                          <w:marRight w:val="0"/>
                          <w:marTop w:val="0"/>
                          <w:marBottom w:val="0"/>
                          <w:divBdr>
                            <w:top w:val="none" w:sz="0" w:space="0" w:color="auto"/>
                            <w:left w:val="none" w:sz="0" w:space="0" w:color="auto"/>
                            <w:bottom w:val="none" w:sz="0" w:space="0" w:color="auto"/>
                            <w:right w:val="none" w:sz="0" w:space="0" w:color="auto"/>
                          </w:divBdr>
                          <w:divsChild>
                            <w:div w:id="633684090">
                              <w:marLeft w:val="0"/>
                              <w:marRight w:val="0"/>
                              <w:marTop w:val="0"/>
                              <w:marBottom w:val="0"/>
                              <w:divBdr>
                                <w:top w:val="none" w:sz="0" w:space="0" w:color="auto"/>
                                <w:left w:val="none" w:sz="0" w:space="0" w:color="auto"/>
                                <w:bottom w:val="none" w:sz="0" w:space="0" w:color="auto"/>
                                <w:right w:val="none" w:sz="0" w:space="0" w:color="auto"/>
                              </w:divBdr>
                            </w:div>
                            <w:div w:id="575093325">
                              <w:marLeft w:val="0"/>
                              <w:marRight w:val="0"/>
                              <w:marTop w:val="0"/>
                              <w:marBottom w:val="0"/>
                              <w:divBdr>
                                <w:top w:val="none" w:sz="0" w:space="0" w:color="auto"/>
                                <w:left w:val="none" w:sz="0" w:space="0" w:color="auto"/>
                                <w:bottom w:val="none" w:sz="0" w:space="0" w:color="auto"/>
                                <w:right w:val="none" w:sz="0" w:space="0" w:color="auto"/>
                              </w:divBdr>
                            </w:div>
                            <w:div w:id="1091241184">
                              <w:marLeft w:val="0"/>
                              <w:marRight w:val="0"/>
                              <w:marTop w:val="0"/>
                              <w:marBottom w:val="0"/>
                              <w:divBdr>
                                <w:top w:val="none" w:sz="0" w:space="0" w:color="auto"/>
                                <w:left w:val="none" w:sz="0" w:space="0" w:color="auto"/>
                                <w:bottom w:val="none" w:sz="0" w:space="0" w:color="auto"/>
                                <w:right w:val="none" w:sz="0" w:space="0" w:color="auto"/>
                              </w:divBdr>
                            </w:div>
                            <w:div w:id="101918694">
                              <w:marLeft w:val="0"/>
                              <w:marRight w:val="0"/>
                              <w:marTop w:val="0"/>
                              <w:marBottom w:val="0"/>
                              <w:divBdr>
                                <w:top w:val="none" w:sz="0" w:space="0" w:color="auto"/>
                                <w:left w:val="none" w:sz="0" w:space="0" w:color="auto"/>
                                <w:bottom w:val="none" w:sz="0" w:space="0" w:color="auto"/>
                                <w:right w:val="none" w:sz="0" w:space="0" w:color="auto"/>
                              </w:divBdr>
                            </w:div>
                            <w:div w:id="1216812872">
                              <w:marLeft w:val="0"/>
                              <w:marRight w:val="0"/>
                              <w:marTop w:val="0"/>
                              <w:marBottom w:val="0"/>
                              <w:divBdr>
                                <w:top w:val="none" w:sz="0" w:space="0" w:color="auto"/>
                                <w:left w:val="none" w:sz="0" w:space="0" w:color="auto"/>
                                <w:bottom w:val="none" w:sz="0" w:space="0" w:color="auto"/>
                                <w:right w:val="none" w:sz="0" w:space="0" w:color="auto"/>
                              </w:divBdr>
                            </w:div>
                            <w:div w:id="898132127">
                              <w:marLeft w:val="0"/>
                              <w:marRight w:val="0"/>
                              <w:marTop w:val="0"/>
                              <w:marBottom w:val="0"/>
                              <w:divBdr>
                                <w:top w:val="none" w:sz="0" w:space="0" w:color="auto"/>
                                <w:left w:val="none" w:sz="0" w:space="0" w:color="auto"/>
                                <w:bottom w:val="none" w:sz="0" w:space="0" w:color="auto"/>
                                <w:right w:val="none" w:sz="0" w:space="0" w:color="auto"/>
                              </w:divBdr>
                            </w:div>
                            <w:div w:id="1364285552">
                              <w:marLeft w:val="0"/>
                              <w:marRight w:val="0"/>
                              <w:marTop w:val="0"/>
                              <w:marBottom w:val="0"/>
                              <w:divBdr>
                                <w:top w:val="none" w:sz="0" w:space="0" w:color="auto"/>
                                <w:left w:val="none" w:sz="0" w:space="0" w:color="auto"/>
                                <w:bottom w:val="none" w:sz="0" w:space="0" w:color="auto"/>
                                <w:right w:val="none" w:sz="0" w:space="0" w:color="auto"/>
                              </w:divBdr>
                            </w:div>
                            <w:div w:id="17557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8039">
                      <w:marLeft w:val="0"/>
                      <w:marRight w:val="0"/>
                      <w:marTop w:val="0"/>
                      <w:marBottom w:val="0"/>
                      <w:divBdr>
                        <w:top w:val="none" w:sz="0" w:space="0" w:color="auto"/>
                        <w:left w:val="none" w:sz="0" w:space="0" w:color="auto"/>
                        <w:bottom w:val="none" w:sz="0" w:space="0" w:color="auto"/>
                        <w:right w:val="none" w:sz="0" w:space="0" w:color="auto"/>
                      </w:divBdr>
                      <w:divsChild>
                        <w:div w:id="639191661">
                          <w:marLeft w:val="0"/>
                          <w:marRight w:val="0"/>
                          <w:marTop w:val="0"/>
                          <w:marBottom w:val="0"/>
                          <w:divBdr>
                            <w:top w:val="none" w:sz="0" w:space="0" w:color="auto"/>
                            <w:left w:val="none" w:sz="0" w:space="0" w:color="auto"/>
                            <w:bottom w:val="none" w:sz="0" w:space="0" w:color="auto"/>
                            <w:right w:val="none" w:sz="0" w:space="0" w:color="auto"/>
                          </w:divBdr>
                          <w:divsChild>
                            <w:div w:id="11308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960652">
          <w:marLeft w:val="0"/>
          <w:marRight w:val="0"/>
          <w:marTop w:val="0"/>
          <w:marBottom w:val="0"/>
          <w:divBdr>
            <w:top w:val="none" w:sz="0" w:space="0" w:color="auto"/>
            <w:left w:val="none" w:sz="0" w:space="0" w:color="auto"/>
            <w:bottom w:val="none" w:sz="0" w:space="0" w:color="auto"/>
            <w:right w:val="none" w:sz="0" w:space="0" w:color="auto"/>
          </w:divBdr>
          <w:divsChild>
            <w:div w:id="1886259841">
              <w:marLeft w:val="0"/>
              <w:marRight w:val="0"/>
              <w:marTop w:val="0"/>
              <w:marBottom w:val="0"/>
              <w:divBdr>
                <w:top w:val="none" w:sz="0" w:space="0" w:color="auto"/>
                <w:left w:val="none" w:sz="0" w:space="0" w:color="auto"/>
                <w:bottom w:val="none" w:sz="0" w:space="0" w:color="auto"/>
                <w:right w:val="none" w:sz="0" w:space="0" w:color="auto"/>
              </w:divBdr>
              <w:divsChild>
                <w:div w:id="2767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5885">
          <w:marLeft w:val="0"/>
          <w:marRight w:val="0"/>
          <w:marTop w:val="0"/>
          <w:marBottom w:val="0"/>
          <w:divBdr>
            <w:top w:val="none" w:sz="0" w:space="0" w:color="auto"/>
            <w:left w:val="none" w:sz="0" w:space="0" w:color="auto"/>
            <w:bottom w:val="none" w:sz="0" w:space="0" w:color="auto"/>
            <w:right w:val="none" w:sz="0" w:space="0" w:color="auto"/>
          </w:divBdr>
          <w:divsChild>
            <w:div w:id="745496402">
              <w:marLeft w:val="0"/>
              <w:marRight w:val="0"/>
              <w:marTop w:val="0"/>
              <w:marBottom w:val="0"/>
              <w:divBdr>
                <w:top w:val="none" w:sz="0" w:space="0" w:color="auto"/>
                <w:left w:val="none" w:sz="0" w:space="0" w:color="auto"/>
                <w:bottom w:val="none" w:sz="0" w:space="0" w:color="auto"/>
                <w:right w:val="none" w:sz="0" w:space="0" w:color="auto"/>
              </w:divBdr>
              <w:divsChild>
                <w:div w:id="11068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8299">
          <w:marLeft w:val="0"/>
          <w:marRight w:val="0"/>
          <w:marTop w:val="0"/>
          <w:marBottom w:val="0"/>
          <w:divBdr>
            <w:top w:val="none" w:sz="0" w:space="0" w:color="auto"/>
            <w:left w:val="none" w:sz="0" w:space="0" w:color="auto"/>
            <w:bottom w:val="none" w:sz="0" w:space="0" w:color="auto"/>
            <w:right w:val="none" w:sz="0" w:space="0" w:color="auto"/>
          </w:divBdr>
          <w:divsChild>
            <w:div w:id="1846171553">
              <w:marLeft w:val="0"/>
              <w:marRight w:val="0"/>
              <w:marTop w:val="0"/>
              <w:marBottom w:val="0"/>
              <w:divBdr>
                <w:top w:val="none" w:sz="0" w:space="0" w:color="auto"/>
                <w:left w:val="none" w:sz="0" w:space="0" w:color="auto"/>
                <w:bottom w:val="none" w:sz="0" w:space="0" w:color="auto"/>
                <w:right w:val="none" w:sz="0" w:space="0" w:color="auto"/>
              </w:divBdr>
              <w:divsChild>
                <w:div w:id="1838961122">
                  <w:marLeft w:val="0"/>
                  <w:marRight w:val="0"/>
                  <w:marTop w:val="0"/>
                  <w:marBottom w:val="0"/>
                  <w:divBdr>
                    <w:top w:val="none" w:sz="0" w:space="0" w:color="auto"/>
                    <w:left w:val="none" w:sz="0" w:space="0" w:color="auto"/>
                    <w:bottom w:val="none" w:sz="0" w:space="0" w:color="auto"/>
                    <w:right w:val="none" w:sz="0" w:space="0" w:color="auto"/>
                  </w:divBdr>
                  <w:divsChild>
                    <w:div w:id="854853551">
                      <w:marLeft w:val="0"/>
                      <w:marRight w:val="0"/>
                      <w:marTop w:val="0"/>
                      <w:marBottom w:val="0"/>
                      <w:divBdr>
                        <w:top w:val="none" w:sz="0" w:space="0" w:color="auto"/>
                        <w:left w:val="none" w:sz="0" w:space="0" w:color="auto"/>
                        <w:bottom w:val="none" w:sz="0" w:space="0" w:color="auto"/>
                        <w:right w:val="none" w:sz="0" w:space="0" w:color="auto"/>
                      </w:divBdr>
                    </w:div>
                    <w:div w:id="1306541399">
                      <w:marLeft w:val="0"/>
                      <w:marRight w:val="0"/>
                      <w:marTop w:val="0"/>
                      <w:marBottom w:val="0"/>
                      <w:divBdr>
                        <w:top w:val="none" w:sz="0" w:space="0" w:color="auto"/>
                        <w:left w:val="none" w:sz="0" w:space="0" w:color="auto"/>
                        <w:bottom w:val="none" w:sz="0" w:space="0" w:color="auto"/>
                        <w:right w:val="none" w:sz="0" w:space="0" w:color="auto"/>
                      </w:divBdr>
                    </w:div>
                    <w:div w:id="1035543811">
                      <w:marLeft w:val="0"/>
                      <w:marRight w:val="0"/>
                      <w:marTop w:val="0"/>
                      <w:marBottom w:val="0"/>
                      <w:divBdr>
                        <w:top w:val="none" w:sz="0" w:space="0" w:color="auto"/>
                        <w:left w:val="none" w:sz="0" w:space="0" w:color="auto"/>
                        <w:bottom w:val="none" w:sz="0" w:space="0" w:color="auto"/>
                        <w:right w:val="none" w:sz="0" w:space="0" w:color="auto"/>
                      </w:divBdr>
                    </w:div>
                    <w:div w:id="567426435">
                      <w:marLeft w:val="0"/>
                      <w:marRight w:val="0"/>
                      <w:marTop w:val="0"/>
                      <w:marBottom w:val="0"/>
                      <w:divBdr>
                        <w:top w:val="none" w:sz="0" w:space="0" w:color="auto"/>
                        <w:left w:val="none" w:sz="0" w:space="0" w:color="auto"/>
                        <w:bottom w:val="none" w:sz="0" w:space="0" w:color="auto"/>
                        <w:right w:val="none" w:sz="0" w:space="0" w:color="auto"/>
                      </w:divBdr>
                      <w:divsChild>
                        <w:div w:id="95683445">
                          <w:marLeft w:val="0"/>
                          <w:marRight w:val="0"/>
                          <w:marTop w:val="0"/>
                          <w:marBottom w:val="0"/>
                          <w:divBdr>
                            <w:top w:val="none" w:sz="0" w:space="0" w:color="auto"/>
                            <w:left w:val="none" w:sz="0" w:space="0" w:color="auto"/>
                            <w:bottom w:val="none" w:sz="0" w:space="0" w:color="auto"/>
                            <w:right w:val="none" w:sz="0" w:space="0" w:color="auto"/>
                          </w:divBdr>
                          <w:divsChild>
                            <w:div w:id="15029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056291">
          <w:marLeft w:val="0"/>
          <w:marRight w:val="0"/>
          <w:marTop w:val="0"/>
          <w:marBottom w:val="0"/>
          <w:divBdr>
            <w:top w:val="none" w:sz="0" w:space="0" w:color="auto"/>
            <w:left w:val="none" w:sz="0" w:space="0" w:color="auto"/>
            <w:bottom w:val="none" w:sz="0" w:space="0" w:color="auto"/>
            <w:right w:val="none" w:sz="0" w:space="0" w:color="auto"/>
          </w:divBdr>
          <w:divsChild>
            <w:div w:id="1104766646">
              <w:marLeft w:val="0"/>
              <w:marRight w:val="0"/>
              <w:marTop w:val="0"/>
              <w:marBottom w:val="0"/>
              <w:divBdr>
                <w:top w:val="none" w:sz="0" w:space="0" w:color="auto"/>
                <w:left w:val="none" w:sz="0" w:space="0" w:color="auto"/>
                <w:bottom w:val="none" w:sz="0" w:space="0" w:color="auto"/>
                <w:right w:val="none" w:sz="0" w:space="0" w:color="auto"/>
              </w:divBdr>
              <w:divsChild>
                <w:div w:id="2127189029">
                  <w:marLeft w:val="0"/>
                  <w:marRight w:val="0"/>
                  <w:marTop w:val="0"/>
                  <w:marBottom w:val="0"/>
                  <w:divBdr>
                    <w:top w:val="none" w:sz="0" w:space="0" w:color="auto"/>
                    <w:left w:val="none" w:sz="0" w:space="0" w:color="auto"/>
                    <w:bottom w:val="none" w:sz="0" w:space="0" w:color="auto"/>
                    <w:right w:val="none" w:sz="0" w:space="0" w:color="auto"/>
                  </w:divBdr>
                  <w:divsChild>
                    <w:div w:id="2024286681">
                      <w:marLeft w:val="0"/>
                      <w:marRight w:val="0"/>
                      <w:marTop w:val="0"/>
                      <w:marBottom w:val="0"/>
                      <w:divBdr>
                        <w:top w:val="none" w:sz="0" w:space="0" w:color="auto"/>
                        <w:left w:val="none" w:sz="0" w:space="0" w:color="auto"/>
                        <w:bottom w:val="none" w:sz="0" w:space="0" w:color="auto"/>
                        <w:right w:val="none" w:sz="0" w:space="0" w:color="auto"/>
                      </w:divBdr>
                      <w:divsChild>
                        <w:div w:id="42603428">
                          <w:marLeft w:val="0"/>
                          <w:marRight w:val="0"/>
                          <w:marTop w:val="0"/>
                          <w:marBottom w:val="0"/>
                          <w:divBdr>
                            <w:top w:val="none" w:sz="0" w:space="0" w:color="auto"/>
                            <w:left w:val="none" w:sz="0" w:space="0" w:color="auto"/>
                            <w:bottom w:val="none" w:sz="0" w:space="0" w:color="auto"/>
                            <w:right w:val="none" w:sz="0" w:space="0" w:color="auto"/>
                          </w:divBdr>
                          <w:divsChild>
                            <w:div w:id="13653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618">
              <w:marLeft w:val="0"/>
              <w:marRight w:val="0"/>
              <w:marTop w:val="0"/>
              <w:marBottom w:val="0"/>
              <w:divBdr>
                <w:top w:val="none" w:sz="0" w:space="0" w:color="auto"/>
                <w:left w:val="none" w:sz="0" w:space="0" w:color="auto"/>
                <w:bottom w:val="none" w:sz="0" w:space="0" w:color="auto"/>
                <w:right w:val="none" w:sz="0" w:space="0" w:color="auto"/>
              </w:divBdr>
            </w:div>
          </w:divsChild>
        </w:div>
        <w:div w:id="1081634737">
          <w:marLeft w:val="0"/>
          <w:marRight w:val="0"/>
          <w:marTop w:val="0"/>
          <w:marBottom w:val="0"/>
          <w:divBdr>
            <w:top w:val="none" w:sz="0" w:space="0" w:color="auto"/>
            <w:left w:val="none" w:sz="0" w:space="0" w:color="auto"/>
            <w:bottom w:val="none" w:sz="0" w:space="0" w:color="auto"/>
            <w:right w:val="none" w:sz="0" w:space="0" w:color="auto"/>
          </w:divBdr>
        </w:div>
        <w:div w:id="1790510218">
          <w:marLeft w:val="0"/>
          <w:marRight w:val="0"/>
          <w:marTop w:val="0"/>
          <w:marBottom w:val="0"/>
          <w:divBdr>
            <w:top w:val="none" w:sz="0" w:space="0" w:color="auto"/>
            <w:left w:val="none" w:sz="0" w:space="0" w:color="auto"/>
            <w:bottom w:val="none" w:sz="0" w:space="0" w:color="auto"/>
            <w:right w:val="none" w:sz="0" w:space="0" w:color="auto"/>
          </w:divBdr>
          <w:divsChild>
            <w:div w:id="1348291899">
              <w:marLeft w:val="0"/>
              <w:marRight w:val="0"/>
              <w:marTop w:val="0"/>
              <w:marBottom w:val="0"/>
              <w:divBdr>
                <w:top w:val="none" w:sz="0" w:space="0" w:color="auto"/>
                <w:left w:val="none" w:sz="0" w:space="0" w:color="auto"/>
                <w:bottom w:val="none" w:sz="0" w:space="0" w:color="auto"/>
                <w:right w:val="none" w:sz="0" w:space="0" w:color="auto"/>
              </w:divBdr>
              <w:divsChild>
                <w:div w:id="19661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0419">
          <w:marLeft w:val="0"/>
          <w:marRight w:val="0"/>
          <w:marTop w:val="0"/>
          <w:marBottom w:val="0"/>
          <w:divBdr>
            <w:top w:val="none" w:sz="0" w:space="0" w:color="auto"/>
            <w:left w:val="none" w:sz="0" w:space="0" w:color="auto"/>
            <w:bottom w:val="none" w:sz="0" w:space="0" w:color="auto"/>
            <w:right w:val="none" w:sz="0" w:space="0" w:color="auto"/>
          </w:divBdr>
          <w:divsChild>
            <w:div w:id="1635675659">
              <w:marLeft w:val="0"/>
              <w:marRight w:val="0"/>
              <w:marTop w:val="0"/>
              <w:marBottom w:val="0"/>
              <w:divBdr>
                <w:top w:val="none" w:sz="0" w:space="0" w:color="auto"/>
                <w:left w:val="none" w:sz="0" w:space="0" w:color="auto"/>
                <w:bottom w:val="none" w:sz="0" w:space="0" w:color="auto"/>
                <w:right w:val="none" w:sz="0" w:space="0" w:color="auto"/>
              </w:divBdr>
              <w:divsChild>
                <w:div w:id="929773578">
                  <w:marLeft w:val="0"/>
                  <w:marRight w:val="0"/>
                  <w:marTop w:val="0"/>
                  <w:marBottom w:val="0"/>
                  <w:divBdr>
                    <w:top w:val="none" w:sz="0" w:space="0" w:color="auto"/>
                    <w:left w:val="none" w:sz="0" w:space="0" w:color="auto"/>
                    <w:bottom w:val="none" w:sz="0" w:space="0" w:color="auto"/>
                    <w:right w:val="none" w:sz="0" w:space="0" w:color="auto"/>
                  </w:divBdr>
                </w:div>
              </w:divsChild>
            </w:div>
            <w:div w:id="1321737250">
              <w:marLeft w:val="0"/>
              <w:marRight w:val="0"/>
              <w:marTop w:val="0"/>
              <w:marBottom w:val="0"/>
              <w:divBdr>
                <w:top w:val="none" w:sz="0" w:space="0" w:color="auto"/>
                <w:left w:val="none" w:sz="0" w:space="0" w:color="auto"/>
                <w:bottom w:val="none" w:sz="0" w:space="0" w:color="auto"/>
                <w:right w:val="none" w:sz="0" w:space="0" w:color="auto"/>
              </w:divBdr>
            </w:div>
          </w:divsChild>
        </w:div>
        <w:div w:id="38090107">
          <w:marLeft w:val="0"/>
          <w:marRight w:val="0"/>
          <w:marTop w:val="0"/>
          <w:marBottom w:val="0"/>
          <w:divBdr>
            <w:top w:val="none" w:sz="0" w:space="0" w:color="auto"/>
            <w:left w:val="none" w:sz="0" w:space="0" w:color="auto"/>
            <w:bottom w:val="none" w:sz="0" w:space="0" w:color="auto"/>
            <w:right w:val="none" w:sz="0" w:space="0" w:color="auto"/>
          </w:divBdr>
          <w:divsChild>
            <w:div w:id="2146461782">
              <w:marLeft w:val="0"/>
              <w:marRight w:val="0"/>
              <w:marTop w:val="0"/>
              <w:marBottom w:val="0"/>
              <w:divBdr>
                <w:top w:val="none" w:sz="0" w:space="0" w:color="auto"/>
                <w:left w:val="none" w:sz="0" w:space="0" w:color="auto"/>
                <w:bottom w:val="none" w:sz="0" w:space="0" w:color="auto"/>
                <w:right w:val="none" w:sz="0" w:space="0" w:color="auto"/>
              </w:divBdr>
              <w:divsChild>
                <w:div w:id="625815802">
                  <w:marLeft w:val="0"/>
                  <w:marRight w:val="0"/>
                  <w:marTop w:val="0"/>
                  <w:marBottom w:val="0"/>
                  <w:divBdr>
                    <w:top w:val="none" w:sz="0" w:space="0" w:color="auto"/>
                    <w:left w:val="none" w:sz="0" w:space="0" w:color="auto"/>
                    <w:bottom w:val="none" w:sz="0" w:space="0" w:color="auto"/>
                    <w:right w:val="none" w:sz="0" w:space="0" w:color="auto"/>
                  </w:divBdr>
                </w:div>
              </w:divsChild>
            </w:div>
            <w:div w:id="1376584080">
              <w:marLeft w:val="0"/>
              <w:marRight w:val="0"/>
              <w:marTop w:val="0"/>
              <w:marBottom w:val="0"/>
              <w:divBdr>
                <w:top w:val="none" w:sz="0" w:space="0" w:color="auto"/>
                <w:left w:val="none" w:sz="0" w:space="0" w:color="auto"/>
                <w:bottom w:val="none" w:sz="0" w:space="0" w:color="auto"/>
                <w:right w:val="none" w:sz="0" w:space="0" w:color="auto"/>
              </w:divBdr>
            </w:div>
          </w:divsChild>
        </w:div>
        <w:div w:id="2051952074">
          <w:marLeft w:val="0"/>
          <w:marRight w:val="0"/>
          <w:marTop w:val="0"/>
          <w:marBottom w:val="0"/>
          <w:divBdr>
            <w:top w:val="none" w:sz="0" w:space="0" w:color="auto"/>
            <w:left w:val="none" w:sz="0" w:space="0" w:color="auto"/>
            <w:bottom w:val="none" w:sz="0" w:space="0" w:color="auto"/>
            <w:right w:val="none" w:sz="0" w:space="0" w:color="auto"/>
          </w:divBdr>
          <w:divsChild>
            <w:div w:id="596056389">
              <w:marLeft w:val="0"/>
              <w:marRight w:val="0"/>
              <w:marTop w:val="0"/>
              <w:marBottom w:val="0"/>
              <w:divBdr>
                <w:top w:val="none" w:sz="0" w:space="0" w:color="auto"/>
                <w:left w:val="none" w:sz="0" w:space="0" w:color="auto"/>
                <w:bottom w:val="none" w:sz="0" w:space="0" w:color="auto"/>
                <w:right w:val="none" w:sz="0" w:space="0" w:color="auto"/>
              </w:divBdr>
              <w:divsChild>
                <w:div w:id="13590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2079">
          <w:marLeft w:val="0"/>
          <w:marRight w:val="0"/>
          <w:marTop w:val="0"/>
          <w:marBottom w:val="0"/>
          <w:divBdr>
            <w:top w:val="none" w:sz="0" w:space="0" w:color="auto"/>
            <w:left w:val="none" w:sz="0" w:space="0" w:color="auto"/>
            <w:bottom w:val="none" w:sz="0" w:space="0" w:color="auto"/>
            <w:right w:val="none" w:sz="0" w:space="0" w:color="auto"/>
          </w:divBdr>
          <w:divsChild>
            <w:div w:id="2068449659">
              <w:marLeft w:val="0"/>
              <w:marRight w:val="0"/>
              <w:marTop w:val="0"/>
              <w:marBottom w:val="0"/>
              <w:divBdr>
                <w:top w:val="none" w:sz="0" w:space="0" w:color="auto"/>
                <w:left w:val="none" w:sz="0" w:space="0" w:color="auto"/>
                <w:bottom w:val="none" w:sz="0" w:space="0" w:color="auto"/>
                <w:right w:val="none" w:sz="0" w:space="0" w:color="auto"/>
              </w:divBdr>
              <w:divsChild>
                <w:div w:id="17094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279">
          <w:marLeft w:val="0"/>
          <w:marRight w:val="0"/>
          <w:marTop w:val="0"/>
          <w:marBottom w:val="0"/>
          <w:divBdr>
            <w:top w:val="none" w:sz="0" w:space="0" w:color="auto"/>
            <w:left w:val="none" w:sz="0" w:space="0" w:color="auto"/>
            <w:bottom w:val="none" w:sz="0" w:space="0" w:color="auto"/>
            <w:right w:val="none" w:sz="0" w:space="0" w:color="auto"/>
          </w:divBdr>
          <w:divsChild>
            <w:div w:id="489633819">
              <w:marLeft w:val="0"/>
              <w:marRight w:val="0"/>
              <w:marTop w:val="0"/>
              <w:marBottom w:val="0"/>
              <w:divBdr>
                <w:top w:val="none" w:sz="0" w:space="0" w:color="auto"/>
                <w:left w:val="none" w:sz="0" w:space="0" w:color="auto"/>
                <w:bottom w:val="none" w:sz="0" w:space="0" w:color="auto"/>
                <w:right w:val="none" w:sz="0" w:space="0" w:color="auto"/>
              </w:divBdr>
              <w:divsChild>
                <w:div w:id="4826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50766">
          <w:marLeft w:val="0"/>
          <w:marRight w:val="0"/>
          <w:marTop w:val="0"/>
          <w:marBottom w:val="0"/>
          <w:divBdr>
            <w:top w:val="none" w:sz="0" w:space="0" w:color="auto"/>
            <w:left w:val="none" w:sz="0" w:space="0" w:color="auto"/>
            <w:bottom w:val="none" w:sz="0" w:space="0" w:color="auto"/>
            <w:right w:val="none" w:sz="0" w:space="0" w:color="auto"/>
          </w:divBdr>
          <w:divsChild>
            <w:div w:id="1890604102">
              <w:marLeft w:val="0"/>
              <w:marRight w:val="0"/>
              <w:marTop w:val="0"/>
              <w:marBottom w:val="0"/>
              <w:divBdr>
                <w:top w:val="none" w:sz="0" w:space="0" w:color="auto"/>
                <w:left w:val="none" w:sz="0" w:space="0" w:color="auto"/>
                <w:bottom w:val="none" w:sz="0" w:space="0" w:color="auto"/>
                <w:right w:val="none" w:sz="0" w:space="0" w:color="auto"/>
              </w:divBdr>
              <w:divsChild>
                <w:div w:id="12322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9941">
          <w:marLeft w:val="0"/>
          <w:marRight w:val="0"/>
          <w:marTop w:val="0"/>
          <w:marBottom w:val="0"/>
          <w:divBdr>
            <w:top w:val="none" w:sz="0" w:space="0" w:color="auto"/>
            <w:left w:val="none" w:sz="0" w:space="0" w:color="auto"/>
            <w:bottom w:val="none" w:sz="0" w:space="0" w:color="auto"/>
            <w:right w:val="none" w:sz="0" w:space="0" w:color="auto"/>
          </w:divBdr>
          <w:divsChild>
            <w:div w:id="1172793929">
              <w:marLeft w:val="0"/>
              <w:marRight w:val="0"/>
              <w:marTop w:val="0"/>
              <w:marBottom w:val="0"/>
              <w:divBdr>
                <w:top w:val="none" w:sz="0" w:space="0" w:color="auto"/>
                <w:left w:val="none" w:sz="0" w:space="0" w:color="auto"/>
                <w:bottom w:val="none" w:sz="0" w:space="0" w:color="auto"/>
                <w:right w:val="none" w:sz="0" w:space="0" w:color="auto"/>
              </w:divBdr>
              <w:divsChild>
                <w:div w:id="1268008086">
                  <w:marLeft w:val="0"/>
                  <w:marRight w:val="0"/>
                  <w:marTop w:val="0"/>
                  <w:marBottom w:val="0"/>
                  <w:divBdr>
                    <w:top w:val="none" w:sz="0" w:space="0" w:color="auto"/>
                    <w:left w:val="none" w:sz="0" w:space="0" w:color="auto"/>
                    <w:bottom w:val="none" w:sz="0" w:space="0" w:color="auto"/>
                    <w:right w:val="none" w:sz="0" w:space="0" w:color="auto"/>
                  </w:divBdr>
                </w:div>
              </w:divsChild>
            </w:div>
            <w:div w:id="412052118">
              <w:marLeft w:val="0"/>
              <w:marRight w:val="0"/>
              <w:marTop w:val="0"/>
              <w:marBottom w:val="0"/>
              <w:divBdr>
                <w:top w:val="none" w:sz="0" w:space="0" w:color="auto"/>
                <w:left w:val="none" w:sz="0" w:space="0" w:color="auto"/>
                <w:bottom w:val="none" w:sz="0" w:space="0" w:color="auto"/>
                <w:right w:val="none" w:sz="0" w:space="0" w:color="auto"/>
              </w:divBdr>
            </w:div>
          </w:divsChild>
        </w:div>
        <w:div w:id="1251818752">
          <w:marLeft w:val="0"/>
          <w:marRight w:val="0"/>
          <w:marTop w:val="0"/>
          <w:marBottom w:val="0"/>
          <w:divBdr>
            <w:top w:val="none" w:sz="0" w:space="0" w:color="auto"/>
            <w:left w:val="none" w:sz="0" w:space="0" w:color="auto"/>
            <w:bottom w:val="none" w:sz="0" w:space="0" w:color="auto"/>
            <w:right w:val="none" w:sz="0" w:space="0" w:color="auto"/>
          </w:divBdr>
          <w:divsChild>
            <w:div w:id="1328048481">
              <w:marLeft w:val="0"/>
              <w:marRight w:val="0"/>
              <w:marTop w:val="0"/>
              <w:marBottom w:val="0"/>
              <w:divBdr>
                <w:top w:val="none" w:sz="0" w:space="0" w:color="auto"/>
                <w:left w:val="none" w:sz="0" w:space="0" w:color="auto"/>
                <w:bottom w:val="none" w:sz="0" w:space="0" w:color="auto"/>
                <w:right w:val="none" w:sz="0" w:space="0" w:color="auto"/>
              </w:divBdr>
              <w:divsChild>
                <w:div w:id="654648591">
                  <w:marLeft w:val="0"/>
                  <w:marRight w:val="0"/>
                  <w:marTop w:val="0"/>
                  <w:marBottom w:val="0"/>
                  <w:divBdr>
                    <w:top w:val="none" w:sz="0" w:space="0" w:color="auto"/>
                    <w:left w:val="none" w:sz="0" w:space="0" w:color="auto"/>
                    <w:bottom w:val="none" w:sz="0" w:space="0" w:color="auto"/>
                    <w:right w:val="none" w:sz="0" w:space="0" w:color="auto"/>
                  </w:divBdr>
                </w:div>
              </w:divsChild>
            </w:div>
            <w:div w:id="1413355493">
              <w:marLeft w:val="0"/>
              <w:marRight w:val="0"/>
              <w:marTop w:val="0"/>
              <w:marBottom w:val="0"/>
              <w:divBdr>
                <w:top w:val="none" w:sz="0" w:space="0" w:color="auto"/>
                <w:left w:val="none" w:sz="0" w:space="0" w:color="auto"/>
                <w:bottom w:val="none" w:sz="0" w:space="0" w:color="auto"/>
                <w:right w:val="none" w:sz="0" w:space="0" w:color="auto"/>
              </w:divBdr>
            </w:div>
          </w:divsChild>
        </w:div>
        <w:div w:id="831683488">
          <w:marLeft w:val="0"/>
          <w:marRight w:val="0"/>
          <w:marTop w:val="0"/>
          <w:marBottom w:val="0"/>
          <w:divBdr>
            <w:top w:val="none" w:sz="0" w:space="0" w:color="auto"/>
            <w:left w:val="none" w:sz="0" w:space="0" w:color="auto"/>
            <w:bottom w:val="none" w:sz="0" w:space="0" w:color="auto"/>
            <w:right w:val="none" w:sz="0" w:space="0" w:color="auto"/>
          </w:divBdr>
        </w:div>
        <w:div w:id="1766417505">
          <w:marLeft w:val="0"/>
          <w:marRight w:val="0"/>
          <w:marTop w:val="0"/>
          <w:marBottom w:val="0"/>
          <w:divBdr>
            <w:top w:val="none" w:sz="0" w:space="0" w:color="auto"/>
            <w:left w:val="none" w:sz="0" w:space="0" w:color="auto"/>
            <w:bottom w:val="none" w:sz="0" w:space="0" w:color="auto"/>
            <w:right w:val="none" w:sz="0" w:space="0" w:color="auto"/>
          </w:divBdr>
          <w:divsChild>
            <w:div w:id="1702973371">
              <w:marLeft w:val="0"/>
              <w:marRight w:val="0"/>
              <w:marTop w:val="0"/>
              <w:marBottom w:val="0"/>
              <w:divBdr>
                <w:top w:val="none" w:sz="0" w:space="0" w:color="auto"/>
                <w:left w:val="none" w:sz="0" w:space="0" w:color="auto"/>
                <w:bottom w:val="none" w:sz="0" w:space="0" w:color="auto"/>
                <w:right w:val="none" w:sz="0" w:space="0" w:color="auto"/>
              </w:divBdr>
              <w:divsChild>
                <w:div w:id="16412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2721">
          <w:marLeft w:val="0"/>
          <w:marRight w:val="0"/>
          <w:marTop w:val="0"/>
          <w:marBottom w:val="0"/>
          <w:divBdr>
            <w:top w:val="none" w:sz="0" w:space="0" w:color="auto"/>
            <w:left w:val="none" w:sz="0" w:space="0" w:color="auto"/>
            <w:bottom w:val="none" w:sz="0" w:space="0" w:color="auto"/>
            <w:right w:val="none" w:sz="0" w:space="0" w:color="auto"/>
          </w:divBdr>
          <w:divsChild>
            <w:div w:id="1468085677">
              <w:marLeft w:val="0"/>
              <w:marRight w:val="0"/>
              <w:marTop w:val="0"/>
              <w:marBottom w:val="0"/>
              <w:divBdr>
                <w:top w:val="none" w:sz="0" w:space="0" w:color="auto"/>
                <w:left w:val="none" w:sz="0" w:space="0" w:color="auto"/>
                <w:bottom w:val="none" w:sz="0" w:space="0" w:color="auto"/>
                <w:right w:val="none" w:sz="0" w:space="0" w:color="auto"/>
              </w:divBdr>
              <w:divsChild>
                <w:div w:id="1892230776">
                  <w:marLeft w:val="0"/>
                  <w:marRight w:val="0"/>
                  <w:marTop w:val="0"/>
                  <w:marBottom w:val="0"/>
                  <w:divBdr>
                    <w:top w:val="none" w:sz="0" w:space="0" w:color="auto"/>
                    <w:left w:val="none" w:sz="0" w:space="0" w:color="auto"/>
                    <w:bottom w:val="none" w:sz="0" w:space="0" w:color="auto"/>
                    <w:right w:val="none" w:sz="0" w:space="0" w:color="auto"/>
                  </w:divBdr>
                </w:div>
              </w:divsChild>
            </w:div>
            <w:div w:id="1021708071">
              <w:marLeft w:val="0"/>
              <w:marRight w:val="0"/>
              <w:marTop w:val="0"/>
              <w:marBottom w:val="0"/>
              <w:divBdr>
                <w:top w:val="none" w:sz="0" w:space="0" w:color="auto"/>
                <w:left w:val="none" w:sz="0" w:space="0" w:color="auto"/>
                <w:bottom w:val="none" w:sz="0" w:space="0" w:color="auto"/>
                <w:right w:val="none" w:sz="0" w:space="0" w:color="auto"/>
              </w:divBdr>
            </w:div>
          </w:divsChild>
        </w:div>
        <w:div w:id="1908565751">
          <w:marLeft w:val="0"/>
          <w:marRight w:val="0"/>
          <w:marTop w:val="0"/>
          <w:marBottom w:val="0"/>
          <w:divBdr>
            <w:top w:val="none" w:sz="0" w:space="0" w:color="auto"/>
            <w:left w:val="none" w:sz="0" w:space="0" w:color="auto"/>
            <w:bottom w:val="none" w:sz="0" w:space="0" w:color="auto"/>
            <w:right w:val="none" w:sz="0" w:space="0" w:color="auto"/>
          </w:divBdr>
          <w:divsChild>
            <w:div w:id="532114322">
              <w:marLeft w:val="0"/>
              <w:marRight w:val="0"/>
              <w:marTop w:val="0"/>
              <w:marBottom w:val="0"/>
              <w:divBdr>
                <w:top w:val="none" w:sz="0" w:space="0" w:color="auto"/>
                <w:left w:val="none" w:sz="0" w:space="0" w:color="auto"/>
                <w:bottom w:val="none" w:sz="0" w:space="0" w:color="auto"/>
                <w:right w:val="none" w:sz="0" w:space="0" w:color="auto"/>
              </w:divBdr>
              <w:divsChild>
                <w:div w:id="621109512">
                  <w:marLeft w:val="0"/>
                  <w:marRight w:val="0"/>
                  <w:marTop w:val="0"/>
                  <w:marBottom w:val="0"/>
                  <w:divBdr>
                    <w:top w:val="none" w:sz="0" w:space="0" w:color="auto"/>
                    <w:left w:val="none" w:sz="0" w:space="0" w:color="auto"/>
                    <w:bottom w:val="none" w:sz="0" w:space="0" w:color="auto"/>
                    <w:right w:val="none" w:sz="0" w:space="0" w:color="auto"/>
                  </w:divBdr>
                </w:div>
              </w:divsChild>
            </w:div>
            <w:div w:id="1487824052">
              <w:marLeft w:val="0"/>
              <w:marRight w:val="0"/>
              <w:marTop w:val="0"/>
              <w:marBottom w:val="0"/>
              <w:divBdr>
                <w:top w:val="none" w:sz="0" w:space="0" w:color="auto"/>
                <w:left w:val="none" w:sz="0" w:space="0" w:color="auto"/>
                <w:bottom w:val="none" w:sz="0" w:space="0" w:color="auto"/>
                <w:right w:val="none" w:sz="0" w:space="0" w:color="auto"/>
              </w:divBdr>
            </w:div>
          </w:divsChild>
        </w:div>
        <w:div w:id="989094612">
          <w:marLeft w:val="0"/>
          <w:marRight w:val="0"/>
          <w:marTop w:val="0"/>
          <w:marBottom w:val="0"/>
          <w:divBdr>
            <w:top w:val="none" w:sz="0" w:space="0" w:color="auto"/>
            <w:left w:val="none" w:sz="0" w:space="0" w:color="auto"/>
            <w:bottom w:val="none" w:sz="0" w:space="0" w:color="auto"/>
            <w:right w:val="none" w:sz="0" w:space="0" w:color="auto"/>
          </w:divBdr>
          <w:divsChild>
            <w:div w:id="1908955196">
              <w:marLeft w:val="0"/>
              <w:marRight w:val="0"/>
              <w:marTop w:val="0"/>
              <w:marBottom w:val="0"/>
              <w:divBdr>
                <w:top w:val="none" w:sz="0" w:space="0" w:color="auto"/>
                <w:left w:val="none" w:sz="0" w:space="0" w:color="auto"/>
                <w:bottom w:val="none" w:sz="0" w:space="0" w:color="auto"/>
                <w:right w:val="none" w:sz="0" w:space="0" w:color="auto"/>
              </w:divBdr>
              <w:divsChild>
                <w:div w:id="1227302110">
                  <w:marLeft w:val="0"/>
                  <w:marRight w:val="0"/>
                  <w:marTop w:val="0"/>
                  <w:marBottom w:val="0"/>
                  <w:divBdr>
                    <w:top w:val="none" w:sz="0" w:space="0" w:color="auto"/>
                    <w:left w:val="none" w:sz="0" w:space="0" w:color="auto"/>
                    <w:bottom w:val="none" w:sz="0" w:space="0" w:color="auto"/>
                    <w:right w:val="none" w:sz="0" w:space="0" w:color="auto"/>
                  </w:divBdr>
                </w:div>
              </w:divsChild>
            </w:div>
            <w:div w:id="654770504">
              <w:marLeft w:val="0"/>
              <w:marRight w:val="0"/>
              <w:marTop w:val="0"/>
              <w:marBottom w:val="0"/>
              <w:divBdr>
                <w:top w:val="none" w:sz="0" w:space="0" w:color="auto"/>
                <w:left w:val="none" w:sz="0" w:space="0" w:color="auto"/>
                <w:bottom w:val="none" w:sz="0" w:space="0" w:color="auto"/>
                <w:right w:val="none" w:sz="0" w:space="0" w:color="auto"/>
              </w:divBdr>
            </w:div>
          </w:divsChild>
        </w:div>
        <w:div w:id="1794902450">
          <w:marLeft w:val="0"/>
          <w:marRight w:val="0"/>
          <w:marTop w:val="0"/>
          <w:marBottom w:val="0"/>
          <w:divBdr>
            <w:top w:val="none" w:sz="0" w:space="0" w:color="auto"/>
            <w:left w:val="none" w:sz="0" w:space="0" w:color="auto"/>
            <w:bottom w:val="none" w:sz="0" w:space="0" w:color="auto"/>
            <w:right w:val="none" w:sz="0" w:space="0" w:color="auto"/>
          </w:divBdr>
          <w:divsChild>
            <w:div w:id="129445406">
              <w:marLeft w:val="0"/>
              <w:marRight w:val="0"/>
              <w:marTop w:val="0"/>
              <w:marBottom w:val="0"/>
              <w:divBdr>
                <w:top w:val="none" w:sz="0" w:space="0" w:color="auto"/>
                <w:left w:val="none" w:sz="0" w:space="0" w:color="auto"/>
                <w:bottom w:val="none" w:sz="0" w:space="0" w:color="auto"/>
                <w:right w:val="none" w:sz="0" w:space="0" w:color="auto"/>
              </w:divBdr>
              <w:divsChild>
                <w:div w:id="135537533">
                  <w:marLeft w:val="0"/>
                  <w:marRight w:val="0"/>
                  <w:marTop w:val="0"/>
                  <w:marBottom w:val="0"/>
                  <w:divBdr>
                    <w:top w:val="none" w:sz="0" w:space="0" w:color="auto"/>
                    <w:left w:val="none" w:sz="0" w:space="0" w:color="auto"/>
                    <w:bottom w:val="none" w:sz="0" w:space="0" w:color="auto"/>
                    <w:right w:val="none" w:sz="0" w:space="0" w:color="auto"/>
                  </w:divBdr>
                </w:div>
              </w:divsChild>
            </w:div>
            <w:div w:id="1299997295">
              <w:marLeft w:val="0"/>
              <w:marRight w:val="0"/>
              <w:marTop w:val="0"/>
              <w:marBottom w:val="0"/>
              <w:divBdr>
                <w:top w:val="none" w:sz="0" w:space="0" w:color="auto"/>
                <w:left w:val="none" w:sz="0" w:space="0" w:color="auto"/>
                <w:bottom w:val="none" w:sz="0" w:space="0" w:color="auto"/>
                <w:right w:val="none" w:sz="0" w:space="0" w:color="auto"/>
              </w:divBdr>
            </w:div>
          </w:divsChild>
        </w:div>
        <w:div w:id="1854294143">
          <w:marLeft w:val="0"/>
          <w:marRight w:val="0"/>
          <w:marTop w:val="0"/>
          <w:marBottom w:val="0"/>
          <w:divBdr>
            <w:top w:val="none" w:sz="0" w:space="0" w:color="auto"/>
            <w:left w:val="none" w:sz="0" w:space="0" w:color="auto"/>
            <w:bottom w:val="none" w:sz="0" w:space="0" w:color="auto"/>
            <w:right w:val="none" w:sz="0" w:space="0" w:color="auto"/>
          </w:divBdr>
          <w:divsChild>
            <w:div w:id="601765242">
              <w:marLeft w:val="0"/>
              <w:marRight w:val="0"/>
              <w:marTop w:val="0"/>
              <w:marBottom w:val="0"/>
              <w:divBdr>
                <w:top w:val="none" w:sz="0" w:space="0" w:color="auto"/>
                <w:left w:val="none" w:sz="0" w:space="0" w:color="auto"/>
                <w:bottom w:val="none" w:sz="0" w:space="0" w:color="auto"/>
                <w:right w:val="none" w:sz="0" w:space="0" w:color="auto"/>
              </w:divBdr>
              <w:divsChild>
                <w:div w:id="1969704259">
                  <w:marLeft w:val="0"/>
                  <w:marRight w:val="0"/>
                  <w:marTop w:val="0"/>
                  <w:marBottom w:val="0"/>
                  <w:divBdr>
                    <w:top w:val="none" w:sz="0" w:space="0" w:color="auto"/>
                    <w:left w:val="none" w:sz="0" w:space="0" w:color="auto"/>
                    <w:bottom w:val="none" w:sz="0" w:space="0" w:color="auto"/>
                    <w:right w:val="none" w:sz="0" w:space="0" w:color="auto"/>
                  </w:divBdr>
                </w:div>
              </w:divsChild>
            </w:div>
            <w:div w:id="534735011">
              <w:marLeft w:val="0"/>
              <w:marRight w:val="0"/>
              <w:marTop w:val="0"/>
              <w:marBottom w:val="0"/>
              <w:divBdr>
                <w:top w:val="none" w:sz="0" w:space="0" w:color="auto"/>
                <w:left w:val="none" w:sz="0" w:space="0" w:color="auto"/>
                <w:bottom w:val="none" w:sz="0" w:space="0" w:color="auto"/>
                <w:right w:val="none" w:sz="0" w:space="0" w:color="auto"/>
              </w:divBdr>
            </w:div>
          </w:divsChild>
        </w:div>
        <w:div w:id="1142697925">
          <w:marLeft w:val="0"/>
          <w:marRight w:val="0"/>
          <w:marTop w:val="0"/>
          <w:marBottom w:val="0"/>
          <w:divBdr>
            <w:top w:val="none" w:sz="0" w:space="0" w:color="auto"/>
            <w:left w:val="none" w:sz="0" w:space="0" w:color="auto"/>
            <w:bottom w:val="none" w:sz="0" w:space="0" w:color="auto"/>
            <w:right w:val="none" w:sz="0" w:space="0" w:color="auto"/>
          </w:divBdr>
          <w:divsChild>
            <w:div w:id="473717654">
              <w:marLeft w:val="0"/>
              <w:marRight w:val="0"/>
              <w:marTop w:val="0"/>
              <w:marBottom w:val="0"/>
              <w:divBdr>
                <w:top w:val="none" w:sz="0" w:space="0" w:color="auto"/>
                <w:left w:val="none" w:sz="0" w:space="0" w:color="auto"/>
                <w:bottom w:val="none" w:sz="0" w:space="0" w:color="auto"/>
                <w:right w:val="none" w:sz="0" w:space="0" w:color="auto"/>
              </w:divBdr>
              <w:divsChild>
                <w:div w:id="1576085851">
                  <w:marLeft w:val="0"/>
                  <w:marRight w:val="0"/>
                  <w:marTop w:val="0"/>
                  <w:marBottom w:val="0"/>
                  <w:divBdr>
                    <w:top w:val="none" w:sz="0" w:space="0" w:color="auto"/>
                    <w:left w:val="none" w:sz="0" w:space="0" w:color="auto"/>
                    <w:bottom w:val="none" w:sz="0" w:space="0" w:color="auto"/>
                    <w:right w:val="none" w:sz="0" w:space="0" w:color="auto"/>
                  </w:divBdr>
                </w:div>
              </w:divsChild>
            </w:div>
            <w:div w:id="993728779">
              <w:marLeft w:val="0"/>
              <w:marRight w:val="0"/>
              <w:marTop w:val="0"/>
              <w:marBottom w:val="0"/>
              <w:divBdr>
                <w:top w:val="none" w:sz="0" w:space="0" w:color="auto"/>
                <w:left w:val="none" w:sz="0" w:space="0" w:color="auto"/>
                <w:bottom w:val="none" w:sz="0" w:space="0" w:color="auto"/>
                <w:right w:val="none" w:sz="0" w:space="0" w:color="auto"/>
              </w:divBdr>
            </w:div>
          </w:divsChild>
        </w:div>
        <w:div w:id="630787196">
          <w:marLeft w:val="0"/>
          <w:marRight w:val="0"/>
          <w:marTop w:val="0"/>
          <w:marBottom w:val="0"/>
          <w:divBdr>
            <w:top w:val="none" w:sz="0" w:space="0" w:color="auto"/>
            <w:left w:val="none" w:sz="0" w:space="0" w:color="auto"/>
            <w:bottom w:val="none" w:sz="0" w:space="0" w:color="auto"/>
            <w:right w:val="none" w:sz="0" w:space="0" w:color="auto"/>
          </w:divBdr>
          <w:divsChild>
            <w:div w:id="1990133728">
              <w:marLeft w:val="0"/>
              <w:marRight w:val="0"/>
              <w:marTop w:val="0"/>
              <w:marBottom w:val="0"/>
              <w:divBdr>
                <w:top w:val="none" w:sz="0" w:space="0" w:color="auto"/>
                <w:left w:val="none" w:sz="0" w:space="0" w:color="auto"/>
                <w:bottom w:val="none" w:sz="0" w:space="0" w:color="auto"/>
                <w:right w:val="none" w:sz="0" w:space="0" w:color="auto"/>
              </w:divBdr>
              <w:divsChild>
                <w:div w:id="1857571858">
                  <w:marLeft w:val="0"/>
                  <w:marRight w:val="0"/>
                  <w:marTop w:val="0"/>
                  <w:marBottom w:val="0"/>
                  <w:divBdr>
                    <w:top w:val="none" w:sz="0" w:space="0" w:color="auto"/>
                    <w:left w:val="none" w:sz="0" w:space="0" w:color="auto"/>
                    <w:bottom w:val="none" w:sz="0" w:space="0" w:color="auto"/>
                    <w:right w:val="none" w:sz="0" w:space="0" w:color="auto"/>
                  </w:divBdr>
                  <w:divsChild>
                    <w:div w:id="321659023">
                      <w:marLeft w:val="0"/>
                      <w:marRight w:val="0"/>
                      <w:marTop w:val="0"/>
                      <w:marBottom w:val="0"/>
                      <w:divBdr>
                        <w:top w:val="none" w:sz="0" w:space="0" w:color="auto"/>
                        <w:left w:val="none" w:sz="0" w:space="0" w:color="auto"/>
                        <w:bottom w:val="none" w:sz="0" w:space="0" w:color="auto"/>
                        <w:right w:val="none" w:sz="0" w:space="0" w:color="auto"/>
                      </w:divBdr>
                    </w:div>
                    <w:div w:id="520778183">
                      <w:marLeft w:val="0"/>
                      <w:marRight w:val="0"/>
                      <w:marTop w:val="0"/>
                      <w:marBottom w:val="0"/>
                      <w:divBdr>
                        <w:top w:val="none" w:sz="0" w:space="0" w:color="auto"/>
                        <w:left w:val="none" w:sz="0" w:space="0" w:color="auto"/>
                        <w:bottom w:val="none" w:sz="0" w:space="0" w:color="auto"/>
                        <w:right w:val="none" w:sz="0" w:space="0" w:color="auto"/>
                      </w:divBdr>
                    </w:div>
                    <w:div w:id="20504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nfpa.org/publications/59A/2023/chapters/13" TargetMode="External"/><Relationship Id="rId18" Type="http://schemas.openxmlformats.org/officeDocument/2006/relationships/hyperlink" Target="https://link.nfpa.org/publications/59A/2023/chapters/6" TargetMode="External"/><Relationship Id="rId26" Type="http://schemas.openxmlformats.org/officeDocument/2006/relationships/hyperlink" Target="https://link.nfpa.org/publications/59A/2023/chapters/17" TargetMode="External"/><Relationship Id="rId39" Type="http://schemas.openxmlformats.org/officeDocument/2006/relationships/hyperlink" Target="https://link.nfpa.org/publications/59A/2023/chapters/6" TargetMode="External"/><Relationship Id="rId21" Type="http://schemas.openxmlformats.org/officeDocument/2006/relationships/hyperlink" Target="https://link.nfpa.org/publications/59A/2023/chapters/13" TargetMode="External"/><Relationship Id="rId34" Type="http://schemas.openxmlformats.org/officeDocument/2006/relationships/image" Target="media/image3.jpeg"/><Relationship Id="rId42" Type="http://schemas.openxmlformats.org/officeDocument/2006/relationships/hyperlink" Target="https://link.nfpa.org/publications/59A/2023/chapters/6" TargetMode="External"/><Relationship Id="rId47" Type="http://schemas.openxmlformats.org/officeDocument/2006/relationships/hyperlink" Target="https://link.nfpa.org/publications/59A/2023/chapters/8" TargetMode="External"/><Relationship Id="rId50" Type="http://schemas.openxmlformats.org/officeDocument/2006/relationships/hyperlink" Target="https://link.nfpa.org/publications/59A/2023/chapters/10" TargetMode="External"/><Relationship Id="rId55" Type="http://schemas.openxmlformats.org/officeDocument/2006/relationships/hyperlink" Target="https://link.nfpa.org/publications/59A/2023/chapters/17" TargetMode="External"/><Relationship Id="rId63" Type="http://schemas.openxmlformats.org/officeDocument/2006/relationships/theme" Target="theme/theme1.xml"/><Relationship Id="rId7" Type="http://schemas.openxmlformats.org/officeDocument/2006/relationships/hyperlink" Target="https://link.nfpa.org/publications/59A/2023/annexes/A/groups/17" TargetMode="External"/><Relationship Id="rId2" Type="http://schemas.openxmlformats.org/officeDocument/2006/relationships/styles" Target="styles.xml"/><Relationship Id="rId16" Type="http://schemas.openxmlformats.org/officeDocument/2006/relationships/hyperlink" Target="https://link.nfpa.org/publications/59A/2023/chapters/6" TargetMode="External"/><Relationship Id="rId29" Type="http://schemas.openxmlformats.org/officeDocument/2006/relationships/hyperlink" Target="https://link.nfpa.org/publications/59A/2023/annexes/A/groups/17" TargetMode="External"/><Relationship Id="rId11" Type="http://schemas.openxmlformats.org/officeDocument/2006/relationships/hyperlink" Target="https://link.nfpa.org/publications/59A/2023/chapters/13" TargetMode="External"/><Relationship Id="rId24" Type="http://schemas.openxmlformats.org/officeDocument/2006/relationships/hyperlink" Target="https://link.nfpa.org/publications/59A/2023/chapters/17" TargetMode="External"/><Relationship Id="rId32" Type="http://schemas.openxmlformats.org/officeDocument/2006/relationships/image" Target="media/image1.jpeg"/><Relationship Id="rId37" Type="http://schemas.openxmlformats.org/officeDocument/2006/relationships/hyperlink" Target="https://link.nfpa.org/publications/59A/2023/chapters/17" TargetMode="External"/><Relationship Id="rId40" Type="http://schemas.openxmlformats.org/officeDocument/2006/relationships/hyperlink" Target="https://link.nfpa.org/publications/59A/2023/chapters/6" TargetMode="External"/><Relationship Id="rId45" Type="http://schemas.openxmlformats.org/officeDocument/2006/relationships/hyperlink" Target="https://link.nfpa.org/publications/59A/2023/chapters/7" TargetMode="External"/><Relationship Id="rId53" Type="http://schemas.openxmlformats.org/officeDocument/2006/relationships/hyperlink" Target="https://link.nfpa.org/publications/59A/2023/chapters/13" TargetMode="External"/><Relationship Id="rId58" Type="http://schemas.openxmlformats.org/officeDocument/2006/relationships/hyperlink" Target="https://link.nfpa.org/publications/59A/2023/chapters/18" TargetMode="External"/><Relationship Id="rId5" Type="http://schemas.openxmlformats.org/officeDocument/2006/relationships/hyperlink" Target="https://link.nfpa.org/publications/59A/2023/chapters/1" TargetMode="External"/><Relationship Id="rId61" Type="http://schemas.openxmlformats.org/officeDocument/2006/relationships/hyperlink" Target="https://link.nfpa.org/publications/59A/2023/chapters/17" TargetMode="External"/><Relationship Id="rId19" Type="http://schemas.openxmlformats.org/officeDocument/2006/relationships/hyperlink" Target="https://link.nfpa.org/publications/59A/2023/chapters/10" TargetMode="External"/><Relationship Id="rId14" Type="http://schemas.openxmlformats.org/officeDocument/2006/relationships/hyperlink" Target="https://link.nfpa.org/publications/59A/2023/chapters/6" TargetMode="External"/><Relationship Id="rId22" Type="http://schemas.openxmlformats.org/officeDocument/2006/relationships/hyperlink" Target="https://link.nfpa.org/publications/59A/2023/chapters/6" TargetMode="External"/><Relationship Id="rId27" Type="http://schemas.openxmlformats.org/officeDocument/2006/relationships/hyperlink" Target="https://link.nfpa.org/publications/59A/2023/chapters/17" TargetMode="External"/><Relationship Id="rId30" Type="http://schemas.openxmlformats.org/officeDocument/2006/relationships/hyperlink" Target="https://link.nfpa.org/publications/59A/2023/chapters/17" TargetMode="External"/><Relationship Id="rId35" Type="http://schemas.openxmlformats.org/officeDocument/2006/relationships/hyperlink" Target="https://link.nfpa.org/publications/59A/2023/chapters/17" TargetMode="External"/><Relationship Id="rId43" Type="http://schemas.openxmlformats.org/officeDocument/2006/relationships/hyperlink" Target="https://link.nfpa.org/publications/59A/2023/chapters/6" TargetMode="External"/><Relationship Id="rId48" Type="http://schemas.openxmlformats.org/officeDocument/2006/relationships/hyperlink" Target="https://link.nfpa.org/publications/59A/2023/chapters/9" TargetMode="External"/><Relationship Id="rId56" Type="http://schemas.openxmlformats.org/officeDocument/2006/relationships/hyperlink" Target="https://link.nfpa.org/publications/59A/2023/chapters/18" TargetMode="External"/><Relationship Id="rId8" Type="http://schemas.openxmlformats.org/officeDocument/2006/relationships/hyperlink" Target="https://link.nfpa.org/publications/59A/2023/annexes/A/groups/17" TargetMode="External"/><Relationship Id="rId51" Type="http://schemas.openxmlformats.org/officeDocument/2006/relationships/hyperlink" Target="https://link.nfpa.org/publications/59A/2023/chapters/11" TargetMode="External"/><Relationship Id="rId3" Type="http://schemas.openxmlformats.org/officeDocument/2006/relationships/settings" Target="settings.xml"/><Relationship Id="rId12" Type="http://schemas.openxmlformats.org/officeDocument/2006/relationships/hyperlink" Target="https://link.nfpa.org/publications/59A/2023/chapters/6" TargetMode="External"/><Relationship Id="rId17" Type="http://schemas.openxmlformats.org/officeDocument/2006/relationships/hyperlink" Target="https://link.nfpa.org/publications/59A/2023/chapters/13" TargetMode="External"/><Relationship Id="rId25" Type="http://schemas.openxmlformats.org/officeDocument/2006/relationships/hyperlink" Target="https://link.nfpa.org/publications/59A/2023/chapters/17" TargetMode="External"/><Relationship Id="rId33" Type="http://schemas.openxmlformats.org/officeDocument/2006/relationships/image" Target="media/image2.jpeg"/><Relationship Id="rId38" Type="http://schemas.openxmlformats.org/officeDocument/2006/relationships/hyperlink" Target="https://link.nfpa.org/publications/59A/2023/chapters/17" TargetMode="External"/><Relationship Id="rId46" Type="http://schemas.openxmlformats.org/officeDocument/2006/relationships/hyperlink" Target="https://link.nfpa.org/publications/59A/2023/chapters/8" TargetMode="External"/><Relationship Id="rId59" Type="http://schemas.openxmlformats.org/officeDocument/2006/relationships/hyperlink" Target="https://link.nfpa.org/publications/59A/2023/chapters/17" TargetMode="External"/><Relationship Id="rId20" Type="http://schemas.openxmlformats.org/officeDocument/2006/relationships/hyperlink" Target="https://link.nfpa.org/publications/59A/2023/chapters/17" TargetMode="External"/><Relationship Id="rId41" Type="http://schemas.openxmlformats.org/officeDocument/2006/relationships/hyperlink" Target="https://link.nfpa.org/publications/59A/2023/chapters/6" TargetMode="External"/><Relationship Id="rId54" Type="http://schemas.openxmlformats.org/officeDocument/2006/relationships/hyperlink" Target="https://link.nfpa.org/publications/59A/2023/chapters/17"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k.nfpa.org/publications/59A/2023/chapters/4" TargetMode="External"/><Relationship Id="rId15" Type="http://schemas.openxmlformats.org/officeDocument/2006/relationships/hyperlink" Target="https://link.nfpa.org/publications/59A/2023/chapters/13" TargetMode="External"/><Relationship Id="rId23" Type="http://schemas.openxmlformats.org/officeDocument/2006/relationships/hyperlink" Target="https://link.nfpa.org/publications/59A/2023/chapters/17" TargetMode="External"/><Relationship Id="rId28" Type="http://schemas.openxmlformats.org/officeDocument/2006/relationships/hyperlink" Target="https://link.nfpa.org/publications/59A/2023/chapters/17" TargetMode="External"/><Relationship Id="rId36" Type="http://schemas.openxmlformats.org/officeDocument/2006/relationships/hyperlink" Target="https://link.nfpa.org/publications/59A/2023/chapters/17" TargetMode="External"/><Relationship Id="rId49" Type="http://schemas.openxmlformats.org/officeDocument/2006/relationships/hyperlink" Target="https://link.nfpa.org/publications/59A/2023/chapters/8" TargetMode="External"/><Relationship Id="rId57" Type="http://schemas.openxmlformats.org/officeDocument/2006/relationships/hyperlink" Target="https://link.nfpa.org/publications/59A/2023/chapters/18" TargetMode="External"/><Relationship Id="rId10" Type="http://schemas.openxmlformats.org/officeDocument/2006/relationships/hyperlink" Target="https://link.nfpa.org/publications/59A/2023/chapters/6" TargetMode="External"/><Relationship Id="rId31" Type="http://schemas.openxmlformats.org/officeDocument/2006/relationships/hyperlink" Target="https://link.nfpa.org/publications/59A/2023/chapters/17" TargetMode="External"/><Relationship Id="rId44" Type="http://schemas.openxmlformats.org/officeDocument/2006/relationships/hyperlink" Target="https://link.nfpa.org/publications/59A/2023/chapters/17" TargetMode="External"/><Relationship Id="rId52" Type="http://schemas.openxmlformats.org/officeDocument/2006/relationships/hyperlink" Target="https://link.nfpa.org/publications/59A/2023/chapters/12" TargetMode="External"/><Relationship Id="rId60" Type="http://schemas.openxmlformats.org/officeDocument/2006/relationships/hyperlink" Target="https://link.nfpa.org/publications/59A/2023/chapters/17" TargetMode="External"/><Relationship Id="rId4" Type="http://schemas.openxmlformats.org/officeDocument/2006/relationships/webSettings" Target="webSettings.xml"/><Relationship Id="rId9" Type="http://schemas.openxmlformats.org/officeDocument/2006/relationships/hyperlink" Target="https://link.nfpa.org/publications/59A/2023/chapters/1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3369</Words>
  <Characters>18532</Characters>
  <Application>Microsoft Office Word</Application>
  <DocSecurity>0</DocSecurity>
  <Lines>154</Lines>
  <Paragraphs>43</Paragraphs>
  <ScaleCrop>false</ScaleCrop>
  <Company/>
  <LinksUpToDate>false</LinksUpToDate>
  <CharactersWithSpaces>21858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I202403378 (Arias LEDESMA,LUIS ALBERTO)</dc:creator>
  <cp:keywords/>
  <dc:description/>
  <cp:lastModifiedBy>I202403378 (Arias LEDESMA,LUIS ALBERTO)</cp:lastModifiedBy>
  <cp:revision>5</cp:revision>
  <dcterms:created xsi:type="dcterms:W3CDTF">2025-05-07T22:00:00Z</dcterms:created>
  <dcterms:modified xsi:type="dcterms:W3CDTF">2025-05-07T22:03:00Z</dcterms:modified>
</cp:coreProperties>
</file>