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D658A" w14:textId="77777777" w:rsidR="00282764" w:rsidRPr="00282764" w:rsidRDefault="00282764" w:rsidP="00282764">
      <w:r w:rsidRPr="00282764">
        <w:t>Disposición de la planta</w:t>
      </w:r>
    </w:p>
    <w:p w14:paraId="0B9D6CC0" w14:textId="77777777" w:rsidR="00282764" w:rsidRPr="00282764" w:rsidRDefault="00282764" w:rsidP="00282764">
      <w:r w:rsidRPr="00282764">
        <w:t>6.1 Alcance.</w:t>
      </w:r>
    </w:p>
    <w:p w14:paraId="3161C0EA" w14:textId="77777777" w:rsidR="00282764" w:rsidRPr="00282764" w:rsidRDefault="00282764" w:rsidP="00282764">
      <w:r w:rsidRPr="00282764">
        <w:t>En este capítulo se presentan los criterios para la disposición de plantas y equipos.</w:t>
      </w:r>
    </w:p>
    <w:p w14:paraId="0E32AF92" w14:textId="77777777" w:rsidR="00282764" w:rsidRPr="00282764" w:rsidRDefault="00282764" w:rsidP="00282764">
      <w:r w:rsidRPr="00282764">
        <w:pict w14:anchorId="0D61CA21">
          <v:rect id="_x0000_i1025" style="width:0;height:1.5pt" o:hralign="center" o:hrstd="t" o:hr="t" fillcolor="#a0a0a0" stroked="f"/>
        </w:pict>
      </w:r>
    </w:p>
    <w:p w14:paraId="4986305B" w14:textId="77777777" w:rsidR="00282764" w:rsidRPr="00282764" w:rsidRDefault="00282764" w:rsidP="00282764">
      <w:r w:rsidRPr="00282764">
        <w:t>6.2 Disposición general.</w:t>
      </w:r>
    </w:p>
    <w:p w14:paraId="3BF9F55D" w14:textId="77777777" w:rsidR="00282764" w:rsidRPr="00282764" w:rsidRDefault="00282764" w:rsidP="00282764">
      <w:pPr>
        <w:rPr>
          <w:b/>
          <w:bCs/>
        </w:rPr>
      </w:pPr>
      <w:hyperlink r:id="rId5" w:anchor="ID00059A002205" w:history="1">
        <w:r w:rsidRPr="00282764">
          <w:rPr>
            <w:rStyle w:val="Hipervnculo"/>
            <w:b/>
            <w:bCs/>
          </w:rPr>
          <w:t>6.2.1*</w:t>
        </w:r>
      </w:hyperlink>
      <w:r w:rsidRPr="00282764">
        <w:rPr>
          <w:b/>
          <w:bCs/>
        </w:rPr>
        <w:t> </w:t>
      </w:r>
    </w:p>
    <w:p w14:paraId="7F46D69C" w14:textId="77777777" w:rsidR="00282764" w:rsidRPr="00282764" w:rsidRDefault="00282764" w:rsidP="00282764">
      <w:r w:rsidRPr="00282764">
        <w:t>La disposición entre componentes e instalaciones deberá permitir el acceso necesario para operar y mantener la planta.</w:t>
      </w:r>
    </w:p>
    <w:p w14:paraId="5BA4191A" w14:textId="77777777" w:rsidR="00282764" w:rsidRPr="00282764" w:rsidRDefault="00282764" w:rsidP="00282764">
      <w:pPr>
        <w:rPr>
          <w:b/>
          <w:bCs/>
        </w:rPr>
      </w:pPr>
      <w:hyperlink r:id="rId6" w:anchor="ID00059A002206" w:history="1">
        <w:r w:rsidRPr="00282764">
          <w:rPr>
            <w:rStyle w:val="Hipervnculo"/>
            <w:b/>
            <w:bCs/>
          </w:rPr>
          <w:t>6.2.2*</w:t>
        </w:r>
      </w:hyperlink>
      <w:r w:rsidRPr="00282764">
        <w:rPr>
          <w:b/>
          <w:bCs/>
        </w:rPr>
        <w:t> </w:t>
      </w:r>
    </w:p>
    <w:p w14:paraId="4163F328" w14:textId="77777777" w:rsidR="00282764" w:rsidRPr="00282764" w:rsidRDefault="00282764" w:rsidP="00282764">
      <w:r w:rsidRPr="00282764">
        <w:t>La disposición entre componentes e instalaciones deberá considerar la dirección del viento predominante y las fuentes de ignición.</w:t>
      </w:r>
    </w:p>
    <w:p w14:paraId="327410E9" w14:textId="77777777" w:rsidR="00282764" w:rsidRPr="00282764" w:rsidRDefault="00282764" w:rsidP="00282764">
      <w:pPr>
        <w:rPr>
          <w:b/>
          <w:bCs/>
        </w:rPr>
      </w:pPr>
      <w:r w:rsidRPr="00282764">
        <w:rPr>
          <w:b/>
          <w:bCs/>
        </w:rPr>
        <w:t>6.2.3 </w:t>
      </w:r>
    </w:p>
    <w:p w14:paraId="29B98A25" w14:textId="77777777" w:rsidR="00282764" w:rsidRPr="00282764" w:rsidRDefault="00282764" w:rsidP="00282764">
      <w:r w:rsidRPr="00282764">
        <w:t>Si se requieren cámaras para fines de seguridad u operativos según </w:t>
      </w:r>
      <w:hyperlink r:id="rId7" w:anchor="ID00059A000965" w:history="1">
        <w:r w:rsidRPr="00282764">
          <w:rPr>
            <w:rStyle w:val="Hipervnculo"/>
            <w:b/>
            <w:bCs/>
          </w:rPr>
          <w:t>16.8.1.1</w:t>
        </w:r>
      </w:hyperlink>
      <w:r w:rsidRPr="00282764">
        <w:t> o la Sección  </w:t>
      </w:r>
      <w:hyperlink r:id="rId8" w:anchor="ID00059A001292" w:history="1">
        <w:r w:rsidRPr="00282764">
          <w:rPr>
            <w:rStyle w:val="Hipervnculo"/>
            <w:b/>
            <w:bCs/>
          </w:rPr>
          <w:t>18.6</w:t>
        </w:r>
      </w:hyperlink>
      <w:r w:rsidRPr="00282764">
        <w:t> , respectivamente, la disposición de las cámaras deberá permitir que los operadores y el personal de seguridad monitoreen claramente las instalaciones.</w:t>
      </w:r>
    </w:p>
    <w:p w14:paraId="4DF57C91" w14:textId="77777777" w:rsidR="00282764" w:rsidRPr="00282764" w:rsidRDefault="00282764" w:rsidP="00282764">
      <w:pPr>
        <w:rPr>
          <w:b/>
          <w:bCs/>
        </w:rPr>
      </w:pPr>
      <w:r w:rsidRPr="00282764">
        <w:rPr>
          <w:b/>
          <w:bCs/>
        </w:rPr>
        <w:t>6.2.4 </w:t>
      </w:r>
    </w:p>
    <w:p w14:paraId="5DB89952" w14:textId="77777777" w:rsidR="00282764" w:rsidRPr="00282764" w:rsidRDefault="00282764" w:rsidP="00282764">
      <w:r w:rsidRPr="00282764">
        <w:t>La disposición entre los componentes y las instalaciones deberá permitir el acceso y egreso del personal y del personal de emergencia.</w:t>
      </w:r>
    </w:p>
    <w:p w14:paraId="0DDEC60B" w14:textId="77777777" w:rsidR="00282764" w:rsidRPr="00282764" w:rsidRDefault="00282764" w:rsidP="00282764">
      <w:r w:rsidRPr="00282764">
        <w:pict w14:anchorId="7B93F94D">
          <v:rect id="_x0000_i1026" style="width:0;height:1.5pt" o:hralign="center" o:hrstd="t" o:hr="t" fillcolor="#a0a0a0" stroked="f"/>
        </w:pict>
      </w:r>
    </w:p>
    <w:p w14:paraId="36605303" w14:textId="77777777" w:rsidR="00282764" w:rsidRPr="00282764" w:rsidRDefault="00282764" w:rsidP="00282764">
      <w:r w:rsidRPr="00282764">
        <w:t>6.3 Espaciamiento de contenedores.</w:t>
      </w:r>
    </w:p>
    <w:p w14:paraId="285D6AB7" w14:textId="77777777" w:rsidR="00282764" w:rsidRPr="00282764" w:rsidRDefault="00282764" w:rsidP="00282764">
      <w:pPr>
        <w:rPr>
          <w:b/>
          <w:bCs/>
        </w:rPr>
      </w:pPr>
      <w:r w:rsidRPr="00282764">
        <w:rPr>
          <w:b/>
          <w:bCs/>
        </w:rPr>
        <w:lastRenderedPageBreak/>
        <w:t>6.3.1 </w:t>
      </w:r>
    </w:p>
    <w:p w14:paraId="22D3B30B" w14:textId="77777777" w:rsidR="00282764" w:rsidRPr="00282764" w:rsidRDefault="00282764" w:rsidP="00282764">
      <w:r w:rsidRPr="00282764">
        <w:t>La distancia mínima de separación asociada con cualquier tipo de contenedor o tanque de GNL que contenga refrigerantes inflamables deberá estar de acuerdo con </w:t>
      </w:r>
      <w:hyperlink r:id="rId9" w:anchor="ID00059A000214" w:history="1">
        <w:r w:rsidRPr="00282764">
          <w:rPr>
            <w:rStyle w:val="Hipervnculo"/>
            <w:b/>
            <w:bCs/>
          </w:rPr>
          <w:t>la Tabla 6.3.1</w:t>
        </w:r>
      </w:hyperlink>
      <w:r w:rsidRPr="00282764">
        <w:t> o con la aprobación de la autoridad competente a una distancia más corta de los edificios o paredes construidas de hormigón o mampostería, pero al menos a 10 pies (3,0 m) de cualquier abertura del edificio.</w:t>
      </w:r>
    </w:p>
    <w:tbl>
      <w:tblPr>
        <w:tblW w:w="15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3113"/>
        <w:gridCol w:w="485"/>
        <w:gridCol w:w="2056"/>
        <w:gridCol w:w="2129"/>
        <w:gridCol w:w="485"/>
        <w:gridCol w:w="1987"/>
        <w:gridCol w:w="2007"/>
      </w:tblGrid>
      <w:tr w:rsidR="00282764" w14:paraId="4211E64F" w14:textId="77777777">
        <w:trPr>
          <w:jc w:val="center"/>
        </w:trPr>
        <w:tc>
          <w:tcPr>
            <w:tcW w:w="0" w:type="auto"/>
            <w:gridSpan w:val="8"/>
            <w:shd w:val="clear" w:color="auto" w:fill="auto"/>
            <w:hideMark/>
          </w:tcPr>
          <w:p w14:paraId="2E886831" w14:textId="77777777" w:rsidR="00282764" w:rsidRDefault="00282764" w:rsidP="00282764">
            <w:pPr>
              <w:rPr>
                <w:b/>
                <w:bCs/>
              </w:rPr>
            </w:pPr>
            <w:r>
              <w:rPr>
                <w:b/>
                <w:bCs/>
              </w:rPr>
              <w:t>Tabla 6.3.1 Distancias desde los contenedores y exposiciones</w:t>
            </w:r>
            <w:r>
              <w:rPr>
                <w:b/>
                <w:bCs/>
              </w:rPr>
              <w:br/>
            </w:r>
          </w:p>
        </w:tc>
      </w:tr>
      <w:tr w:rsidR="00000000" w14:paraId="11B4016A" w14:textId="77777777">
        <w:trPr>
          <w:jc w:val="center"/>
        </w:trPr>
        <w:tc>
          <w:tcPr>
            <w:tcW w:w="6367" w:type="dxa"/>
            <w:gridSpan w:val="2"/>
            <w:shd w:val="clear" w:color="auto" w:fill="auto"/>
            <w:hideMark/>
          </w:tcPr>
          <w:p w14:paraId="43BD3B9E" w14:textId="77777777" w:rsidR="00282764" w:rsidRDefault="00282764" w:rsidP="00282764">
            <w:pPr>
              <w:rPr>
                <w:b/>
                <w:bCs/>
              </w:rPr>
            </w:pPr>
            <w:r>
              <w:rPr>
                <w:b/>
                <w:bCs/>
              </w:rPr>
              <w:t>Capacidad de agua del contenedor</w:t>
            </w:r>
          </w:p>
        </w:tc>
        <w:tc>
          <w:tcPr>
            <w:tcW w:w="480" w:type="dxa"/>
            <w:shd w:val="clear" w:color="auto" w:fill="auto"/>
            <w:hideMark/>
          </w:tcPr>
          <w:p w14:paraId="4DA4EAD9" w14:textId="77777777" w:rsidR="00282764" w:rsidRDefault="00282764" w:rsidP="00282764">
            <w:pPr>
              <w:rPr>
                <w:b/>
                <w:bCs/>
              </w:rPr>
            </w:pPr>
          </w:p>
        </w:tc>
        <w:tc>
          <w:tcPr>
            <w:tcW w:w="4310" w:type="dxa"/>
            <w:gridSpan w:val="2"/>
            <w:shd w:val="clear" w:color="auto" w:fill="auto"/>
            <w:hideMark/>
          </w:tcPr>
          <w:p w14:paraId="4AD2677D" w14:textId="77777777" w:rsidR="00282764" w:rsidRDefault="00282764" w:rsidP="00282764">
            <w:pPr>
              <w:rPr>
                <w:b/>
                <w:bCs/>
              </w:rPr>
            </w:pPr>
            <w:r>
              <w:rPr>
                <w:b/>
                <w:bCs/>
              </w:rPr>
              <w:t>Distancia mínima desde el borde del embalse o sistema de drenaje de contenedores hasta las líneas de propiedad sobre las que se puede construir</w:t>
            </w:r>
          </w:p>
        </w:tc>
        <w:tc>
          <w:tcPr>
            <w:tcW w:w="480" w:type="dxa"/>
            <w:shd w:val="clear" w:color="auto" w:fill="auto"/>
            <w:hideMark/>
          </w:tcPr>
          <w:p w14:paraId="04D90C64" w14:textId="77777777" w:rsidR="00282764" w:rsidRDefault="00282764" w:rsidP="00282764">
            <w:pPr>
              <w:rPr>
                <w:b/>
                <w:bCs/>
              </w:rPr>
            </w:pPr>
          </w:p>
        </w:tc>
        <w:tc>
          <w:tcPr>
            <w:tcW w:w="3724" w:type="dxa"/>
            <w:gridSpan w:val="2"/>
            <w:shd w:val="clear" w:color="auto" w:fill="auto"/>
            <w:hideMark/>
          </w:tcPr>
          <w:p w14:paraId="15BD13F9" w14:textId="77777777" w:rsidR="00282764" w:rsidRDefault="00282764" w:rsidP="00282764">
            <w:pPr>
              <w:rPr>
                <w:b/>
                <w:bCs/>
              </w:rPr>
            </w:pPr>
            <w:r>
              <w:rPr>
                <w:b/>
                <w:bCs/>
              </w:rPr>
              <w:t>Distancia mínima entre contenedores de almacenamiento</w:t>
            </w:r>
          </w:p>
        </w:tc>
      </w:tr>
      <w:tr w:rsidR="00000000" w14:paraId="387BB9A5" w14:textId="77777777">
        <w:trPr>
          <w:jc w:val="center"/>
        </w:trPr>
        <w:tc>
          <w:tcPr>
            <w:tcW w:w="3404" w:type="dxa"/>
            <w:shd w:val="clear" w:color="auto" w:fill="auto"/>
            <w:hideMark/>
          </w:tcPr>
          <w:p w14:paraId="41A6FDB3" w14:textId="77777777" w:rsidR="00282764" w:rsidRDefault="00282764" w:rsidP="00282764">
            <w:pPr>
              <w:rPr>
                <w:b/>
                <w:bCs/>
              </w:rPr>
            </w:pPr>
            <w:r>
              <w:rPr>
                <w:b/>
                <w:bCs/>
              </w:rPr>
              <w:t>galón</w:t>
            </w:r>
          </w:p>
        </w:tc>
        <w:tc>
          <w:tcPr>
            <w:tcW w:w="2963" w:type="dxa"/>
            <w:shd w:val="clear" w:color="auto" w:fill="auto"/>
            <w:hideMark/>
          </w:tcPr>
          <w:p w14:paraId="3E5F8CBA" w14:textId="77777777" w:rsidR="00282764" w:rsidRDefault="00282764" w:rsidP="00282764">
            <w:pPr>
              <w:rPr>
                <w:b/>
                <w:bCs/>
              </w:rPr>
            </w:pPr>
            <w:r>
              <w:rPr>
                <w:b/>
                <w:bCs/>
              </w:rPr>
              <w:t>metros </w:t>
            </w:r>
            <w:r>
              <w:rPr>
                <w:b/>
                <w:bCs/>
                <w:vertAlign w:val="superscript"/>
              </w:rPr>
              <w:t>cúbicos</w:t>
            </w:r>
          </w:p>
        </w:tc>
        <w:tc>
          <w:tcPr>
            <w:tcW w:w="480" w:type="dxa"/>
            <w:shd w:val="clear" w:color="auto" w:fill="auto"/>
            <w:hideMark/>
          </w:tcPr>
          <w:p w14:paraId="72A68718" w14:textId="77777777" w:rsidR="00282764" w:rsidRDefault="00282764" w:rsidP="00282764">
            <w:pPr>
              <w:rPr>
                <w:b/>
                <w:bCs/>
              </w:rPr>
            </w:pPr>
          </w:p>
        </w:tc>
        <w:tc>
          <w:tcPr>
            <w:tcW w:w="2228" w:type="dxa"/>
            <w:shd w:val="clear" w:color="auto" w:fill="auto"/>
            <w:hideMark/>
          </w:tcPr>
          <w:p w14:paraId="7999A784" w14:textId="77777777" w:rsidR="00282764" w:rsidRDefault="00282764" w:rsidP="00282764">
            <w:pPr>
              <w:rPr>
                <w:b/>
                <w:bCs/>
              </w:rPr>
            </w:pPr>
            <w:r>
              <w:rPr>
                <w:b/>
                <w:bCs/>
              </w:rPr>
              <w:t>pie</w:t>
            </w:r>
          </w:p>
        </w:tc>
        <w:tc>
          <w:tcPr>
            <w:tcW w:w="2081" w:type="dxa"/>
            <w:shd w:val="clear" w:color="auto" w:fill="auto"/>
            <w:hideMark/>
          </w:tcPr>
          <w:p w14:paraId="16BC6047" w14:textId="77777777" w:rsidR="00282764" w:rsidRDefault="00282764" w:rsidP="00282764">
            <w:pPr>
              <w:rPr>
                <w:b/>
                <w:bCs/>
              </w:rPr>
            </w:pPr>
            <w:r>
              <w:rPr>
                <w:b/>
                <w:bCs/>
              </w:rPr>
              <w:t>metro</w:t>
            </w:r>
          </w:p>
        </w:tc>
        <w:tc>
          <w:tcPr>
            <w:tcW w:w="480" w:type="dxa"/>
            <w:shd w:val="clear" w:color="auto" w:fill="auto"/>
            <w:hideMark/>
          </w:tcPr>
          <w:p w14:paraId="53C637DE" w14:textId="77777777" w:rsidR="00282764" w:rsidRDefault="00282764" w:rsidP="00282764">
            <w:pPr>
              <w:rPr>
                <w:b/>
                <w:bCs/>
              </w:rPr>
            </w:pPr>
          </w:p>
        </w:tc>
        <w:tc>
          <w:tcPr>
            <w:tcW w:w="1935" w:type="dxa"/>
            <w:shd w:val="clear" w:color="auto" w:fill="auto"/>
            <w:hideMark/>
          </w:tcPr>
          <w:p w14:paraId="765A22B3" w14:textId="77777777" w:rsidR="00282764" w:rsidRDefault="00282764" w:rsidP="00282764">
            <w:pPr>
              <w:rPr>
                <w:b/>
                <w:bCs/>
              </w:rPr>
            </w:pPr>
            <w:r>
              <w:rPr>
                <w:b/>
                <w:bCs/>
              </w:rPr>
              <w:t>pie</w:t>
            </w:r>
          </w:p>
        </w:tc>
        <w:tc>
          <w:tcPr>
            <w:tcW w:w="1789" w:type="dxa"/>
            <w:shd w:val="clear" w:color="auto" w:fill="auto"/>
            <w:hideMark/>
          </w:tcPr>
          <w:p w14:paraId="7AF2322C" w14:textId="77777777" w:rsidR="00282764" w:rsidRDefault="00282764" w:rsidP="00282764">
            <w:pPr>
              <w:rPr>
                <w:b/>
                <w:bCs/>
              </w:rPr>
            </w:pPr>
            <w:r>
              <w:rPr>
                <w:b/>
                <w:bCs/>
              </w:rPr>
              <w:t>metro</w:t>
            </w:r>
          </w:p>
        </w:tc>
      </w:tr>
      <w:tr w:rsidR="00000000" w14:paraId="0FD8B518" w14:textId="77777777">
        <w:trPr>
          <w:jc w:val="center"/>
        </w:trPr>
        <w:tc>
          <w:tcPr>
            <w:tcW w:w="3404" w:type="dxa"/>
            <w:shd w:val="clear" w:color="auto" w:fill="auto"/>
            <w:hideMark/>
          </w:tcPr>
          <w:p w14:paraId="7D8DCBED" w14:textId="77777777" w:rsidR="00282764" w:rsidRDefault="00282764" w:rsidP="00282764">
            <w:r>
              <w:t>&lt;125*</w:t>
            </w:r>
          </w:p>
        </w:tc>
        <w:tc>
          <w:tcPr>
            <w:tcW w:w="2963" w:type="dxa"/>
            <w:shd w:val="clear" w:color="auto" w:fill="auto"/>
            <w:hideMark/>
          </w:tcPr>
          <w:p w14:paraId="43D52CE6" w14:textId="77777777" w:rsidR="00282764" w:rsidRDefault="00282764" w:rsidP="00282764">
            <w:r>
              <w:t>&lt;0,5</w:t>
            </w:r>
          </w:p>
        </w:tc>
        <w:tc>
          <w:tcPr>
            <w:tcW w:w="480" w:type="dxa"/>
            <w:shd w:val="clear" w:color="auto" w:fill="auto"/>
            <w:hideMark/>
          </w:tcPr>
          <w:p w14:paraId="64283950" w14:textId="77777777" w:rsidR="00282764" w:rsidRDefault="00282764" w:rsidP="00282764"/>
        </w:tc>
        <w:tc>
          <w:tcPr>
            <w:tcW w:w="2228" w:type="dxa"/>
            <w:shd w:val="clear" w:color="auto" w:fill="auto"/>
            <w:hideMark/>
          </w:tcPr>
          <w:p w14:paraId="762B9005" w14:textId="77777777" w:rsidR="00282764" w:rsidRDefault="00282764" w:rsidP="00282764">
            <w:r>
              <w:t>0</w:t>
            </w:r>
          </w:p>
        </w:tc>
        <w:tc>
          <w:tcPr>
            <w:tcW w:w="2081" w:type="dxa"/>
            <w:shd w:val="clear" w:color="auto" w:fill="auto"/>
            <w:hideMark/>
          </w:tcPr>
          <w:p w14:paraId="0041077B" w14:textId="77777777" w:rsidR="00282764" w:rsidRDefault="00282764" w:rsidP="00282764">
            <w:r>
              <w:t>0</w:t>
            </w:r>
          </w:p>
        </w:tc>
        <w:tc>
          <w:tcPr>
            <w:tcW w:w="480" w:type="dxa"/>
            <w:shd w:val="clear" w:color="auto" w:fill="auto"/>
            <w:hideMark/>
          </w:tcPr>
          <w:p w14:paraId="59C8B04E" w14:textId="77777777" w:rsidR="00282764" w:rsidRDefault="00282764" w:rsidP="00282764"/>
        </w:tc>
        <w:tc>
          <w:tcPr>
            <w:tcW w:w="1935" w:type="dxa"/>
            <w:shd w:val="clear" w:color="auto" w:fill="auto"/>
            <w:hideMark/>
          </w:tcPr>
          <w:p w14:paraId="03208A24" w14:textId="77777777" w:rsidR="00282764" w:rsidRDefault="00282764" w:rsidP="00282764">
            <w:r>
              <w:t>0</w:t>
            </w:r>
          </w:p>
        </w:tc>
        <w:tc>
          <w:tcPr>
            <w:tcW w:w="1789" w:type="dxa"/>
            <w:shd w:val="clear" w:color="auto" w:fill="auto"/>
            <w:hideMark/>
          </w:tcPr>
          <w:p w14:paraId="126034DD" w14:textId="77777777" w:rsidR="00282764" w:rsidRDefault="00282764" w:rsidP="00282764">
            <w:r>
              <w:t>0</w:t>
            </w:r>
          </w:p>
        </w:tc>
      </w:tr>
      <w:tr w:rsidR="00000000" w14:paraId="1829408C" w14:textId="77777777">
        <w:trPr>
          <w:jc w:val="center"/>
        </w:trPr>
        <w:tc>
          <w:tcPr>
            <w:tcW w:w="3404" w:type="dxa"/>
            <w:shd w:val="clear" w:color="auto" w:fill="auto"/>
            <w:hideMark/>
          </w:tcPr>
          <w:p w14:paraId="07A803AF" w14:textId="77777777" w:rsidR="00282764" w:rsidRDefault="00282764" w:rsidP="00282764">
            <w:r>
              <w:t>125–500</w:t>
            </w:r>
          </w:p>
        </w:tc>
        <w:tc>
          <w:tcPr>
            <w:tcW w:w="2963" w:type="dxa"/>
            <w:shd w:val="clear" w:color="auto" w:fill="auto"/>
            <w:hideMark/>
          </w:tcPr>
          <w:p w14:paraId="53A1F942" w14:textId="77777777" w:rsidR="00282764" w:rsidRDefault="00282764" w:rsidP="00282764">
            <w:r>
              <w:t>≥0,5–1,9</w:t>
            </w:r>
          </w:p>
        </w:tc>
        <w:tc>
          <w:tcPr>
            <w:tcW w:w="480" w:type="dxa"/>
            <w:shd w:val="clear" w:color="auto" w:fill="auto"/>
            <w:hideMark/>
          </w:tcPr>
          <w:p w14:paraId="07E44B05" w14:textId="77777777" w:rsidR="00282764" w:rsidRDefault="00282764" w:rsidP="00282764"/>
        </w:tc>
        <w:tc>
          <w:tcPr>
            <w:tcW w:w="2228" w:type="dxa"/>
            <w:shd w:val="clear" w:color="auto" w:fill="auto"/>
            <w:hideMark/>
          </w:tcPr>
          <w:p w14:paraId="5C1EC3D3" w14:textId="77777777" w:rsidR="00282764" w:rsidRDefault="00282764" w:rsidP="00282764">
            <w:r>
              <w:t>10</w:t>
            </w:r>
          </w:p>
        </w:tc>
        <w:tc>
          <w:tcPr>
            <w:tcW w:w="2081" w:type="dxa"/>
            <w:shd w:val="clear" w:color="auto" w:fill="auto"/>
            <w:hideMark/>
          </w:tcPr>
          <w:p w14:paraId="234B5AA8" w14:textId="77777777" w:rsidR="00282764" w:rsidRDefault="00282764" w:rsidP="00282764">
            <w:r>
              <w:t>3</w:t>
            </w:r>
          </w:p>
        </w:tc>
        <w:tc>
          <w:tcPr>
            <w:tcW w:w="480" w:type="dxa"/>
            <w:shd w:val="clear" w:color="auto" w:fill="auto"/>
            <w:hideMark/>
          </w:tcPr>
          <w:p w14:paraId="1CE1B32E" w14:textId="77777777" w:rsidR="00282764" w:rsidRDefault="00282764" w:rsidP="00282764"/>
        </w:tc>
        <w:tc>
          <w:tcPr>
            <w:tcW w:w="1935" w:type="dxa"/>
            <w:shd w:val="clear" w:color="auto" w:fill="auto"/>
            <w:hideMark/>
          </w:tcPr>
          <w:p w14:paraId="19A39E84" w14:textId="77777777" w:rsidR="00282764" w:rsidRDefault="00282764" w:rsidP="00282764">
            <w:r>
              <w:t>3</w:t>
            </w:r>
          </w:p>
        </w:tc>
        <w:tc>
          <w:tcPr>
            <w:tcW w:w="1789" w:type="dxa"/>
            <w:shd w:val="clear" w:color="auto" w:fill="auto"/>
            <w:hideMark/>
          </w:tcPr>
          <w:p w14:paraId="3504E746" w14:textId="77777777" w:rsidR="00282764" w:rsidRDefault="00282764" w:rsidP="00282764">
            <w:r>
              <w:t>1</w:t>
            </w:r>
          </w:p>
        </w:tc>
      </w:tr>
      <w:tr w:rsidR="00000000" w14:paraId="558B8FAC" w14:textId="77777777">
        <w:trPr>
          <w:jc w:val="center"/>
        </w:trPr>
        <w:tc>
          <w:tcPr>
            <w:tcW w:w="3404" w:type="dxa"/>
            <w:shd w:val="clear" w:color="auto" w:fill="auto"/>
            <w:hideMark/>
          </w:tcPr>
          <w:p w14:paraId="019E05B8" w14:textId="77777777" w:rsidR="00282764" w:rsidRDefault="00282764" w:rsidP="00282764">
            <w:r>
              <w:t>501–2.000</w:t>
            </w:r>
          </w:p>
        </w:tc>
        <w:tc>
          <w:tcPr>
            <w:tcW w:w="2963" w:type="dxa"/>
            <w:shd w:val="clear" w:color="auto" w:fill="auto"/>
            <w:hideMark/>
          </w:tcPr>
          <w:p w14:paraId="264E0291" w14:textId="77777777" w:rsidR="00282764" w:rsidRDefault="00282764" w:rsidP="00282764">
            <w:r>
              <w:t>≥1,9–7,6</w:t>
            </w:r>
          </w:p>
        </w:tc>
        <w:tc>
          <w:tcPr>
            <w:tcW w:w="480" w:type="dxa"/>
            <w:shd w:val="clear" w:color="auto" w:fill="auto"/>
            <w:hideMark/>
          </w:tcPr>
          <w:p w14:paraId="19C53A4A" w14:textId="77777777" w:rsidR="00282764" w:rsidRDefault="00282764" w:rsidP="00282764"/>
        </w:tc>
        <w:tc>
          <w:tcPr>
            <w:tcW w:w="2228" w:type="dxa"/>
            <w:shd w:val="clear" w:color="auto" w:fill="auto"/>
            <w:hideMark/>
          </w:tcPr>
          <w:p w14:paraId="3E59DE0B" w14:textId="77777777" w:rsidR="00282764" w:rsidRDefault="00282764" w:rsidP="00282764">
            <w:r>
              <w:t>15</w:t>
            </w:r>
          </w:p>
        </w:tc>
        <w:tc>
          <w:tcPr>
            <w:tcW w:w="2081" w:type="dxa"/>
            <w:shd w:val="clear" w:color="auto" w:fill="auto"/>
            <w:hideMark/>
          </w:tcPr>
          <w:p w14:paraId="18A83430" w14:textId="77777777" w:rsidR="00282764" w:rsidRDefault="00282764" w:rsidP="00282764">
            <w:r>
              <w:t>4.6</w:t>
            </w:r>
          </w:p>
        </w:tc>
        <w:tc>
          <w:tcPr>
            <w:tcW w:w="480" w:type="dxa"/>
            <w:shd w:val="clear" w:color="auto" w:fill="auto"/>
            <w:hideMark/>
          </w:tcPr>
          <w:p w14:paraId="07E6CBB0" w14:textId="77777777" w:rsidR="00282764" w:rsidRDefault="00282764" w:rsidP="00282764"/>
        </w:tc>
        <w:tc>
          <w:tcPr>
            <w:tcW w:w="1935" w:type="dxa"/>
            <w:shd w:val="clear" w:color="auto" w:fill="auto"/>
            <w:hideMark/>
          </w:tcPr>
          <w:p w14:paraId="3C20E5E5" w14:textId="77777777" w:rsidR="00282764" w:rsidRDefault="00282764" w:rsidP="00282764">
            <w:r>
              <w:t>5</w:t>
            </w:r>
          </w:p>
        </w:tc>
        <w:tc>
          <w:tcPr>
            <w:tcW w:w="1789" w:type="dxa"/>
            <w:shd w:val="clear" w:color="auto" w:fill="auto"/>
            <w:hideMark/>
          </w:tcPr>
          <w:p w14:paraId="55205C8E" w14:textId="77777777" w:rsidR="00282764" w:rsidRDefault="00282764" w:rsidP="00282764">
            <w:r>
              <w:t>1.5</w:t>
            </w:r>
          </w:p>
        </w:tc>
      </w:tr>
      <w:tr w:rsidR="00000000" w14:paraId="223B7C2C" w14:textId="77777777">
        <w:trPr>
          <w:jc w:val="center"/>
        </w:trPr>
        <w:tc>
          <w:tcPr>
            <w:tcW w:w="3404" w:type="dxa"/>
            <w:shd w:val="clear" w:color="auto" w:fill="auto"/>
            <w:hideMark/>
          </w:tcPr>
          <w:p w14:paraId="66139C63" w14:textId="77777777" w:rsidR="00282764" w:rsidRDefault="00282764" w:rsidP="00282764">
            <w:r>
              <w:t>2.001–18.000</w:t>
            </w:r>
          </w:p>
        </w:tc>
        <w:tc>
          <w:tcPr>
            <w:tcW w:w="2963" w:type="dxa"/>
            <w:shd w:val="clear" w:color="auto" w:fill="auto"/>
            <w:hideMark/>
          </w:tcPr>
          <w:p w14:paraId="1963792E" w14:textId="77777777" w:rsidR="00282764" w:rsidRDefault="00282764" w:rsidP="00282764">
            <w:r>
              <w:t>≥7,6– 68,1</w:t>
            </w:r>
          </w:p>
        </w:tc>
        <w:tc>
          <w:tcPr>
            <w:tcW w:w="480" w:type="dxa"/>
            <w:shd w:val="clear" w:color="auto" w:fill="auto"/>
            <w:hideMark/>
          </w:tcPr>
          <w:p w14:paraId="182C8CD1" w14:textId="77777777" w:rsidR="00282764" w:rsidRDefault="00282764" w:rsidP="00282764"/>
        </w:tc>
        <w:tc>
          <w:tcPr>
            <w:tcW w:w="2228" w:type="dxa"/>
            <w:shd w:val="clear" w:color="auto" w:fill="auto"/>
            <w:hideMark/>
          </w:tcPr>
          <w:p w14:paraId="0022DCC3" w14:textId="77777777" w:rsidR="00282764" w:rsidRDefault="00282764" w:rsidP="00282764">
            <w:r>
              <w:t>25</w:t>
            </w:r>
          </w:p>
        </w:tc>
        <w:tc>
          <w:tcPr>
            <w:tcW w:w="2081" w:type="dxa"/>
            <w:shd w:val="clear" w:color="auto" w:fill="auto"/>
            <w:hideMark/>
          </w:tcPr>
          <w:p w14:paraId="547BC61B" w14:textId="77777777" w:rsidR="00282764" w:rsidRDefault="00282764" w:rsidP="00282764">
            <w:r>
              <w:t>7.6</w:t>
            </w:r>
          </w:p>
        </w:tc>
        <w:tc>
          <w:tcPr>
            <w:tcW w:w="480" w:type="dxa"/>
            <w:shd w:val="clear" w:color="auto" w:fill="auto"/>
            <w:hideMark/>
          </w:tcPr>
          <w:p w14:paraId="2B6BEC87" w14:textId="77777777" w:rsidR="00282764" w:rsidRDefault="00282764" w:rsidP="00282764"/>
        </w:tc>
        <w:tc>
          <w:tcPr>
            <w:tcW w:w="1935" w:type="dxa"/>
            <w:shd w:val="clear" w:color="auto" w:fill="auto"/>
            <w:hideMark/>
          </w:tcPr>
          <w:p w14:paraId="665DBC6D" w14:textId="77777777" w:rsidR="00282764" w:rsidRDefault="00282764" w:rsidP="00282764">
            <w:r>
              <w:t>5</w:t>
            </w:r>
          </w:p>
        </w:tc>
        <w:tc>
          <w:tcPr>
            <w:tcW w:w="1789" w:type="dxa"/>
            <w:shd w:val="clear" w:color="auto" w:fill="auto"/>
            <w:hideMark/>
          </w:tcPr>
          <w:p w14:paraId="35128315" w14:textId="77777777" w:rsidR="00282764" w:rsidRDefault="00282764" w:rsidP="00282764">
            <w:r>
              <w:t>1.5</w:t>
            </w:r>
          </w:p>
        </w:tc>
      </w:tr>
      <w:tr w:rsidR="00000000" w14:paraId="255B9246" w14:textId="77777777">
        <w:trPr>
          <w:jc w:val="center"/>
        </w:trPr>
        <w:tc>
          <w:tcPr>
            <w:tcW w:w="3404" w:type="dxa"/>
            <w:shd w:val="clear" w:color="auto" w:fill="auto"/>
            <w:hideMark/>
          </w:tcPr>
          <w:p w14:paraId="5F1758A8" w14:textId="77777777" w:rsidR="00282764" w:rsidRDefault="00282764" w:rsidP="00282764">
            <w:r>
              <w:t>18.001–30.000</w:t>
            </w:r>
          </w:p>
        </w:tc>
        <w:tc>
          <w:tcPr>
            <w:tcW w:w="2963" w:type="dxa"/>
            <w:shd w:val="clear" w:color="auto" w:fill="auto"/>
            <w:hideMark/>
          </w:tcPr>
          <w:p w14:paraId="1DB11979" w14:textId="77777777" w:rsidR="00282764" w:rsidRDefault="00282764" w:rsidP="00282764">
            <w:r>
              <w:t>≥ 68,1 –114</w:t>
            </w:r>
          </w:p>
        </w:tc>
        <w:tc>
          <w:tcPr>
            <w:tcW w:w="480" w:type="dxa"/>
            <w:shd w:val="clear" w:color="auto" w:fill="auto"/>
            <w:hideMark/>
          </w:tcPr>
          <w:p w14:paraId="2E2AF4C6" w14:textId="77777777" w:rsidR="00282764" w:rsidRDefault="00282764" w:rsidP="00282764"/>
        </w:tc>
        <w:tc>
          <w:tcPr>
            <w:tcW w:w="2228" w:type="dxa"/>
            <w:shd w:val="clear" w:color="auto" w:fill="auto"/>
            <w:hideMark/>
          </w:tcPr>
          <w:p w14:paraId="40FD2426" w14:textId="77777777" w:rsidR="00282764" w:rsidRDefault="00282764" w:rsidP="00282764">
            <w:r>
              <w:t>50</w:t>
            </w:r>
          </w:p>
        </w:tc>
        <w:tc>
          <w:tcPr>
            <w:tcW w:w="2081" w:type="dxa"/>
            <w:shd w:val="clear" w:color="auto" w:fill="auto"/>
            <w:hideMark/>
          </w:tcPr>
          <w:p w14:paraId="4A60A5F0" w14:textId="77777777" w:rsidR="00282764" w:rsidRDefault="00282764" w:rsidP="00282764">
            <w:r>
              <w:t>15</w:t>
            </w:r>
          </w:p>
        </w:tc>
        <w:tc>
          <w:tcPr>
            <w:tcW w:w="480" w:type="dxa"/>
            <w:shd w:val="clear" w:color="auto" w:fill="auto"/>
            <w:hideMark/>
          </w:tcPr>
          <w:p w14:paraId="78CAC3BF" w14:textId="77777777" w:rsidR="00282764" w:rsidRDefault="00282764" w:rsidP="00282764"/>
        </w:tc>
        <w:tc>
          <w:tcPr>
            <w:tcW w:w="1935" w:type="dxa"/>
            <w:shd w:val="clear" w:color="auto" w:fill="auto"/>
            <w:hideMark/>
          </w:tcPr>
          <w:p w14:paraId="15C4753E" w14:textId="77777777" w:rsidR="00282764" w:rsidRDefault="00282764" w:rsidP="00282764">
            <w:r>
              <w:t>5</w:t>
            </w:r>
          </w:p>
        </w:tc>
        <w:tc>
          <w:tcPr>
            <w:tcW w:w="1789" w:type="dxa"/>
            <w:shd w:val="clear" w:color="auto" w:fill="auto"/>
            <w:hideMark/>
          </w:tcPr>
          <w:p w14:paraId="2CD292EE" w14:textId="77777777" w:rsidR="00282764" w:rsidRDefault="00282764" w:rsidP="00282764">
            <w:r>
              <w:t>1.5</w:t>
            </w:r>
          </w:p>
        </w:tc>
      </w:tr>
      <w:tr w:rsidR="00000000" w14:paraId="71FA17F8" w14:textId="77777777">
        <w:trPr>
          <w:jc w:val="center"/>
        </w:trPr>
        <w:tc>
          <w:tcPr>
            <w:tcW w:w="3404" w:type="dxa"/>
            <w:shd w:val="clear" w:color="auto" w:fill="auto"/>
            <w:hideMark/>
          </w:tcPr>
          <w:p w14:paraId="45074ACA" w14:textId="77777777" w:rsidR="00282764" w:rsidRDefault="00282764" w:rsidP="00282764">
            <w:r>
              <w:t>30.001–70.000</w:t>
            </w:r>
          </w:p>
        </w:tc>
        <w:tc>
          <w:tcPr>
            <w:tcW w:w="2963" w:type="dxa"/>
            <w:shd w:val="clear" w:color="auto" w:fill="auto"/>
            <w:hideMark/>
          </w:tcPr>
          <w:p w14:paraId="43CD0C89" w14:textId="77777777" w:rsidR="00282764" w:rsidRDefault="00282764" w:rsidP="00282764">
            <w:r>
              <w:t>≥114–265</w:t>
            </w:r>
          </w:p>
        </w:tc>
        <w:tc>
          <w:tcPr>
            <w:tcW w:w="480" w:type="dxa"/>
            <w:shd w:val="clear" w:color="auto" w:fill="auto"/>
            <w:hideMark/>
          </w:tcPr>
          <w:p w14:paraId="2C66C5DA" w14:textId="77777777" w:rsidR="00282764" w:rsidRDefault="00282764" w:rsidP="00282764"/>
        </w:tc>
        <w:tc>
          <w:tcPr>
            <w:tcW w:w="2228" w:type="dxa"/>
            <w:shd w:val="clear" w:color="auto" w:fill="auto"/>
            <w:hideMark/>
          </w:tcPr>
          <w:p w14:paraId="7DC10D1D" w14:textId="77777777" w:rsidR="00282764" w:rsidRDefault="00282764" w:rsidP="00282764">
            <w:r>
              <w:t>75</w:t>
            </w:r>
          </w:p>
        </w:tc>
        <w:tc>
          <w:tcPr>
            <w:tcW w:w="2081" w:type="dxa"/>
            <w:shd w:val="clear" w:color="auto" w:fill="auto"/>
            <w:hideMark/>
          </w:tcPr>
          <w:p w14:paraId="72211854" w14:textId="77777777" w:rsidR="00282764" w:rsidRDefault="00282764" w:rsidP="00282764">
            <w:r>
              <w:t>23</w:t>
            </w:r>
          </w:p>
        </w:tc>
        <w:tc>
          <w:tcPr>
            <w:tcW w:w="480" w:type="dxa"/>
            <w:shd w:val="clear" w:color="auto" w:fill="auto"/>
            <w:hideMark/>
          </w:tcPr>
          <w:p w14:paraId="7AAF4606" w14:textId="77777777" w:rsidR="00282764" w:rsidRDefault="00282764" w:rsidP="00282764"/>
        </w:tc>
        <w:tc>
          <w:tcPr>
            <w:tcW w:w="3724" w:type="dxa"/>
            <w:gridSpan w:val="2"/>
            <w:shd w:val="clear" w:color="auto" w:fill="auto"/>
            <w:hideMark/>
          </w:tcPr>
          <w:p w14:paraId="311E4998" w14:textId="77777777" w:rsidR="00282764" w:rsidRDefault="00282764" w:rsidP="00282764">
            <w:r>
              <w:t>QSD†</w:t>
            </w:r>
          </w:p>
        </w:tc>
      </w:tr>
      <w:tr w:rsidR="00000000" w14:paraId="44FD8CE9" w14:textId="77777777">
        <w:trPr>
          <w:jc w:val="center"/>
        </w:trPr>
        <w:tc>
          <w:tcPr>
            <w:tcW w:w="3404" w:type="dxa"/>
            <w:shd w:val="clear" w:color="auto" w:fill="auto"/>
            <w:hideMark/>
          </w:tcPr>
          <w:p w14:paraId="22767770" w14:textId="77777777" w:rsidR="00282764" w:rsidRDefault="00282764" w:rsidP="00282764">
            <w:r>
              <w:t>&gt;70.000</w:t>
            </w:r>
          </w:p>
        </w:tc>
        <w:tc>
          <w:tcPr>
            <w:tcW w:w="2963" w:type="dxa"/>
            <w:shd w:val="clear" w:color="auto" w:fill="auto"/>
            <w:hideMark/>
          </w:tcPr>
          <w:p w14:paraId="35D0BE5B" w14:textId="77777777" w:rsidR="00282764" w:rsidRDefault="00282764" w:rsidP="00282764">
            <w:r>
              <w:t>&gt;265</w:t>
            </w:r>
          </w:p>
        </w:tc>
        <w:tc>
          <w:tcPr>
            <w:tcW w:w="480" w:type="dxa"/>
            <w:shd w:val="clear" w:color="auto" w:fill="auto"/>
            <w:hideMark/>
          </w:tcPr>
          <w:p w14:paraId="24238B84" w14:textId="77777777" w:rsidR="00282764" w:rsidRDefault="00282764" w:rsidP="00282764"/>
        </w:tc>
        <w:tc>
          <w:tcPr>
            <w:tcW w:w="4310" w:type="dxa"/>
            <w:gridSpan w:val="2"/>
            <w:shd w:val="clear" w:color="auto" w:fill="auto"/>
            <w:hideMark/>
          </w:tcPr>
          <w:p w14:paraId="02AC145C" w14:textId="77777777" w:rsidR="00282764" w:rsidRDefault="00282764" w:rsidP="00282764">
            <w:r>
              <w:t xml:space="preserve">0,7 veces el diámetro del contenedor, pero no menos de 100 </w:t>
            </w:r>
            <w:r>
              <w:lastRenderedPageBreak/>
              <w:t>pies (30 m)</w:t>
            </w:r>
          </w:p>
        </w:tc>
        <w:tc>
          <w:tcPr>
            <w:tcW w:w="480" w:type="dxa"/>
            <w:shd w:val="clear" w:color="auto" w:fill="auto"/>
            <w:hideMark/>
          </w:tcPr>
          <w:p w14:paraId="1E95B2E3" w14:textId="77777777" w:rsidR="00282764" w:rsidRDefault="00282764" w:rsidP="00282764"/>
        </w:tc>
        <w:tc>
          <w:tcPr>
            <w:tcW w:w="3724" w:type="dxa"/>
            <w:gridSpan w:val="2"/>
            <w:shd w:val="clear" w:color="auto" w:fill="auto"/>
            <w:hideMark/>
          </w:tcPr>
          <w:p w14:paraId="6FFC8169" w14:textId="77777777" w:rsidR="00282764" w:rsidRDefault="00282764" w:rsidP="00282764">
            <w:r>
              <w:t>QSD†</w:t>
            </w:r>
          </w:p>
        </w:tc>
      </w:tr>
      <w:tr w:rsidR="00282764" w14:paraId="2A142A92" w14:textId="77777777">
        <w:trPr>
          <w:jc w:val="center"/>
        </w:trPr>
        <w:tc>
          <w:tcPr>
            <w:tcW w:w="0" w:type="auto"/>
            <w:gridSpan w:val="8"/>
            <w:shd w:val="clear" w:color="auto" w:fill="auto"/>
            <w:hideMark/>
          </w:tcPr>
          <w:p w14:paraId="4E13928C" w14:textId="77777777" w:rsidR="00282764" w:rsidRDefault="00282764" w:rsidP="00282764">
            <w:r>
              <w:t>*Si la capacidad total de agua de una instalación con varios contenedores es de 501 gal (1,9 m³ </w:t>
            </w:r>
            <w:r>
              <w:rPr>
                <w:vertAlign w:val="superscript"/>
              </w:rPr>
              <w:t>)</w:t>
            </w:r>
            <w:r>
              <w:t> o superior, la distancia mínima debe cumplir con la sección correspondiente de esta tabla, aplicando la capacidad total en lugar de la capacidad por contenedor. Si se realiza más de una instalación, cada una debe estar separada de cualquier otra por al menos 7,6 m (25 pies). No aplique distancias mínimas entre contenedores adyacentes a dicha instalación.</w:t>
            </w:r>
          </w:p>
          <w:p w14:paraId="5FE9DEC6" w14:textId="77777777" w:rsidR="00282764" w:rsidRDefault="00282764" w:rsidP="00282764">
            <w:r>
              <w:t>†QSD = 1 ⁄4 de la suma de los diámetros de cualesquiera dos contenedores adyacentes [5 pies (1,5 m) mínimo].</w:t>
            </w:r>
          </w:p>
        </w:tc>
      </w:tr>
    </w:tbl>
    <w:p w14:paraId="62B1F84E" w14:textId="77777777" w:rsidR="00282764" w:rsidRPr="00282764" w:rsidRDefault="00282764" w:rsidP="00282764">
      <w:pPr>
        <w:rPr>
          <w:b/>
          <w:bCs/>
        </w:rPr>
      </w:pPr>
      <w:r w:rsidRPr="00282764">
        <w:rPr>
          <w:b/>
          <w:bCs/>
        </w:rPr>
        <w:t>6.3.2 </w:t>
      </w:r>
    </w:p>
    <w:p w14:paraId="608FBD4C" w14:textId="77777777" w:rsidR="00282764" w:rsidRPr="00282764" w:rsidRDefault="00282764" w:rsidP="00282764">
      <w:r w:rsidRPr="00282764">
        <w:t>Los sistemas de tanques de contención dobles, completos y de membrana deberán estar separados de un incendio en un área de embalse adyacente de contención simple o doble, de modo que un incendio dentro del embalse adyacente o proveniente de un derrame de diseño no cause pérdida de contención.</w:t>
      </w:r>
    </w:p>
    <w:p w14:paraId="055DFB35" w14:textId="77777777" w:rsidR="00282764" w:rsidRPr="00282764" w:rsidRDefault="00282764" w:rsidP="00282764">
      <w:pPr>
        <w:rPr>
          <w:b/>
          <w:bCs/>
        </w:rPr>
      </w:pPr>
      <w:r w:rsidRPr="00282764">
        <w:rPr>
          <w:b/>
          <w:bCs/>
        </w:rPr>
        <w:t>6.3.2.1 </w:t>
      </w:r>
    </w:p>
    <w:p w14:paraId="017AD7A1" w14:textId="77777777" w:rsidR="00282764" w:rsidRPr="00282764" w:rsidRDefault="00282764" w:rsidP="00282764">
      <w:r w:rsidRPr="00282764">
        <w:t>Esto se logrará garantizando que el techo, las paredes, el aislamiento o la estructura de contención del contenedor de almacenamiento no alcancen temperaturas a las cuales las propiedades mecánicas del techo, la pared, el aislamiento o la estructura de contención del contenedor se reduzcan a niveles en los que el sistema de tanque de GNL, el techo, el aislamiento o la estructura de contención colapsen o exploten o se produzca una liberación incontrolada de líquido o vapor del producto.</w:t>
      </w:r>
    </w:p>
    <w:p w14:paraId="60AEF7E1" w14:textId="77777777" w:rsidR="00282764" w:rsidRPr="00282764" w:rsidRDefault="00282764" w:rsidP="00282764">
      <w:pPr>
        <w:rPr>
          <w:b/>
          <w:bCs/>
        </w:rPr>
      </w:pPr>
      <w:r w:rsidRPr="00282764">
        <w:rPr>
          <w:b/>
          <w:bCs/>
        </w:rPr>
        <w:t>6.3.2.2 </w:t>
      </w:r>
    </w:p>
    <w:p w14:paraId="33685C04" w14:textId="77777777" w:rsidR="00282764" w:rsidRPr="00282764" w:rsidRDefault="00282764" w:rsidP="00282764">
      <w:r w:rsidRPr="00282764">
        <w:t>Para determinar esto se utilizará la aplicación de análisis de ingeniería incluyendo las siguientes condiciones en los análisis:</w:t>
      </w:r>
    </w:p>
    <w:p w14:paraId="459ECC43" w14:textId="77777777" w:rsidR="00282764" w:rsidRPr="00282764" w:rsidRDefault="00282764" w:rsidP="00282764">
      <w:pPr>
        <w:numPr>
          <w:ilvl w:val="0"/>
          <w:numId w:val="1"/>
        </w:numPr>
      </w:pPr>
      <w:r w:rsidRPr="00282764">
        <w:t>(1)</w:t>
      </w:r>
    </w:p>
    <w:p w14:paraId="780EF2C3" w14:textId="77777777" w:rsidR="00282764" w:rsidRPr="00282764" w:rsidRDefault="00282764" w:rsidP="00282764">
      <w:r w:rsidRPr="00282764">
        <w:t>Los análisis se realizarán para un incendio que implique la pérdida total de contención del recipiente primario del líquido en un área de embalse que cumpla con los requisitos de la Sección  </w:t>
      </w:r>
      <w:hyperlink r:id="rId10" w:anchor="ID00059A000150" w:history="1">
        <w:r w:rsidRPr="00282764">
          <w:rPr>
            <w:rStyle w:val="Hipervnculo"/>
            <w:b/>
            <w:bCs/>
          </w:rPr>
          <w:t>13.1</w:t>
        </w:r>
      </w:hyperlink>
      <w:r w:rsidRPr="00282764">
        <w:t> .</w:t>
      </w:r>
    </w:p>
    <w:p w14:paraId="70842D88" w14:textId="77777777" w:rsidR="00282764" w:rsidRPr="00282764" w:rsidRDefault="00282764" w:rsidP="00282764">
      <w:pPr>
        <w:numPr>
          <w:ilvl w:val="0"/>
          <w:numId w:val="1"/>
        </w:numPr>
      </w:pPr>
      <w:r w:rsidRPr="00282764">
        <w:lastRenderedPageBreak/>
        <w:t>(2)</w:t>
      </w:r>
    </w:p>
    <w:p w14:paraId="19D39CA4" w14:textId="77777777" w:rsidR="00282764" w:rsidRPr="00282764" w:rsidRDefault="00282764" w:rsidP="00282764">
      <w:r w:rsidRPr="00282764">
        <w:t>Los análisis deberán tener en cuenta lo siguiente:</w:t>
      </w:r>
    </w:p>
    <w:p w14:paraId="662CF826" w14:textId="77777777" w:rsidR="00282764" w:rsidRPr="00282764" w:rsidRDefault="00282764" w:rsidP="00282764">
      <w:pPr>
        <w:numPr>
          <w:ilvl w:val="1"/>
          <w:numId w:val="1"/>
        </w:numPr>
      </w:pPr>
      <w:r w:rsidRPr="00282764">
        <w:t>(a)</w:t>
      </w:r>
    </w:p>
    <w:p w14:paraId="6638A8F6" w14:textId="77777777" w:rsidR="00282764" w:rsidRPr="00282764" w:rsidRDefault="00282764" w:rsidP="00282764">
      <w:r w:rsidRPr="00282764">
        <w:t>La duración del incendio, las características de emisión de calor radiante del incendio y los atributos físicos del incendio en las condiciones atmosféricas previstas.</w:t>
      </w:r>
    </w:p>
    <w:p w14:paraId="26B6D96F" w14:textId="77777777" w:rsidR="00282764" w:rsidRPr="00282764" w:rsidRDefault="00282764" w:rsidP="00282764">
      <w:pPr>
        <w:numPr>
          <w:ilvl w:val="1"/>
          <w:numId w:val="1"/>
        </w:numPr>
      </w:pPr>
      <w:r w:rsidRPr="00282764">
        <w:t>(b)</w:t>
      </w:r>
    </w:p>
    <w:p w14:paraId="4FC038A9" w14:textId="77777777" w:rsidR="00282764" w:rsidRPr="00282764" w:rsidRDefault="00282764" w:rsidP="00282764">
      <w:r w:rsidRPr="00282764">
        <w:t>Condiciones atmosféricas que producen las distancias máximas de separación, excepto las condiciones que ocurren menos del 10 por ciento del tiempo según los datos registrados para el área y utilizando un modelo de incendio de GNL de acuerdo con </w:t>
      </w:r>
      <w:hyperlink r:id="rId11" w:anchor="ID00059A001852" w:history="1">
        <w:r w:rsidRPr="00282764">
          <w:rPr>
            <w:rStyle w:val="Hipervnculo"/>
            <w:b/>
            <w:bCs/>
          </w:rPr>
          <w:t>5.3.2</w:t>
        </w:r>
      </w:hyperlink>
    </w:p>
    <w:p w14:paraId="1C4A9439" w14:textId="77777777" w:rsidR="00282764" w:rsidRPr="00282764" w:rsidRDefault="00282764" w:rsidP="00282764">
      <w:pPr>
        <w:numPr>
          <w:ilvl w:val="1"/>
          <w:numId w:val="1"/>
        </w:numPr>
      </w:pPr>
      <w:r w:rsidRPr="00282764">
        <w:t>(do)</w:t>
      </w:r>
    </w:p>
    <w:p w14:paraId="7425069A" w14:textId="77777777" w:rsidR="00282764" w:rsidRPr="00282764" w:rsidRDefault="00282764" w:rsidP="00282764">
      <w:r w:rsidRPr="00282764">
        <w:t>Sistemas activos o pasivos para reducir el flujo de calor térmico incidente en la superficie o para limitar la temperatura de la superficie</w:t>
      </w:r>
    </w:p>
    <w:p w14:paraId="4B7B2F1E" w14:textId="77777777" w:rsidR="00282764" w:rsidRPr="00282764" w:rsidRDefault="00282764" w:rsidP="00282764">
      <w:pPr>
        <w:numPr>
          <w:ilvl w:val="1"/>
          <w:numId w:val="1"/>
        </w:numPr>
      </w:pPr>
      <w:r w:rsidRPr="00282764">
        <w:t>(d)</w:t>
      </w:r>
    </w:p>
    <w:p w14:paraId="4FCB5E66" w14:textId="77777777" w:rsidR="00282764" w:rsidRPr="00282764" w:rsidRDefault="00282764" w:rsidP="00282764">
      <w:r w:rsidRPr="00282764">
        <w:t>Los materiales, el diseño y los métodos de construcción del tanque de GNL objetivo que se está analizando</w:t>
      </w:r>
    </w:p>
    <w:p w14:paraId="47F15A5A" w14:textId="77777777" w:rsidR="00282764" w:rsidRPr="00282764" w:rsidRDefault="00282764" w:rsidP="00282764">
      <w:pPr>
        <w:rPr>
          <w:b/>
          <w:bCs/>
        </w:rPr>
      </w:pPr>
      <w:r w:rsidRPr="00282764">
        <w:rPr>
          <w:b/>
          <w:bCs/>
        </w:rPr>
        <w:t>6.3.2.3 </w:t>
      </w:r>
    </w:p>
    <w:p w14:paraId="11240CBC" w14:textId="77777777" w:rsidR="00282764" w:rsidRPr="00282764" w:rsidRDefault="00282764" w:rsidP="00282764">
      <w:r w:rsidRPr="00282764">
        <w:t>El contenedor exterior de hormigón deberá estar diseñado para el fuego externo de acuerdo con ACI 376, </w:t>
      </w:r>
      <w:r w:rsidRPr="00282764">
        <w:rPr>
          <w:i/>
          <w:iCs/>
        </w:rPr>
        <w:t>Requisitos del código para el diseño y construcción de estructuras de hormigón para la contención de gases licuados refrigerados</w:t>
      </w:r>
      <w:r w:rsidRPr="00282764">
        <w:t> , a menos que se proporcionen medidas de protección contra incendios.</w:t>
      </w:r>
    </w:p>
    <w:p w14:paraId="2F093A33" w14:textId="77777777" w:rsidR="00282764" w:rsidRPr="00282764" w:rsidRDefault="00282764" w:rsidP="00282764">
      <w:pPr>
        <w:rPr>
          <w:b/>
          <w:bCs/>
        </w:rPr>
      </w:pPr>
      <w:r w:rsidRPr="00282764">
        <w:rPr>
          <w:b/>
          <w:bCs/>
        </w:rPr>
        <w:t>6.3.2.3.1 </w:t>
      </w:r>
    </w:p>
    <w:p w14:paraId="100A8F52" w14:textId="77777777" w:rsidR="00282764" w:rsidRPr="00282764" w:rsidRDefault="00282764" w:rsidP="00282764">
      <w:r w:rsidRPr="00282764">
        <w:lastRenderedPageBreak/>
        <w:t>Se realizará el análisis térmico del tanque exterior para determinar la distribución de temperatura para el flujo de calor y la duración de la exposición según lo especificado por el diseñador de la instalación.</w:t>
      </w:r>
    </w:p>
    <w:p w14:paraId="0028F9A3" w14:textId="77777777" w:rsidR="00282764" w:rsidRPr="00282764" w:rsidRDefault="00282764" w:rsidP="00282764">
      <w:pPr>
        <w:rPr>
          <w:b/>
          <w:bCs/>
        </w:rPr>
      </w:pPr>
      <w:r w:rsidRPr="00282764">
        <w:rPr>
          <w:b/>
          <w:bCs/>
        </w:rPr>
        <w:t>6.3.2.3.2 </w:t>
      </w:r>
    </w:p>
    <w:p w14:paraId="3EFD8236" w14:textId="77777777" w:rsidR="00282764" w:rsidRPr="00282764" w:rsidRDefault="00282764" w:rsidP="00282764">
      <w:r w:rsidRPr="00282764">
        <w:t>Los componentes de carga aplicables y los factores de carga de estado último para las combinaciones de carga de fuego deberán estar de acuerdo con ACI 376, </w:t>
      </w:r>
      <w:r w:rsidRPr="00282764">
        <w:rPr>
          <w:i/>
          <w:iCs/>
        </w:rPr>
        <w:t>Requisitos del código para el diseño y construcción de estructuras de hormigón para la contención de gases licuados refrigerados</w:t>
      </w:r>
      <w:r w:rsidRPr="00282764">
        <w:t> , Tabla 7.3.</w:t>
      </w:r>
    </w:p>
    <w:p w14:paraId="1E791A9A" w14:textId="77777777" w:rsidR="00282764" w:rsidRPr="00282764" w:rsidRDefault="00282764" w:rsidP="00282764">
      <w:pPr>
        <w:rPr>
          <w:b/>
          <w:bCs/>
        </w:rPr>
      </w:pPr>
      <w:r w:rsidRPr="00282764">
        <w:rPr>
          <w:b/>
          <w:bCs/>
        </w:rPr>
        <w:t>6.3.2.3.3 </w:t>
      </w:r>
    </w:p>
    <w:p w14:paraId="26FE44AA" w14:textId="77777777" w:rsidR="00282764" w:rsidRPr="00282764" w:rsidRDefault="00282764" w:rsidP="00282764">
      <w:r w:rsidRPr="00282764">
        <w:t>Para los sistemas de tanque de membrana, se deberá incluir una carga de presión de líquido adicional de acuerdo con ACI 376, Tabla 7.2.</w:t>
      </w:r>
    </w:p>
    <w:p w14:paraId="039CE283" w14:textId="77777777" w:rsidR="00282764" w:rsidRPr="00282764" w:rsidRDefault="00282764" w:rsidP="00282764">
      <w:pPr>
        <w:rPr>
          <w:b/>
          <w:bCs/>
        </w:rPr>
      </w:pPr>
      <w:r w:rsidRPr="00282764">
        <w:rPr>
          <w:b/>
          <w:bCs/>
        </w:rPr>
        <w:t>6.3.2.3.4 </w:t>
      </w:r>
    </w:p>
    <w:p w14:paraId="34AA6A45" w14:textId="77777777" w:rsidR="00282764" w:rsidRPr="00282764" w:rsidRDefault="00282764" w:rsidP="00282764">
      <w:r w:rsidRPr="00282764">
        <w:t>Para todos los tanques, la evaluación durante el incendio asumirá que se aplica la presión de gas interna positiva de diseño.</w:t>
      </w:r>
    </w:p>
    <w:p w14:paraId="08BBB921" w14:textId="77777777" w:rsidR="00282764" w:rsidRPr="00282764" w:rsidRDefault="00282764" w:rsidP="00282764">
      <w:pPr>
        <w:rPr>
          <w:b/>
          <w:bCs/>
        </w:rPr>
      </w:pPr>
      <w:r w:rsidRPr="00282764">
        <w:rPr>
          <w:b/>
          <w:bCs/>
        </w:rPr>
        <w:t>6.3.2.3.5 </w:t>
      </w:r>
    </w:p>
    <w:p w14:paraId="24B9D539" w14:textId="77777777" w:rsidR="00282764" w:rsidRPr="00282764" w:rsidRDefault="00282764" w:rsidP="00282764">
      <w:r w:rsidRPr="00282764">
        <w:t>El diseño del contenedor exterior de hormigón deberá tener en cuenta los siguientes factores:</w:t>
      </w:r>
    </w:p>
    <w:p w14:paraId="0835A1F5" w14:textId="77777777" w:rsidR="00282764" w:rsidRPr="00282764" w:rsidRDefault="00282764" w:rsidP="00282764">
      <w:pPr>
        <w:numPr>
          <w:ilvl w:val="0"/>
          <w:numId w:val="2"/>
        </w:numPr>
      </w:pPr>
      <w:r w:rsidRPr="00282764">
        <w:t>(1)</w:t>
      </w:r>
    </w:p>
    <w:p w14:paraId="0C92FAF7" w14:textId="77777777" w:rsidR="00282764" w:rsidRPr="00282764" w:rsidRDefault="00282764" w:rsidP="00282764">
      <w:r w:rsidRPr="00282764">
        <w:t>Reducción del postensado del muro debido a la diferencia en el coeficiente de expansión térmica del acero postensado y el hormigón del muro a la temperatura a la que está expuesto el acero postensado, teniendo en cuenta los efectos del tipo de agregado del hormigón sobre el coeficiente de expansión térmica del hormigón.</w:t>
      </w:r>
    </w:p>
    <w:p w14:paraId="7DB289BA" w14:textId="77777777" w:rsidR="00282764" w:rsidRPr="00282764" w:rsidRDefault="00282764" w:rsidP="00282764">
      <w:pPr>
        <w:numPr>
          <w:ilvl w:val="0"/>
          <w:numId w:val="2"/>
        </w:numPr>
      </w:pPr>
      <w:r w:rsidRPr="00282764">
        <w:t>(2)</w:t>
      </w:r>
    </w:p>
    <w:p w14:paraId="455AA705" w14:textId="77777777" w:rsidR="00282764" w:rsidRPr="00282764" w:rsidRDefault="00282764" w:rsidP="00282764">
      <w:r w:rsidRPr="00282764">
        <w:t>Reducción de la resistencia y del módulo de elasticidad del hormigón del tanque exterior, del acero de refuerzo y del acero postensado debido a la temperatura elevada</w:t>
      </w:r>
    </w:p>
    <w:p w14:paraId="41C64DCC" w14:textId="77777777" w:rsidR="00282764" w:rsidRPr="00282764" w:rsidRDefault="00282764" w:rsidP="00282764">
      <w:pPr>
        <w:numPr>
          <w:ilvl w:val="0"/>
          <w:numId w:val="2"/>
        </w:numPr>
      </w:pPr>
      <w:r w:rsidRPr="00282764">
        <w:lastRenderedPageBreak/>
        <w:t>(3)</w:t>
      </w:r>
    </w:p>
    <w:p w14:paraId="6FA362EC" w14:textId="77777777" w:rsidR="00282764" w:rsidRPr="00282764" w:rsidRDefault="00282764" w:rsidP="00282764">
      <w:r w:rsidRPr="00282764">
        <w:t>Reducción del postensado del muro debido al ablandamiento y relajación del acero de pretensado a temperatura elevada</w:t>
      </w:r>
    </w:p>
    <w:p w14:paraId="6A16F370" w14:textId="77777777" w:rsidR="00282764" w:rsidRPr="00282764" w:rsidRDefault="00282764" w:rsidP="00282764">
      <w:pPr>
        <w:rPr>
          <w:b/>
          <w:bCs/>
        </w:rPr>
      </w:pPr>
      <w:r w:rsidRPr="00282764">
        <w:rPr>
          <w:b/>
          <w:bCs/>
        </w:rPr>
        <w:t>6.3.3 </w:t>
      </w:r>
    </w:p>
    <w:p w14:paraId="0D860BB2" w14:textId="77777777" w:rsidR="00282764" w:rsidRPr="00282764" w:rsidRDefault="00282764" w:rsidP="00282764">
      <w:r w:rsidRPr="00282764">
        <w:t>Se deberá dejar un espacio libre de al menos 3 pies (0,9 m) para acceder a todas las válvulas de aislamiento que sirven a varios contenedores.</w:t>
      </w:r>
    </w:p>
    <w:p w14:paraId="6A7B76BD" w14:textId="77777777" w:rsidR="00282764" w:rsidRPr="00282764" w:rsidRDefault="00282764" w:rsidP="00282764">
      <w:pPr>
        <w:rPr>
          <w:b/>
          <w:bCs/>
        </w:rPr>
      </w:pPr>
      <w:r w:rsidRPr="00282764">
        <w:rPr>
          <w:b/>
          <w:bCs/>
        </w:rPr>
        <w:t>6.3.4 </w:t>
      </w:r>
    </w:p>
    <w:p w14:paraId="1D873104" w14:textId="77777777" w:rsidR="00282764" w:rsidRPr="00282764" w:rsidRDefault="00282764" w:rsidP="00282764">
      <w:r w:rsidRPr="00282764">
        <w:t>Los contenedores de GNL con una capacidad superior a 125 gal (0,5 m3 </w:t>
      </w:r>
      <w:r w:rsidRPr="00282764">
        <w:rPr>
          <w:vertAlign w:val="superscript"/>
        </w:rPr>
        <w:t>)</w:t>
      </w:r>
      <w:r w:rsidRPr="00282764">
        <w:t> no se ubicarán en los edificios.</w:t>
      </w:r>
    </w:p>
    <w:p w14:paraId="66701FB2" w14:textId="77777777" w:rsidR="00282764" w:rsidRPr="00282764" w:rsidRDefault="00282764" w:rsidP="00282764">
      <w:pPr>
        <w:rPr>
          <w:b/>
          <w:bCs/>
        </w:rPr>
      </w:pPr>
      <w:r w:rsidRPr="00282764">
        <w:rPr>
          <w:b/>
          <w:bCs/>
        </w:rPr>
        <w:t>6.3.5 </w:t>
      </w:r>
    </w:p>
    <w:p w14:paraId="767CE72C" w14:textId="77777777" w:rsidR="00282764" w:rsidRPr="00282764" w:rsidRDefault="00282764" w:rsidP="00282764">
      <w:r w:rsidRPr="00282764">
        <w:t>Los contenedores de fluidos inflamables no deberán ubicarse dentro de un área de almacenamiento de tanques de GNL .</w:t>
      </w:r>
    </w:p>
    <w:p w14:paraId="30BD7853" w14:textId="77777777" w:rsidR="00282764" w:rsidRPr="00282764" w:rsidRDefault="00282764" w:rsidP="00282764">
      <w:r w:rsidRPr="00282764">
        <w:pict w14:anchorId="76CFEA58">
          <v:rect id="_x0000_i1027" style="width:0;height:1.5pt" o:hralign="center" o:hrstd="t" o:hr="t" fillcolor="#a0a0a0" stroked="f"/>
        </w:pict>
      </w:r>
    </w:p>
    <w:p w14:paraId="6FBDCD02" w14:textId="77777777" w:rsidR="00282764" w:rsidRPr="00282764" w:rsidRDefault="00282764" w:rsidP="00282764">
      <w:r w:rsidRPr="00282764">
        <w:t>6.4 Espaciado del vaporizador.</w:t>
      </w:r>
    </w:p>
    <w:p w14:paraId="5F6EC328" w14:textId="77777777" w:rsidR="00282764" w:rsidRPr="00282764" w:rsidRDefault="00282764" w:rsidP="00282764">
      <w:pPr>
        <w:rPr>
          <w:b/>
          <w:bCs/>
        </w:rPr>
      </w:pPr>
      <w:r w:rsidRPr="00282764">
        <w:rPr>
          <w:b/>
          <w:bCs/>
        </w:rPr>
        <w:t>6.4.1 </w:t>
      </w:r>
    </w:p>
    <w:p w14:paraId="3741B212" w14:textId="77777777" w:rsidR="00282764" w:rsidRPr="00282764" w:rsidRDefault="00282764" w:rsidP="00282764">
      <w:r w:rsidRPr="00282764">
        <w:t>Los vaporizadores que utilizan fluidos inflamables para la transferencia de calor como fuentes de calor principales deberán ubicarse al menos a 50 pies (15 m) de cualquier otra fuente de ignición.</w:t>
      </w:r>
    </w:p>
    <w:p w14:paraId="6E591C86" w14:textId="77777777" w:rsidR="00282764" w:rsidRPr="00282764" w:rsidRDefault="00282764" w:rsidP="00282764">
      <w:pPr>
        <w:rPr>
          <w:b/>
          <w:bCs/>
        </w:rPr>
      </w:pPr>
      <w:r w:rsidRPr="00282764">
        <w:rPr>
          <w:b/>
          <w:bCs/>
        </w:rPr>
        <w:t>6.4.1.1 </w:t>
      </w:r>
    </w:p>
    <w:p w14:paraId="6BA84586" w14:textId="77777777" w:rsidR="00282764" w:rsidRPr="00282764" w:rsidRDefault="00282764" w:rsidP="00282764">
      <w:r w:rsidRPr="00282764">
        <w:t>Cuando se instala más de un vaporizador en una ubicación, un vaporizador adyacente o una fuente de calor primaria no se considerará una fuente de ignición.</w:t>
      </w:r>
    </w:p>
    <w:p w14:paraId="318027D5" w14:textId="77777777" w:rsidR="00282764" w:rsidRPr="00282764" w:rsidRDefault="00282764" w:rsidP="00282764">
      <w:pPr>
        <w:rPr>
          <w:b/>
          <w:bCs/>
        </w:rPr>
      </w:pPr>
      <w:r w:rsidRPr="00282764">
        <w:rPr>
          <w:b/>
          <w:bCs/>
        </w:rPr>
        <w:t>6.4.1.2 </w:t>
      </w:r>
    </w:p>
    <w:p w14:paraId="1C84DD7D" w14:textId="77777777" w:rsidR="00282764" w:rsidRPr="00282764" w:rsidRDefault="00282764" w:rsidP="00282764">
      <w:r w:rsidRPr="00282764">
        <w:lastRenderedPageBreak/>
        <w:t>Los calentadores de proceso u otras unidades de equipo encendido no se considerarán fuentes de ignición con respecto a la ubicación del vaporizador si están interconectados de modo que no puedan funcionar mientras un vaporizador esté en funcionamiento o mientras el sistema de tuberías que sirve al vaporizador se esté enfriando o esté siendo enfriado.</w:t>
      </w:r>
    </w:p>
    <w:p w14:paraId="3031C659" w14:textId="77777777" w:rsidR="00282764" w:rsidRPr="00282764" w:rsidRDefault="00282764" w:rsidP="00282764">
      <w:pPr>
        <w:rPr>
          <w:b/>
          <w:bCs/>
        </w:rPr>
      </w:pPr>
      <w:hyperlink r:id="rId12" w:anchor="ID00059A002232" w:history="1">
        <w:r w:rsidRPr="00282764">
          <w:rPr>
            <w:rStyle w:val="Hipervnculo"/>
            <w:b/>
            <w:bCs/>
          </w:rPr>
          <w:t>6.4.2*</w:t>
        </w:r>
      </w:hyperlink>
      <w:r w:rsidRPr="00282764">
        <w:rPr>
          <w:b/>
          <w:bCs/>
        </w:rPr>
        <w:t> </w:t>
      </w:r>
    </w:p>
    <w:p w14:paraId="0093182E" w14:textId="77777777" w:rsidR="00282764" w:rsidRPr="00282764" w:rsidRDefault="00282764" w:rsidP="00282764">
      <w:r w:rsidRPr="00282764">
        <w:t>Los componentes encendidos de un vaporizador calentado integral se ubicarán de la siguiente manera : </w:t>
      </w:r>
    </w:p>
    <w:p w14:paraId="26135A01" w14:textId="77777777" w:rsidR="00282764" w:rsidRPr="00282764" w:rsidRDefault="00282764" w:rsidP="00282764">
      <w:pPr>
        <w:numPr>
          <w:ilvl w:val="0"/>
          <w:numId w:val="3"/>
        </w:numPr>
      </w:pPr>
      <w:r w:rsidRPr="00282764">
        <w:t>(1)</w:t>
      </w:r>
    </w:p>
    <w:p w14:paraId="4F70A22B" w14:textId="77777777" w:rsidR="00282764" w:rsidRPr="00282764" w:rsidRDefault="00282764" w:rsidP="00282764">
      <w:r w:rsidRPr="00282764">
        <w:t>Al menos a 50 pies (15 m) de cualquier área de embalse de fluidos inflamables </w:t>
      </w:r>
      <w:r w:rsidRPr="00282764">
        <w:rPr>
          <w:i/>
          <w:iCs/>
        </w:rPr>
        <w:t>(ver Sección  </w:t>
      </w:r>
      <w:hyperlink r:id="rId13" w:anchor="ID00059A000212" w:history="1">
        <w:r w:rsidRPr="00282764">
          <w:rPr>
            <w:rStyle w:val="Hipervnculo"/>
            <w:b/>
            <w:bCs/>
            <w:i/>
            <w:iCs/>
          </w:rPr>
          <w:t>6.3</w:t>
        </w:r>
      </w:hyperlink>
      <w:r w:rsidRPr="00282764">
        <w:rPr>
          <w:i/>
          <w:iCs/>
        </w:rPr>
        <w:t> )</w:t>
      </w:r>
      <w:r w:rsidRPr="00282764">
        <w:t> o de las rutas de viaje de dichos fluidos entre cualquier otra fuente de descarga accidental y el área de embalse. </w:t>
      </w:r>
    </w:p>
    <w:p w14:paraId="2F0A2DBE" w14:textId="77777777" w:rsidR="00282764" w:rsidRPr="00282764" w:rsidRDefault="00282764" w:rsidP="00282764">
      <w:pPr>
        <w:numPr>
          <w:ilvl w:val="0"/>
          <w:numId w:val="3"/>
        </w:numPr>
      </w:pPr>
      <w:r w:rsidRPr="00282764">
        <w:t>(2)</w:t>
      </w:r>
    </w:p>
    <w:p w14:paraId="34899336" w14:textId="77777777" w:rsidR="00282764" w:rsidRPr="00282764" w:rsidRDefault="00282764" w:rsidP="00282764">
      <w:r w:rsidRPr="00282764">
        <w:t>Al menos a 50 pies (15 m) de distancia de contenedores o tanques de almacenamiento de fluidos inflamables , equipos de proceso sin combustión que contengan dichos fluidos o conexiones de carga y descarga utilizadas en la transferencia de dichos fluidos</w:t>
      </w:r>
    </w:p>
    <w:p w14:paraId="1CE15982" w14:textId="77777777" w:rsidR="00282764" w:rsidRPr="00282764" w:rsidRDefault="00282764" w:rsidP="00282764">
      <w:pPr>
        <w:numPr>
          <w:ilvl w:val="0"/>
          <w:numId w:val="3"/>
        </w:numPr>
      </w:pPr>
      <w:r w:rsidRPr="00282764">
        <w:t>(3)</w:t>
      </w:r>
    </w:p>
    <w:p w14:paraId="0C33905E" w14:textId="77777777" w:rsidR="00282764" w:rsidRPr="00282764" w:rsidRDefault="00282764" w:rsidP="00282764">
      <w:r w:rsidRPr="00282764">
        <w:t>Al menos a 50 pies (15 m) de los edificios de control, oficinas, tiendas y otras estructuras de planta ocupadas o importantes</w:t>
      </w:r>
    </w:p>
    <w:p w14:paraId="31362C35" w14:textId="77777777" w:rsidR="00282764" w:rsidRPr="00282764" w:rsidRDefault="00282764" w:rsidP="00282764">
      <w:pPr>
        <w:numPr>
          <w:ilvl w:val="0"/>
          <w:numId w:val="3"/>
        </w:numPr>
      </w:pPr>
      <w:r w:rsidRPr="00282764">
        <w:t>(4)</w:t>
      </w:r>
    </w:p>
    <w:p w14:paraId="064AC0BA" w14:textId="77777777" w:rsidR="00282764" w:rsidRPr="00282764" w:rsidRDefault="00282764" w:rsidP="00282764">
      <w:r w:rsidRPr="00282764">
        <w:t>Al menos 100 pies (30 m) desde la línea de propiedad donde se puede construir </w:t>
      </w:r>
      <w:r w:rsidRPr="00282764">
        <w:rPr>
          <w:i/>
          <w:iCs/>
        </w:rPr>
        <w:t>(ver </w:t>
      </w:r>
      <w:hyperlink r:id="rId14" w:anchor="ID00059A000236" w:history="1">
        <w:r w:rsidRPr="00282764">
          <w:rPr>
            <w:rStyle w:val="Hipervnculo"/>
            <w:b/>
            <w:bCs/>
            <w:i/>
            <w:iCs/>
          </w:rPr>
          <w:t>6.4.4</w:t>
        </w:r>
      </w:hyperlink>
      <w:r w:rsidRPr="00282764">
        <w:rPr>
          <w:i/>
          <w:iCs/>
        </w:rPr>
        <w:t> )</w:t>
      </w:r>
    </w:p>
    <w:p w14:paraId="7CD06061" w14:textId="77777777" w:rsidR="00282764" w:rsidRPr="00282764" w:rsidRDefault="00282764" w:rsidP="00282764">
      <w:pPr>
        <w:rPr>
          <w:b/>
          <w:bCs/>
        </w:rPr>
      </w:pPr>
      <w:r w:rsidRPr="00282764">
        <w:rPr>
          <w:b/>
          <w:bCs/>
        </w:rPr>
        <w:t>6.4.3 </w:t>
      </w:r>
    </w:p>
    <w:p w14:paraId="610E6E02" w14:textId="77777777" w:rsidR="00282764" w:rsidRPr="00282764" w:rsidRDefault="00282764" w:rsidP="00282764">
      <w:r w:rsidRPr="00282764">
        <w:t>Los calentadores o fuentes de calor de los vaporizadores calentados a distancia deberán cumplir con </w:t>
      </w:r>
      <w:hyperlink r:id="rId15" w:anchor="ID00059A000231" w:history="1">
        <w:r w:rsidRPr="00282764">
          <w:rPr>
            <w:rStyle w:val="Hipervnculo"/>
            <w:b/>
            <w:bCs/>
          </w:rPr>
          <w:t>6.4.2</w:t>
        </w:r>
      </w:hyperlink>
      <w:r w:rsidRPr="00282764">
        <w:t> .</w:t>
      </w:r>
    </w:p>
    <w:p w14:paraId="019F3DD6" w14:textId="77777777" w:rsidR="00282764" w:rsidRPr="00282764" w:rsidRDefault="00282764" w:rsidP="00282764">
      <w:pPr>
        <w:rPr>
          <w:b/>
          <w:bCs/>
        </w:rPr>
      </w:pPr>
      <w:r w:rsidRPr="00282764">
        <w:rPr>
          <w:b/>
          <w:bCs/>
        </w:rPr>
        <w:t>6.4.4 </w:t>
      </w:r>
    </w:p>
    <w:p w14:paraId="5513FEED" w14:textId="77777777" w:rsidR="00282764" w:rsidRPr="00282764" w:rsidRDefault="00282764" w:rsidP="00282764">
      <w:r w:rsidRPr="00282764">
        <w:lastRenderedPageBreak/>
        <w:t>Los vaporizadores calentados a distancia, de ambiente y de proceso deberán ubicarse al menos a 100 pies (30 m) de un límite de propiedad sobre el cual se pueda construir.</w:t>
      </w:r>
    </w:p>
    <w:p w14:paraId="7B27AF2C" w14:textId="77777777" w:rsidR="00282764" w:rsidRPr="00282764" w:rsidRDefault="00282764" w:rsidP="00282764">
      <w:pPr>
        <w:rPr>
          <w:b/>
          <w:bCs/>
        </w:rPr>
      </w:pPr>
      <w:r w:rsidRPr="00282764">
        <w:rPr>
          <w:b/>
          <w:bCs/>
        </w:rPr>
        <w:t>6.4.5 </w:t>
      </w:r>
    </w:p>
    <w:p w14:paraId="3C7837ED" w14:textId="77777777" w:rsidR="00282764" w:rsidRPr="00282764" w:rsidRDefault="00282764" w:rsidP="00282764">
      <w:r w:rsidRPr="00282764">
        <w:t>Los vaporizadores utilizados junto con contenedores de GNL con una capacidad de 70 000 gal (265 m </w:t>
      </w:r>
      <w:r w:rsidRPr="00282764">
        <w:rPr>
          <w:vertAlign w:val="superscript"/>
        </w:rPr>
        <w:t>3</w:t>
      </w:r>
      <w:r w:rsidRPr="00282764">
        <w:t> ) o menos se ubicarán con respecto a la línea de propiedad de acuerdo con </w:t>
      </w:r>
      <w:hyperlink r:id="rId16" w:anchor="ID00059A000214" w:history="1">
        <w:r w:rsidRPr="00282764">
          <w:rPr>
            <w:rStyle w:val="Hipervnculo"/>
            <w:b/>
            <w:bCs/>
          </w:rPr>
          <w:t>la Tabla 6.3.1</w:t>
        </w:r>
      </w:hyperlink>
      <w:r w:rsidRPr="00282764">
        <w:t> , asumiendo que el vaporizador es un contenedor con una capacidad igual al contenedor más grande al que está conectado.</w:t>
      </w:r>
    </w:p>
    <w:p w14:paraId="6B064C32" w14:textId="77777777" w:rsidR="00282764" w:rsidRPr="00282764" w:rsidRDefault="00282764" w:rsidP="00282764">
      <w:pPr>
        <w:rPr>
          <w:b/>
          <w:bCs/>
        </w:rPr>
      </w:pPr>
      <w:r w:rsidRPr="00282764">
        <w:rPr>
          <w:b/>
          <w:bCs/>
        </w:rPr>
        <w:t>6.4.6 </w:t>
      </w:r>
    </w:p>
    <w:p w14:paraId="6BA616D8" w14:textId="77777777" w:rsidR="00282764" w:rsidRPr="00282764" w:rsidRDefault="00282764" w:rsidP="00282764">
      <w:r w:rsidRPr="00282764">
        <w:t>Se deberá mantener una distancia libre de al menos 5 pies (1,5 m) entre los vaporizadores.</w:t>
      </w:r>
    </w:p>
    <w:p w14:paraId="5DC73FE6" w14:textId="77777777" w:rsidR="00282764" w:rsidRPr="00282764" w:rsidRDefault="00282764" w:rsidP="00282764">
      <w:r w:rsidRPr="00282764">
        <w:pict w14:anchorId="215E170D">
          <v:rect id="_x0000_i1028" style="width:0;height:1.5pt" o:hralign="center" o:hrstd="t" o:hr="t" fillcolor="#a0a0a0" stroked="f"/>
        </w:pict>
      </w:r>
    </w:p>
    <w:p w14:paraId="3FEB35E5" w14:textId="77777777" w:rsidR="00282764" w:rsidRPr="00282764" w:rsidRDefault="00282764" w:rsidP="00282764">
      <w:r w:rsidRPr="00282764">
        <w:t>6.5 Espaciamiento de equipos de proceso.</w:t>
      </w:r>
    </w:p>
    <w:p w14:paraId="3D7F55C7" w14:textId="77777777" w:rsidR="00282764" w:rsidRPr="00282764" w:rsidRDefault="00282764" w:rsidP="00282764">
      <w:pPr>
        <w:rPr>
          <w:b/>
          <w:bCs/>
        </w:rPr>
      </w:pPr>
      <w:r w:rsidRPr="00282764">
        <w:rPr>
          <w:b/>
          <w:bCs/>
        </w:rPr>
        <w:t>6.5.1 </w:t>
      </w:r>
    </w:p>
    <w:p w14:paraId="590A86FD" w14:textId="77777777" w:rsidR="00282764" w:rsidRPr="00282764" w:rsidRDefault="00282764" w:rsidP="00282764">
      <w:r w:rsidRPr="00282764">
        <w:t>Los equipos de proceso que contengan fluidos inflamables deberán ubicarse al menos a 50 pies (15 m) de fuentes de ignición, una línea de propiedad sobre la que se pueda construir, centros de control, oficinas, tiendas y otras estructuras ocupadas.</w:t>
      </w:r>
    </w:p>
    <w:p w14:paraId="03E96DA2" w14:textId="77777777" w:rsidR="00282764" w:rsidRPr="00282764" w:rsidRDefault="00282764" w:rsidP="00282764">
      <w:pPr>
        <w:rPr>
          <w:b/>
          <w:bCs/>
        </w:rPr>
      </w:pPr>
      <w:r w:rsidRPr="00282764">
        <w:rPr>
          <w:b/>
          <w:bCs/>
        </w:rPr>
        <w:t>6.5.2 </w:t>
      </w:r>
    </w:p>
    <w:p w14:paraId="2D1F8B89" w14:textId="77777777" w:rsidR="00282764" w:rsidRPr="00282764" w:rsidRDefault="00282764" w:rsidP="00282764">
      <w:r w:rsidRPr="00282764">
        <w:t>Cuando los centros de control estén ubicados en un edificio que alberga compresores de gases inflamables, la construcción del edificio deberá cumplir con la Sección  </w:t>
      </w:r>
      <w:hyperlink r:id="rId17" w:anchor="ID00059A000256" w:history="1">
        <w:r w:rsidRPr="00282764">
          <w:rPr>
            <w:rStyle w:val="Hipervnculo"/>
            <w:b/>
            <w:bCs/>
          </w:rPr>
          <w:t>12.5</w:t>
        </w:r>
      </w:hyperlink>
      <w:r w:rsidRPr="00282764">
        <w:t> .</w:t>
      </w:r>
    </w:p>
    <w:p w14:paraId="2E38DCA4" w14:textId="77777777" w:rsidR="00282764" w:rsidRPr="00282764" w:rsidRDefault="00282764" w:rsidP="00282764">
      <w:pPr>
        <w:rPr>
          <w:b/>
          <w:bCs/>
        </w:rPr>
      </w:pPr>
      <w:r w:rsidRPr="00282764">
        <w:rPr>
          <w:b/>
          <w:bCs/>
        </w:rPr>
        <w:t>6.5.3 </w:t>
      </w:r>
    </w:p>
    <w:p w14:paraId="56753932" w14:textId="77777777" w:rsidR="00282764" w:rsidRPr="00282764" w:rsidRDefault="00282764" w:rsidP="00282764">
      <w:r w:rsidRPr="00282764">
        <w:t>Los equipos incendiados y otras fuentes de ignición deberán ubicarse al menos a 50 pies (15 m) de cualquier área de embalse o sistema de drenaje de contenedores.</w:t>
      </w:r>
    </w:p>
    <w:p w14:paraId="6A202727" w14:textId="77777777" w:rsidR="00282764" w:rsidRPr="00282764" w:rsidRDefault="00282764" w:rsidP="00282764">
      <w:r w:rsidRPr="00282764">
        <w:pict w14:anchorId="31A7028C">
          <v:rect id="_x0000_i1029" style="width:0;height:1.5pt" o:hralign="center" o:hrstd="t" o:hr="t" fillcolor="#a0a0a0" stroked="f"/>
        </w:pict>
      </w:r>
    </w:p>
    <w:p w14:paraId="6E8AE3E6" w14:textId="77777777" w:rsidR="00282764" w:rsidRPr="00282764" w:rsidRDefault="00282764" w:rsidP="00282764">
      <w:r w:rsidRPr="00282764">
        <w:lastRenderedPageBreak/>
        <w:t>6.6 Espaciamiento de las instalaciones de carga y descarga.</w:t>
      </w:r>
    </w:p>
    <w:p w14:paraId="6155DB80" w14:textId="77777777" w:rsidR="00282764" w:rsidRPr="00282764" w:rsidRDefault="00282764" w:rsidP="00282764">
      <w:pPr>
        <w:rPr>
          <w:b/>
          <w:bCs/>
        </w:rPr>
      </w:pPr>
      <w:r w:rsidRPr="00282764">
        <w:rPr>
          <w:b/>
          <w:bCs/>
        </w:rPr>
        <w:t>6.6.1 </w:t>
      </w:r>
    </w:p>
    <w:p w14:paraId="35D29B89" w14:textId="77777777" w:rsidR="00282764" w:rsidRPr="00282764" w:rsidRDefault="00282764" w:rsidP="00282764">
      <w:r w:rsidRPr="00282764">
        <w:t>Un muelle o embarcadero utilizado para la transferencia de GNL por tuberías deberá estar ubicado de manera que cualquier embarcación marítima que se esté cargando o descargando esté al menos a 100 pies (30 m) de cualquier puente que cruce una vía navegable.</w:t>
      </w:r>
    </w:p>
    <w:p w14:paraId="6BA5AF08" w14:textId="77777777" w:rsidR="00282764" w:rsidRPr="00282764" w:rsidRDefault="00282764" w:rsidP="00282764">
      <w:pPr>
        <w:rPr>
          <w:b/>
          <w:bCs/>
        </w:rPr>
      </w:pPr>
      <w:r w:rsidRPr="00282764">
        <w:rPr>
          <w:b/>
          <w:bCs/>
        </w:rPr>
        <w:t>6.6.2 </w:t>
      </w:r>
    </w:p>
    <w:p w14:paraId="4E38C50F" w14:textId="77777777" w:rsidR="00282764" w:rsidRPr="00282764" w:rsidRDefault="00282764" w:rsidP="00282764">
      <w:r w:rsidRPr="00282764">
        <w:t>El colector de carga o descarga deberá estar ubicado como mínimo a 200 pies (61 m) de dicho puente.</w:t>
      </w:r>
    </w:p>
    <w:p w14:paraId="72ECB3BA" w14:textId="77777777" w:rsidR="00282764" w:rsidRPr="00282764" w:rsidRDefault="00282764" w:rsidP="00282764">
      <w:pPr>
        <w:rPr>
          <w:b/>
          <w:bCs/>
        </w:rPr>
      </w:pPr>
      <w:r w:rsidRPr="00282764">
        <w:rPr>
          <w:b/>
          <w:bCs/>
        </w:rPr>
        <w:t>6.6.3 </w:t>
      </w:r>
    </w:p>
    <w:p w14:paraId="7DB7DA42" w14:textId="77777777" w:rsidR="00282764" w:rsidRPr="00282764" w:rsidRDefault="00282764" w:rsidP="00282764">
      <w:r w:rsidRPr="00282764">
        <w:t>Las conexiones de carga y descarga de GNL y refrigerantes inflamables deberán estar al menos a 50 pies (15 m) de fuentes de ignición, áreas de proceso, contenedores de almacenamiento, edificios de control, oficinas, talleres y otras estructuras de planta ocupadas o importantes, a menos que el equipo esté directamente asociado con la operación de transferencia.</w:t>
      </w:r>
    </w:p>
    <w:p w14:paraId="113D0134" w14:textId="77777777" w:rsidR="00282764" w:rsidRPr="00282764" w:rsidRDefault="00282764" w:rsidP="00282764">
      <w:pPr>
        <w:rPr>
          <w:b/>
          <w:bCs/>
        </w:rPr>
      </w:pPr>
      <w:hyperlink r:id="rId18" w:anchor="ID00059A002236" w:history="1">
        <w:r w:rsidRPr="00282764">
          <w:rPr>
            <w:rStyle w:val="Hipervnculo"/>
            <w:b/>
            <w:bCs/>
          </w:rPr>
          <w:t>6.6.4*</w:t>
        </w:r>
      </w:hyperlink>
      <w:r w:rsidRPr="00282764">
        <w:rPr>
          <w:b/>
          <w:bCs/>
        </w:rPr>
        <w:t> </w:t>
      </w:r>
    </w:p>
    <w:p w14:paraId="6C63D8AB" w14:textId="77777777" w:rsidR="00282764" w:rsidRPr="00282764" w:rsidRDefault="00282764" w:rsidP="00282764">
      <w:r w:rsidRPr="00282764">
        <w:t>Las áreas de embalse se ubicarán de manera que el flujo de calor de un incendio sobre el área de embalse no cause daños estructurales importantes a ningún buque transportador de GNL que pudieran impedir su movimiento.</w:t>
      </w:r>
    </w:p>
    <w:p w14:paraId="4D7BFB7A" w14:textId="77777777" w:rsidR="00282764" w:rsidRPr="00282764" w:rsidRDefault="00282764" w:rsidP="00282764">
      <w:r w:rsidRPr="00282764">
        <w:pict w14:anchorId="6F1990DE">
          <v:rect id="_x0000_i1030" style="width:0;height:1.5pt" o:hralign="center" o:hrstd="t" o:hr="t" fillcolor="#a0a0a0" stroked="f"/>
        </w:pict>
      </w:r>
    </w:p>
    <w:p w14:paraId="286B4BC4" w14:textId="77777777" w:rsidR="00282764" w:rsidRPr="00282764" w:rsidRDefault="00282764" w:rsidP="00282764">
      <w:r w:rsidRPr="00282764">
        <w:t>6.7 Edificios y estructuras.</w:t>
      </w:r>
    </w:p>
    <w:p w14:paraId="37466CE1" w14:textId="77777777" w:rsidR="00282764" w:rsidRPr="00282764" w:rsidRDefault="00282764" w:rsidP="00282764">
      <w:pPr>
        <w:rPr>
          <w:b/>
          <w:bCs/>
        </w:rPr>
      </w:pPr>
      <w:r w:rsidRPr="00282764">
        <w:rPr>
          <w:b/>
          <w:bCs/>
        </w:rPr>
        <w:t>6.7.1 </w:t>
      </w:r>
    </w:p>
    <w:p w14:paraId="23CBC2F1" w14:textId="77777777" w:rsidR="00282764" w:rsidRPr="00282764" w:rsidRDefault="00282764" w:rsidP="00282764">
      <w:r w:rsidRPr="00282764">
        <w:t>Los edificios o recintos estructurales no contemplados en las Secciones </w:t>
      </w:r>
      <w:hyperlink r:id="rId19" w:anchor="ID00059A000256" w:history="1">
        <w:r w:rsidRPr="00282764">
          <w:rPr>
            <w:rStyle w:val="Hipervnculo"/>
            <w:b/>
            <w:bCs/>
          </w:rPr>
          <w:t>12.5</w:t>
        </w:r>
      </w:hyperlink>
      <w:r w:rsidRPr="00282764">
        <w:t> a </w:t>
      </w:r>
      <w:hyperlink r:id="rId20" w:anchor="ID00059A000258" w:history="1">
        <w:r w:rsidRPr="00282764">
          <w:rPr>
            <w:rStyle w:val="Hipervnculo"/>
            <w:b/>
            <w:bCs/>
          </w:rPr>
          <w:t>12.7</w:t>
        </w:r>
      </w:hyperlink>
      <w:r w:rsidRPr="00282764">
        <w:t> deberán ubicarse, o se deberán tomar disposiciones de otro modo, para minimizar la posibilidad de entrada de gases o vapores inflamables.</w:t>
      </w:r>
    </w:p>
    <w:p w14:paraId="5B024ACD" w14:textId="77777777" w:rsidR="00282764" w:rsidRPr="00282764" w:rsidRDefault="00282764" w:rsidP="00282764">
      <w:pPr>
        <w:rPr>
          <w:b/>
          <w:bCs/>
        </w:rPr>
      </w:pPr>
      <w:r w:rsidRPr="00282764">
        <w:rPr>
          <w:b/>
          <w:bCs/>
        </w:rPr>
        <w:t>6.7.2 </w:t>
      </w:r>
    </w:p>
    <w:p w14:paraId="01FC7D9B" w14:textId="77777777" w:rsidR="00282764" w:rsidRPr="00282764" w:rsidRDefault="00282764" w:rsidP="00282764">
      <w:r w:rsidRPr="00282764">
        <w:lastRenderedPageBreak/>
        <w:t>Los edificios no cubiertos por las Secciones </w:t>
      </w:r>
      <w:hyperlink r:id="rId21" w:anchor="ID00059A000256" w:history="1">
        <w:r w:rsidRPr="00282764">
          <w:rPr>
            <w:rStyle w:val="Hipervnculo"/>
            <w:b/>
            <w:bCs/>
          </w:rPr>
          <w:t>12.5</w:t>
        </w:r>
      </w:hyperlink>
      <w:r w:rsidRPr="00282764">
        <w:t> a </w:t>
      </w:r>
      <w:hyperlink r:id="rId22" w:anchor="ID00059A000258" w:history="1">
        <w:r w:rsidRPr="00282764">
          <w:rPr>
            <w:rStyle w:val="Hipervnculo"/>
            <w:b/>
            <w:bCs/>
          </w:rPr>
          <w:t>12.7</w:t>
        </w:r>
      </w:hyperlink>
      <w:r w:rsidRPr="00282764">
        <w:t> deberán ubicarse a no menos de 50 pies (15 m) de tanques, recipientes y conexiones selladas o con juntas a equipos que contengan fluidos inflamables .</w:t>
      </w:r>
    </w:p>
    <w:p w14:paraId="4E6B62B3" w14:textId="77777777" w:rsidR="00282764" w:rsidRPr="00282764" w:rsidRDefault="00282764" w:rsidP="00282764">
      <w:r w:rsidRPr="00282764">
        <w:pict w14:anchorId="42D796F3">
          <v:rect id="_x0000_i1031" style="width:0;height:1.5pt" o:hralign="center" o:hrstd="t" o:hr="t" fillcolor="#a0a0a0" stroked="f"/>
        </w:pict>
      </w:r>
    </w:p>
    <w:p w14:paraId="08B63A22" w14:textId="77777777" w:rsidR="00282764" w:rsidRPr="00282764" w:rsidRDefault="00282764" w:rsidP="00282764">
      <w:r w:rsidRPr="00282764">
        <w:t>6.8 Espaciamiento de embalses.</w:t>
      </w:r>
    </w:p>
    <w:p w14:paraId="51E0F14F" w14:textId="77777777" w:rsidR="00282764" w:rsidRPr="00282764" w:rsidRDefault="00282764" w:rsidP="00282764">
      <w:pPr>
        <w:rPr>
          <w:b/>
          <w:bCs/>
        </w:rPr>
      </w:pPr>
      <w:r w:rsidRPr="00282764">
        <w:rPr>
          <w:b/>
          <w:bCs/>
        </w:rPr>
        <w:t>6.8.1 </w:t>
      </w:r>
    </w:p>
    <w:p w14:paraId="3D963E10" w14:textId="77777777" w:rsidR="00282764" w:rsidRPr="00282764" w:rsidRDefault="00282764" w:rsidP="00282764">
      <w:r w:rsidRPr="00282764">
        <w:t>Los embalses se ubicarán de manera que los riesgos de derrames de diseño no se extiendan fuera del sitio de acuerdo con el Capítulo  </w:t>
      </w:r>
      <w:hyperlink r:id="rId23" w:history="1">
        <w:r w:rsidRPr="00282764">
          <w:rPr>
            <w:rStyle w:val="Hipervnculo"/>
            <w:b/>
            <w:bCs/>
          </w:rPr>
          <w:t>5</w:t>
        </w:r>
      </w:hyperlink>
      <w:r w:rsidRPr="00282764">
        <w:t> .</w:t>
      </w:r>
    </w:p>
    <w:p w14:paraId="47D7C7E6" w14:textId="77777777" w:rsidR="00282764" w:rsidRPr="00282764" w:rsidRDefault="00282764" w:rsidP="00282764">
      <w:pPr>
        <w:rPr>
          <w:b/>
          <w:bCs/>
        </w:rPr>
      </w:pPr>
      <w:r w:rsidRPr="00282764">
        <w:rPr>
          <w:b/>
          <w:bCs/>
        </w:rPr>
        <w:t>6.8.2 </w:t>
      </w:r>
    </w:p>
    <w:p w14:paraId="3C1CA576" w14:textId="77777777" w:rsidR="00282764" w:rsidRPr="00282764" w:rsidRDefault="00282764" w:rsidP="00282764">
      <w:r w:rsidRPr="00282764">
        <w:t>Los embalses se ubicarán de manera que cumplan con los requisitos de espaciamiento de </w:t>
      </w:r>
      <w:hyperlink r:id="rId24" w:anchor="ID00059A000214" w:history="1">
        <w:r w:rsidRPr="00282764">
          <w:rPr>
            <w:rStyle w:val="Hipervnculo"/>
            <w:b/>
            <w:bCs/>
          </w:rPr>
          <w:t>la Tabla 6.3.1</w:t>
        </w:r>
      </w:hyperlink>
      <w:r w:rsidRPr="00282764">
        <w:t> .</w:t>
      </w:r>
    </w:p>
    <w:p w14:paraId="320470B7" w14:textId="77777777" w:rsidR="00282764" w:rsidRPr="00282764" w:rsidRDefault="00282764" w:rsidP="00282764">
      <w:pPr>
        <w:rPr>
          <w:b/>
          <w:bCs/>
        </w:rPr>
      </w:pPr>
      <w:r w:rsidRPr="00282764">
        <w:rPr>
          <w:b/>
          <w:bCs/>
        </w:rPr>
        <w:t>6.8.3 </w:t>
      </w:r>
    </w:p>
    <w:p w14:paraId="6F64F5F1" w14:textId="77777777" w:rsidR="00282764" w:rsidRPr="00282764" w:rsidRDefault="00282764" w:rsidP="00282764">
      <w:r w:rsidRPr="00282764">
        <w:t>Los embalses deberán estar al menos a 50 pies (15 m) de fuentes de ignición, edificios de control, oficinas, talleres y otras estructuras de planta ocupadas o importantes.</w:t>
      </w:r>
    </w:p>
    <w:p w14:paraId="0F3C1A1C" w14:textId="77777777" w:rsidR="00404380" w:rsidRDefault="00404380"/>
    <w:p w14:paraId="0FC26BE2" w14:textId="77777777" w:rsidR="00282764" w:rsidRDefault="00282764"/>
    <w:p w14:paraId="30B16A0F" w14:textId="77777777" w:rsidR="00282764" w:rsidRDefault="00282764"/>
    <w:p w14:paraId="213E9AB1" w14:textId="77777777" w:rsidR="00282764" w:rsidRDefault="00282764"/>
    <w:p w14:paraId="79C13896" w14:textId="77777777" w:rsidR="00282764" w:rsidRDefault="00282764"/>
    <w:p w14:paraId="04A4CCDB" w14:textId="77777777" w:rsidR="00282764" w:rsidRDefault="00282764"/>
    <w:p w14:paraId="41539280" w14:textId="77777777" w:rsidR="00282764" w:rsidRDefault="00282764"/>
    <w:p w14:paraId="3E280108" w14:textId="77777777" w:rsidR="00282764" w:rsidRDefault="00282764"/>
    <w:p w14:paraId="1FBC6327" w14:textId="77777777" w:rsidR="00282764" w:rsidRDefault="00282764"/>
    <w:p w14:paraId="1934A171" w14:textId="77777777" w:rsidR="00282764" w:rsidRPr="00282764" w:rsidRDefault="00282764" w:rsidP="00282764">
      <w:r w:rsidRPr="00282764">
        <w:t>Tablas del Capítulo 6: Disposición de la planta</w:t>
      </w:r>
    </w:p>
    <w:tbl>
      <w:tblPr>
        <w:tblW w:w="15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3113"/>
        <w:gridCol w:w="485"/>
        <w:gridCol w:w="2056"/>
        <w:gridCol w:w="2129"/>
        <w:gridCol w:w="485"/>
        <w:gridCol w:w="1987"/>
        <w:gridCol w:w="2007"/>
      </w:tblGrid>
      <w:tr w:rsidR="00282764" w14:paraId="21A9F27D" w14:textId="77777777">
        <w:trPr>
          <w:jc w:val="center"/>
        </w:trPr>
        <w:tc>
          <w:tcPr>
            <w:tcW w:w="0" w:type="auto"/>
            <w:gridSpan w:val="8"/>
            <w:shd w:val="clear" w:color="auto" w:fill="auto"/>
            <w:hideMark/>
          </w:tcPr>
          <w:p w14:paraId="13223077" w14:textId="77777777" w:rsidR="00282764" w:rsidRDefault="00282764" w:rsidP="00282764">
            <w:pPr>
              <w:rPr>
                <w:b/>
                <w:bCs/>
              </w:rPr>
            </w:pPr>
            <w:r>
              <w:rPr>
                <w:b/>
                <w:bCs/>
              </w:rPr>
              <w:t>Tabla 6.3.1 Distancias desde los contenedores y exposiciones</w:t>
            </w:r>
            <w:r>
              <w:rPr>
                <w:b/>
                <w:bCs/>
              </w:rPr>
              <w:br/>
            </w:r>
          </w:p>
        </w:tc>
      </w:tr>
      <w:tr w:rsidR="00000000" w14:paraId="19CE151B" w14:textId="77777777">
        <w:trPr>
          <w:jc w:val="center"/>
        </w:trPr>
        <w:tc>
          <w:tcPr>
            <w:tcW w:w="6367" w:type="dxa"/>
            <w:gridSpan w:val="2"/>
            <w:shd w:val="clear" w:color="auto" w:fill="auto"/>
            <w:hideMark/>
          </w:tcPr>
          <w:p w14:paraId="0FC8742A" w14:textId="77777777" w:rsidR="00282764" w:rsidRDefault="00282764" w:rsidP="00282764">
            <w:pPr>
              <w:rPr>
                <w:b/>
                <w:bCs/>
              </w:rPr>
            </w:pPr>
            <w:r>
              <w:rPr>
                <w:b/>
                <w:bCs/>
              </w:rPr>
              <w:t>Capacidad de agua del contenedor</w:t>
            </w:r>
          </w:p>
        </w:tc>
        <w:tc>
          <w:tcPr>
            <w:tcW w:w="480" w:type="dxa"/>
            <w:shd w:val="clear" w:color="auto" w:fill="auto"/>
            <w:hideMark/>
          </w:tcPr>
          <w:p w14:paraId="181D1F11" w14:textId="77777777" w:rsidR="00282764" w:rsidRDefault="00282764" w:rsidP="00282764">
            <w:pPr>
              <w:rPr>
                <w:b/>
                <w:bCs/>
              </w:rPr>
            </w:pPr>
          </w:p>
        </w:tc>
        <w:tc>
          <w:tcPr>
            <w:tcW w:w="4310" w:type="dxa"/>
            <w:gridSpan w:val="2"/>
            <w:shd w:val="clear" w:color="auto" w:fill="auto"/>
            <w:hideMark/>
          </w:tcPr>
          <w:p w14:paraId="303D7E4F" w14:textId="77777777" w:rsidR="00282764" w:rsidRDefault="00282764" w:rsidP="00282764">
            <w:pPr>
              <w:rPr>
                <w:b/>
                <w:bCs/>
              </w:rPr>
            </w:pPr>
            <w:r>
              <w:rPr>
                <w:b/>
                <w:bCs/>
              </w:rPr>
              <w:t>Distancia mínima desde el borde del embalse o sistema de drenaje de contenedores hasta las líneas de propiedad sobre las que se puede construir</w:t>
            </w:r>
          </w:p>
        </w:tc>
        <w:tc>
          <w:tcPr>
            <w:tcW w:w="480" w:type="dxa"/>
            <w:shd w:val="clear" w:color="auto" w:fill="auto"/>
            <w:hideMark/>
          </w:tcPr>
          <w:p w14:paraId="422359D7" w14:textId="77777777" w:rsidR="00282764" w:rsidRDefault="00282764" w:rsidP="00282764">
            <w:pPr>
              <w:rPr>
                <w:b/>
                <w:bCs/>
              </w:rPr>
            </w:pPr>
          </w:p>
        </w:tc>
        <w:tc>
          <w:tcPr>
            <w:tcW w:w="3724" w:type="dxa"/>
            <w:gridSpan w:val="2"/>
            <w:shd w:val="clear" w:color="auto" w:fill="auto"/>
            <w:hideMark/>
          </w:tcPr>
          <w:p w14:paraId="613A6F56" w14:textId="77777777" w:rsidR="00282764" w:rsidRDefault="00282764" w:rsidP="00282764">
            <w:pPr>
              <w:rPr>
                <w:b/>
                <w:bCs/>
              </w:rPr>
            </w:pPr>
            <w:r>
              <w:rPr>
                <w:b/>
                <w:bCs/>
              </w:rPr>
              <w:t>Distancia mínima entre contenedores de almacenamiento</w:t>
            </w:r>
          </w:p>
        </w:tc>
      </w:tr>
      <w:tr w:rsidR="00000000" w14:paraId="407D450F" w14:textId="77777777">
        <w:trPr>
          <w:jc w:val="center"/>
        </w:trPr>
        <w:tc>
          <w:tcPr>
            <w:tcW w:w="3404" w:type="dxa"/>
            <w:shd w:val="clear" w:color="auto" w:fill="auto"/>
            <w:hideMark/>
          </w:tcPr>
          <w:p w14:paraId="120C5EA4" w14:textId="77777777" w:rsidR="00282764" w:rsidRDefault="00282764" w:rsidP="00282764">
            <w:pPr>
              <w:rPr>
                <w:b/>
                <w:bCs/>
              </w:rPr>
            </w:pPr>
            <w:r>
              <w:rPr>
                <w:b/>
                <w:bCs/>
              </w:rPr>
              <w:t>galón</w:t>
            </w:r>
          </w:p>
        </w:tc>
        <w:tc>
          <w:tcPr>
            <w:tcW w:w="2963" w:type="dxa"/>
            <w:shd w:val="clear" w:color="auto" w:fill="auto"/>
            <w:hideMark/>
          </w:tcPr>
          <w:p w14:paraId="7F976508" w14:textId="77777777" w:rsidR="00282764" w:rsidRDefault="00282764" w:rsidP="00282764">
            <w:pPr>
              <w:rPr>
                <w:b/>
                <w:bCs/>
              </w:rPr>
            </w:pPr>
            <w:r>
              <w:rPr>
                <w:b/>
                <w:bCs/>
              </w:rPr>
              <w:t>metros </w:t>
            </w:r>
            <w:r>
              <w:rPr>
                <w:b/>
                <w:bCs/>
                <w:vertAlign w:val="superscript"/>
              </w:rPr>
              <w:t>cúbicos</w:t>
            </w:r>
          </w:p>
        </w:tc>
        <w:tc>
          <w:tcPr>
            <w:tcW w:w="480" w:type="dxa"/>
            <w:shd w:val="clear" w:color="auto" w:fill="auto"/>
            <w:hideMark/>
          </w:tcPr>
          <w:p w14:paraId="6E0BF198" w14:textId="77777777" w:rsidR="00282764" w:rsidRDefault="00282764" w:rsidP="00282764">
            <w:pPr>
              <w:rPr>
                <w:b/>
                <w:bCs/>
              </w:rPr>
            </w:pPr>
          </w:p>
        </w:tc>
        <w:tc>
          <w:tcPr>
            <w:tcW w:w="2228" w:type="dxa"/>
            <w:shd w:val="clear" w:color="auto" w:fill="auto"/>
            <w:hideMark/>
          </w:tcPr>
          <w:p w14:paraId="5B4040A3" w14:textId="77777777" w:rsidR="00282764" w:rsidRDefault="00282764" w:rsidP="00282764">
            <w:pPr>
              <w:rPr>
                <w:b/>
                <w:bCs/>
              </w:rPr>
            </w:pPr>
            <w:r>
              <w:rPr>
                <w:b/>
                <w:bCs/>
              </w:rPr>
              <w:t>pie</w:t>
            </w:r>
          </w:p>
        </w:tc>
        <w:tc>
          <w:tcPr>
            <w:tcW w:w="2081" w:type="dxa"/>
            <w:shd w:val="clear" w:color="auto" w:fill="auto"/>
            <w:hideMark/>
          </w:tcPr>
          <w:p w14:paraId="4AFCA71F" w14:textId="77777777" w:rsidR="00282764" w:rsidRDefault="00282764" w:rsidP="00282764">
            <w:pPr>
              <w:rPr>
                <w:b/>
                <w:bCs/>
              </w:rPr>
            </w:pPr>
            <w:r>
              <w:rPr>
                <w:b/>
                <w:bCs/>
              </w:rPr>
              <w:t>metro</w:t>
            </w:r>
          </w:p>
        </w:tc>
        <w:tc>
          <w:tcPr>
            <w:tcW w:w="480" w:type="dxa"/>
            <w:shd w:val="clear" w:color="auto" w:fill="auto"/>
            <w:hideMark/>
          </w:tcPr>
          <w:p w14:paraId="59A43E68" w14:textId="77777777" w:rsidR="00282764" w:rsidRDefault="00282764" w:rsidP="00282764">
            <w:pPr>
              <w:rPr>
                <w:b/>
                <w:bCs/>
              </w:rPr>
            </w:pPr>
          </w:p>
        </w:tc>
        <w:tc>
          <w:tcPr>
            <w:tcW w:w="1935" w:type="dxa"/>
            <w:shd w:val="clear" w:color="auto" w:fill="auto"/>
            <w:hideMark/>
          </w:tcPr>
          <w:p w14:paraId="0CFAF613" w14:textId="77777777" w:rsidR="00282764" w:rsidRDefault="00282764" w:rsidP="00282764">
            <w:pPr>
              <w:rPr>
                <w:b/>
                <w:bCs/>
              </w:rPr>
            </w:pPr>
            <w:r>
              <w:rPr>
                <w:b/>
                <w:bCs/>
              </w:rPr>
              <w:t>pie</w:t>
            </w:r>
          </w:p>
        </w:tc>
        <w:tc>
          <w:tcPr>
            <w:tcW w:w="1789" w:type="dxa"/>
            <w:shd w:val="clear" w:color="auto" w:fill="auto"/>
            <w:hideMark/>
          </w:tcPr>
          <w:p w14:paraId="12BEE5A9" w14:textId="77777777" w:rsidR="00282764" w:rsidRDefault="00282764" w:rsidP="00282764">
            <w:pPr>
              <w:rPr>
                <w:b/>
                <w:bCs/>
              </w:rPr>
            </w:pPr>
            <w:r>
              <w:rPr>
                <w:b/>
                <w:bCs/>
              </w:rPr>
              <w:t>metro</w:t>
            </w:r>
          </w:p>
        </w:tc>
      </w:tr>
      <w:tr w:rsidR="00000000" w14:paraId="2060983D" w14:textId="77777777">
        <w:trPr>
          <w:jc w:val="center"/>
        </w:trPr>
        <w:tc>
          <w:tcPr>
            <w:tcW w:w="3404" w:type="dxa"/>
            <w:shd w:val="clear" w:color="auto" w:fill="auto"/>
            <w:hideMark/>
          </w:tcPr>
          <w:p w14:paraId="20CF20ED" w14:textId="77777777" w:rsidR="00282764" w:rsidRDefault="00282764" w:rsidP="00282764">
            <w:r>
              <w:t>&lt;125*</w:t>
            </w:r>
          </w:p>
        </w:tc>
        <w:tc>
          <w:tcPr>
            <w:tcW w:w="2963" w:type="dxa"/>
            <w:shd w:val="clear" w:color="auto" w:fill="auto"/>
            <w:hideMark/>
          </w:tcPr>
          <w:p w14:paraId="452EDAB8" w14:textId="77777777" w:rsidR="00282764" w:rsidRDefault="00282764" w:rsidP="00282764">
            <w:r>
              <w:t>&lt;0,5</w:t>
            </w:r>
          </w:p>
        </w:tc>
        <w:tc>
          <w:tcPr>
            <w:tcW w:w="480" w:type="dxa"/>
            <w:shd w:val="clear" w:color="auto" w:fill="auto"/>
            <w:hideMark/>
          </w:tcPr>
          <w:p w14:paraId="3189AEA5" w14:textId="77777777" w:rsidR="00282764" w:rsidRDefault="00282764" w:rsidP="00282764"/>
        </w:tc>
        <w:tc>
          <w:tcPr>
            <w:tcW w:w="2228" w:type="dxa"/>
            <w:shd w:val="clear" w:color="auto" w:fill="auto"/>
            <w:hideMark/>
          </w:tcPr>
          <w:p w14:paraId="09FDB5B4" w14:textId="77777777" w:rsidR="00282764" w:rsidRDefault="00282764" w:rsidP="00282764">
            <w:r>
              <w:t>0</w:t>
            </w:r>
          </w:p>
        </w:tc>
        <w:tc>
          <w:tcPr>
            <w:tcW w:w="2081" w:type="dxa"/>
            <w:shd w:val="clear" w:color="auto" w:fill="auto"/>
            <w:hideMark/>
          </w:tcPr>
          <w:p w14:paraId="653071FC" w14:textId="77777777" w:rsidR="00282764" w:rsidRDefault="00282764" w:rsidP="00282764">
            <w:r>
              <w:t>0</w:t>
            </w:r>
          </w:p>
        </w:tc>
        <w:tc>
          <w:tcPr>
            <w:tcW w:w="480" w:type="dxa"/>
            <w:shd w:val="clear" w:color="auto" w:fill="auto"/>
            <w:hideMark/>
          </w:tcPr>
          <w:p w14:paraId="0E91C836" w14:textId="77777777" w:rsidR="00282764" w:rsidRDefault="00282764" w:rsidP="00282764"/>
        </w:tc>
        <w:tc>
          <w:tcPr>
            <w:tcW w:w="1935" w:type="dxa"/>
            <w:shd w:val="clear" w:color="auto" w:fill="auto"/>
            <w:hideMark/>
          </w:tcPr>
          <w:p w14:paraId="09BA762B" w14:textId="77777777" w:rsidR="00282764" w:rsidRDefault="00282764" w:rsidP="00282764">
            <w:r>
              <w:t>0</w:t>
            </w:r>
          </w:p>
        </w:tc>
        <w:tc>
          <w:tcPr>
            <w:tcW w:w="1789" w:type="dxa"/>
            <w:shd w:val="clear" w:color="auto" w:fill="auto"/>
            <w:hideMark/>
          </w:tcPr>
          <w:p w14:paraId="51540C16" w14:textId="77777777" w:rsidR="00282764" w:rsidRDefault="00282764" w:rsidP="00282764">
            <w:r>
              <w:t>0</w:t>
            </w:r>
          </w:p>
        </w:tc>
      </w:tr>
      <w:tr w:rsidR="00000000" w14:paraId="0CF303FB" w14:textId="77777777">
        <w:trPr>
          <w:jc w:val="center"/>
        </w:trPr>
        <w:tc>
          <w:tcPr>
            <w:tcW w:w="3404" w:type="dxa"/>
            <w:shd w:val="clear" w:color="auto" w:fill="auto"/>
            <w:hideMark/>
          </w:tcPr>
          <w:p w14:paraId="34BD1362" w14:textId="77777777" w:rsidR="00282764" w:rsidRDefault="00282764" w:rsidP="00282764">
            <w:r>
              <w:t>125–500</w:t>
            </w:r>
          </w:p>
        </w:tc>
        <w:tc>
          <w:tcPr>
            <w:tcW w:w="2963" w:type="dxa"/>
            <w:shd w:val="clear" w:color="auto" w:fill="auto"/>
            <w:hideMark/>
          </w:tcPr>
          <w:p w14:paraId="549D6B6B" w14:textId="77777777" w:rsidR="00282764" w:rsidRDefault="00282764" w:rsidP="00282764">
            <w:r>
              <w:t>≥0,5–1,9</w:t>
            </w:r>
          </w:p>
        </w:tc>
        <w:tc>
          <w:tcPr>
            <w:tcW w:w="480" w:type="dxa"/>
            <w:shd w:val="clear" w:color="auto" w:fill="auto"/>
            <w:hideMark/>
          </w:tcPr>
          <w:p w14:paraId="362ED963" w14:textId="77777777" w:rsidR="00282764" w:rsidRDefault="00282764" w:rsidP="00282764"/>
        </w:tc>
        <w:tc>
          <w:tcPr>
            <w:tcW w:w="2228" w:type="dxa"/>
            <w:shd w:val="clear" w:color="auto" w:fill="auto"/>
            <w:hideMark/>
          </w:tcPr>
          <w:p w14:paraId="3E568BEC" w14:textId="77777777" w:rsidR="00282764" w:rsidRDefault="00282764" w:rsidP="00282764">
            <w:r>
              <w:t>10</w:t>
            </w:r>
          </w:p>
        </w:tc>
        <w:tc>
          <w:tcPr>
            <w:tcW w:w="2081" w:type="dxa"/>
            <w:shd w:val="clear" w:color="auto" w:fill="auto"/>
            <w:hideMark/>
          </w:tcPr>
          <w:p w14:paraId="1942B839" w14:textId="77777777" w:rsidR="00282764" w:rsidRDefault="00282764" w:rsidP="00282764">
            <w:r>
              <w:t>3</w:t>
            </w:r>
          </w:p>
        </w:tc>
        <w:tc>
          <w:tcPr>
            <w:tcW w:w="480" w:type="dxa"/>
            <w:shd w:val="clear" w:color="auto" w:fill="auto"/>
            <w:hideMark/>
          </w:tcPr>
          <w:p w14:paraId="2FA2343B" w14:textId="77777777" w:rsidR="00282764" w:rsidRDefault="00282764" w:rsidP="00282764"/>
        </w:tc>
        <w:tc>
          <w:tcPr>
            <w:tcW w:w="1935" w:type="dxa"/>
            <w:shd w:val="clear" w:color="auto" w:fill="auto"/>
            <w:hideMark/>
          </w:tcPr>
          <w:p w14:paraId="7CBA86E2" w14:textId="77777777" w:rsidR="00282764" w:rsidRDefault="00282764" w:rsidP="00282764">
            <w:r>
              <w:t>3</w:t>
            </w:r>
          </w:p>
        </w:tc>
        <w:tc>
          <w:tcPr>
            <w:tcW w:w="1789" w:type="dxa"/>
            <w:shd w:val="clear" w:color="auto" w:fill="auto"/>
            <w:hideMark/>
          </w:tcPr>
          <w:p w14:paraId="1AD588EF" w14:textId="77777777" w:rsidR="00282764" w:rsidRDefault="00282764" w:rsidP="00282764">
            <w:r>
              <w:t>1</w:t>
            </w:r>
          </w:p>
        </w:tc>
      </w:tr>
      <w:tr w:rsidR="00000000" w14:paraId="0668D482" w14:textId="77777777">
        <w:trPr>
          <w:jc w:val="center"/>
        </w:trPr>
        <w:tc>
          <w:tcPr>
            <w:tcW w:w="3404" w:type="dxa"/>
            <w:shd w:val="clear" w:color="auto" w:fill="auto"/>
            <w:hideMark/>
          </w:tcPr>
          <w:p w14:paraId="61EC6EC7" w14:textId="77777777" w:rsidR="00282764" w:rsidRDefault="00282764" w:rsidP="00282764">
            <w:r>
              <w:t>501–2.000</w:t>
            </w:r>
          </w:p>
        </w:tc>
        <w:tc>
          <w:tcPr>
            <w:tcW w:w="2963" w:type="dxa"/>
            <w:shd w:val="clear" w:color="auto" w:fill="auto"/>
            <w:hideMark/>
          </w:tcPr>
          <w:p w14:paraId="4662A3C8" w14:textId="77777777" w:rsidR="00282764" w:rsidRDefault="00282764" w:rsidP="00282764">
            <w:r>
              <w:t>≥1,9–7,6</w:t>
            </w:r>
          </w:p>
        </w:tc>
        <w:tc>
          <w:tcPr>
            <w:tcW w:w="480" w:type="dxa"/>
            <w:shd w:val="clear" w:color="auto" w:fill="auto"/>
            <w:hideMark/>
          </w:tcPr>
          <w:p w14:paraId="5132012D" w14:textId="77777777" w:rsidR="00282764" w:rsidRDefault="00282764" w:rsidP="00282764"/>
        </w:tc>
        <w:tc>
          <w:tcPr>
            <w:tcW w:w="2228" w:type="dxa"/>
            <w:shd w:val="clear" w:color="auto" w:fill="auto"/>
            <w:hideMark/>
          </w:tcPr>
          <w:p w14:paraId="06640D2B" w14:textId="77777777" w:rsidR="00282764" w:rsidRDefault="00282764" w:rsidP="00282764">
            <w:r>
              <w:t>15</w:t>
            </w:r>
          </w:p>
        </w:tc>
        <w:tc>
          <w:tcPr>
            <w:tcW w:w="2081" w:type="dxa"/>
            <w:shd w:val="clear" w:color="auto" w:fill="auto"/>
            <w:hideMark/>
          </w:tcPr>
          <w:p w14:paraId="4759DABA" w14:textId="77777777" w:rsidR="00282764" w:rsidRDefault="00282764" w:rsidP="00282764">
            <w:r>
              <w:t>4.6</w:t>
            </w:r>
          </w:p>
        </w:tc>
        <w:tc>
          <w:tcPr>
            <w:tcW w:w="480" w:type="dxa"/>
            <w:shd w:val="clear" w:color="auto" w:fill="auto"/>
            <w:hideMark/>
          </w:tcPr>
          <w:p w14:paraId="5D28DC92" w14:textId="77777777" w:rsidR="00282764" w:rsidRDefault="00282764" w:rsidP="00282764"/>
        </w:tc>
        <w:tc>
          <w:tcPr>
            <w:tcW w:w="1935" w:type="dxa"/>
            <w:shd w:val="clear" w:color="auto" w:fill="auto"/>
            <w:hideMark/>
          </w:tcPr>
          <w:p w14:paraId="03A2C66D" w14:textId="77777777" w:rsidR="00282764" w:rsidRDefault="00282764" w:rsidP="00282764">
            <w:r>
              <w:t>5</w:t>
            </w:r>
          </w:p>
        </w:tc>
        <w:tc>
          <w:tcPr>
            <w:tcW w:w="1789" w:type="dxa"/>
            <w:shd w:val="clear" w:color="auto" w:fill="auto"/>
            <w:hideMark/>
          </w:tcPr>
          <w:p w14:paraId="16A300F7" w14:textId="77777777" w:rsidR="00282764" w:rsidRDefault="00282764" w:rsidP="00282764">
            <w:r>
              <w:t>1.5</w:t>
            </w:r>
          </w:p>
        </w:tc>
      </w:tr>
      <w:tr w:rsidR="00000000" w14:paraId="54C38F97" w14:textId="77777777">
        <w:trPr>
          <w:jc w:val="center"/>
        </w:trPr>
        <w:tc>
          <w:tcPr>
            <w:tcW w:w="3404" w:type="dxa"/>
            <w:shd w:val="clear" w:color="auto" w:fill="auto"/>
            <w:hideMark/>
          </w:tcPr>
          <w:p w14:paraId="7EAD2B5B" w14:textId="77777777" w:rsidR="00282764" w:rsidRDefault="00282764" w:rsidP="00282764">
            <w:r>
              <w:t>2.001–18.000</w:t>
            </w:r>
          </w:p>
        </w:tc>
        <w:tc>
          <w:tcPr>
            <w:tcW w:w="2963" w:type="dxa"/>
            <w:shd w:val="clear" w:color="auto" w:fill="auto"/>
            <w:hideMark/>
          </w:tcPr>
          <w:p w14:paraId="546541BC" w14:textId="77777777" w:rsidR="00282764" w:rsidRDefault="00282764" w:rsidP="00282764">
            <w:r>
              <w:t>≥7,6– 68,1</w:t>
            </w:r>
          </w:p>
        </w:tc>
        <w:tc>
          <w:tcPr>
            <w:tcW w:w="480" w:type="dxa"/>
            <w:shd w:val="clear" w:color="auto" w:fill="auto"/>
            <w:hideMark/>
          </w:tcPr>
          <w:p w14:paraId="4B97B6EB" w14:textId="77777777" w:rsidR="00282764" w:rsidRDefault="00282764" w:rsidP="00282764"/>
        </w:tc>
        <w:tc>
          <w:tcPr>
            <w:tcW w:w="2228" w:type="dxa"/>
            <w:shd w:val="clear" w:color="auto" w:fill="auto"/>
            <w:hideMark/>
          </w:tcPr>
          <w:p w14:paraId="1651253F" w14:textId="77777777" w:rsidR="00282764" w:rsidRDefault="00282764" w:rsidP="00282764">
            <w:r>
              <w:t>25</w:t>
            </w:r>
          </w:p>
        </w:tc>
        <w:tc>
          <w:tcPr>
            <w:tcW w:w="2081" w:type="dxa"/>
            <w:shd w:val="clear" w:color="auto" w:fill="auto"/>
            <w:hideMark/>
          </w:tcPr>
          <w:p w14:paraId="420EAD7D" w14:textId="77777777" w:rsidR="00282764" w:rsidRDefault="00282764" w:rsidP="00282764">
            <w:r>
              <w:t>7.6</w:t>
            </w:r>
          </w:p>
        </w:tc>
        <w:tc>
          <w:tcPr>
            <w:tcW w:w="480" w:type="dxa"/>
            <w:shd w:val="clear" w:color="auto" w:fill="auto"/>
            <w:hideMark/>
          </w:tcPr>
          <w:p w14:paraId="482278D0" w14:textId="77777777" w:rsidR="00282764" w:rsidRDefault="00282764" w:rsidP="00282764"/>
        </w:tc>
        <w:tc>
          <w:tcPr>
            <w:tcW w:w="1935" w:type="dxa"/>
            <w:shd w:val="clear" w:color="auto" w:fill="auto"/>
            <w:hideMark/>
          </w:tcPr>
          <w:p w14:paraId="6D81ACAF" w14:textId="77777777" w:rsidR="00282764" w:rsidRDefault="00282764" w:rsidP="00282764">
            <w:r>
              <w:t>5</w:t>
            </w:r>
          </w:p>
        </w:tc>
        <w:tc>
          <w:tcPr>
            <w:tcW w:w="1789" w:type="dxa"/>
            <w:shd w:val="clear" w:color="auto" w:fill="auto"/>
            <w:hideMark/>
          </w:tcPr>
          <w:p w14:paraId="22CAAFB6" w14:textId="77777777" w:rsidR="00282764" w:rsidRDefault="00282764" w:rsidP="00282764">
            <w:r>
              <w:t>1.5</w:t>
            </w:r>
          </w:p>
        </w:tc>
      </w:tr>
      <w:tr w:rsidR="00000000" w14:paraId="1708EE11" w14:textId="77777777">
        <w:trPr>
          <w:jc w:val="center"/>
        </w:trPr>
        <w:tc>
          <w:tcPr>
            <w:tcW w:w="3404" w:type="dxa"/>
            <w:shd w:val="clear" w:color="auto" w:fill="auto"/>
            <w:hideMark/>
          </w:tcPr>
          <w:p w14:paraId="6D686FB7" w14:textId="77777777" w:rsidR="00282764" w:rsidRDefault="00282764" w:rsidP="00282764">
            <w:r>
              <w:t>18.001–30.000</w:t>
            </w:r>
          </w:p>
        </w:tc>
        <w:tc>
          <w:tcPr>
            <w:tcW w:w="2963" w:type="dxa"/>
            <w:shd w:val="clear" w:color="auto" w:fill="auto"/>
            <w:hideMark/>
          </w:tcPr>
          <w:p w14:paraId="5A92B3D8" w14:textId="77777777" w:rsidR="00282764" w:rsidRDefault="00282764" w:rsidP="00282764">
            <w:r>
              <w:t>≥ 68,1 –114</w:t>
            </w:r>
          </w:p>
        </w:tc>
        <w:tc>
          <w:tcPr>
            <w:tcW w:w="480" w:type="dxa"/>
            <w:shd w:val="clear" w:color="auto" w:fill="auto"/>
            <w:hideMark/>
          </w:tcPr>
          <w:p w14:paraId="490A42C1" w14:textId="77777777" w:rsidR="00282764" w:rsidRDefault="00282764" w:rsidP="00282764"/>
        </w:tc>
        <w:tc>
          <w:tcPr>
            <w:tcW w:w="2228" w:type="dxa"/>
            <w:shd w:val="clear" w:color="auto" w:fill="auto"/>
            <w:hideMark/>
          </w:tcPr>
          <w:p w14:paraId="29AFC56C" w14:textId="77777777" w:rsidR="00282764" w:rsidRDefault="00282764" w:rsidP="00282764">
            <w:r>
              <w:t>50</w:t>
            </w:r>
          </w:p>
        </w:tc>
        <w:tc>
          <w:tcPr>
            <w:tcW w:w="2081" w:type="dxa"/>
            <w:shd w:val="clear" w:color="auto" w:fill="auto"/>
            <w:hideMark/>
          </w:tcPr>
          <w:p w14:paraId="57359BDF" w14:textId="77777777" w:rsidR="00282764" w:rsidRDefault="00282764" w:rsidP="00282764">
            <w:r>
              <w:t>15</w:t>
            </w:r>
          </w:p>
        </w:tc>
        <w:tc>
          <w:tcPr>
            <w:tcW w:w="480" w:type="dxa"/>
            <w:shd w:val="clear" w:color="auto" w:fill="auto"/>
            <w:hideMark/>
          </w:tcPr>
          <w:p w14:paraId="3EA99979" w14:textId="77777777" w:rsidR="00282764" w:rsidRDefault="00282764" w:rsidP="00282764"/>
        </w:tc>
        <w:tc>
          <w:tcPr>
            <w:tcW w:w="1935" w:type="dxa"/>
            <w:shd w:val="clear" w:color="auto" w:fill="auto"/>
            <w:hideMark/>
          </w:tcPr>
          <w:p w14:paraId="0B717A2C" w14:textId="77777777" w:rsidR="00282764" w:rsidRDefault="00282764" w:rsidP="00282764">
            <w:r>
              <w:t>5</w:t>
            </w:r>
          </w:p>
        </w:tc>
        <w:tc>
          <w:tcPr>
            <w:tcW w:w="1789" w:type="dxa"/>
            <w:shd w:val="clear" w:color="auto" w:fill="auto"/>
            <w:hideMark/>
          </w:tcPr>
          <w:p w14:paraId="1B689AD7" w14:textId="77777777" w:rsidR="00282764" w:rsidRDefault="00282764" w:rsidP="00282764">
            <w:r>
              <w:t>1.5</w:t>
            </w:r>
          </w:p>
        </w:tc>
      </w:tr>
      <w:tr w:rsidR="00000000" w14:paraId="693652A7" w14:textId="77777777">
        <w:trPr>
          <w:jc w:val="center"/>
        </w:trPr>
        <w:tc>
          <w:tcPr>
            <w:tcW w:w="3404" w:type="dxa"/>
            <w:shd w:val="clear" w:color="auto" w:fill="auto"/>
            <w:hideMark/>
          </w:tcPr>
          <w:p w14:paraId="4CA1D259" w14:textId="77777777" w:rsidR="00282764" w:rsidRDefault="00282764" w:rsidP="00282764">
            <w:r>
              <w:t>30.001–70.000</w:t>
            </w:r>
          </w:p>
        </w:tc>
        <w:tc>
          <w:tcPr>
            <w:tcW w:w="2963" w:type="dxa"/>
            <w:shd w:val="clear" w:color="auto" w:fill="auto"/>
            <w:hideMark/>
          </w:tcPr>
          <w:p w14:paraId="770F87CE" w14:textId="77777777" w:rsidR="00282764" w:rsidRDefault="00282764" w:rsidP="00282764">
            <w:r>
              <w:t>≥114–265</w:t>
            </w:r>
          </w:p>
        </w:tc>
        <w:tc>
          <w:tcPr>
            <w:tcW w:w="480" w:type="dxa"/>
            <w:shd w:val="clear" w:color="auto" w:fill="auto"/>
            <w:hideMark/>
          </w:tcPr>
          <w:p w14:paraId="29D9E41F" w14:textId="77777777" w:rsidR="00282764" w:rsidRDefault="00282764" w:rsidP="00282764"/>
        </w:tc>
        <w:tc>
          <w:tcPr>
            <w:tcW w:w="2228" w:type="dxa"/>
            <w:shd w:val="clear" w:color="auto" w:fill="auto"/>
            <w:hideMark/>
          </w:tcPr>
          <w:p w14:paraId="27113D86" w14:textId="77777777" w:rsidR="00282764" w:rsidRDefault="00282764" w:rsidP="00282764">
            <w:r>
              <w:t>75</w:t>
            </w:r>
          </w:p>
        </w:tc>
        <w:tc>
          <w:tcPr>
            <w:tcW w:w="2081" w:type="dxa"/>
            <w:shd w:val="clear" w:color="auto" w:fill="auto"/>
            <w:hideMark/>
          </w:tcPr>
          <w:p w14:paraId="5B72035D" w14:textId="77777777" w:rsidR="00282764" w:rsidRDefault="00282764" w:rsidP="00282764">
            <w:r>
              <w:t>23</w:t>
            </w:r>
          </w:p>
        </w:tc>
        <w:tc>
          <w:tcPr>
            <w:tcW w:w="480" w:type="dxa"/>
            <w:shd w:val="clear" w:color="auto" w:fill="auto"/>
            <w:hideMark/>
          </w:tcPr>
          <w:p w14:paraId="3FF7DDC7" w14:textId="77777777" w:rsidR="00282764" w:rsidRDefault="00282764" w:rsidP="00282764"/>
        </w:tc>
        <w:tc>
          <w:tcPr>
            <w:tcW w:w="3724" w:type="dxa"/>
            <w:gridSpan w:val="2"/>
            <w:shd w:val="clear" w:color="auto" w:fill="auto"/>
            <w:hideMark/>
          </w:tcPr>
          <w:p w14:paraId="2303F0B7" w14:textId="77777777" w:rsidR="00282764" w:rsidRDefault="00282764" w:rsidP="00282764">
            <w:r>
              <w:t>QSD†</w:t>
            </w:r>
          </w:p>
        </w:tc>
      </w:tr>
      <w:tr w:rsidR="00000000" w14:paraId="03C5A8BD" w14:textId="77777777">
        <w:trPr>
          <w:jc w:val="center"/>
        </w:trPr>
        <w:tc>
          <w:tcPr>
            <w:tcW w:w="3404" w:type="dxa"/>
            <w:shd w:val="clear" w:color="auto" w:fill="auto"/>
            <w:hideMark/>
          </w:tcPr>
          <w:p w14:paraId="640DB705" w14:textId="77777777" w:rsidR="00282764" w:rsidRDefault="00282764" w:rsidP="00282764">
            <w:r>
              <w:t>&gt;70.000</w:t>
            </w:r>
          </w:p>
        </w:tc>
        <w:tc>
          <w:tcPr>
            <w:tcW w:w="2963" w:type="dxa"/>
            <w:shd w:val="clear" w:color="auto" w:fill="auto"/>
            <w:hideMark/>
          </w:tcPr>
          <w:p w14:paraId="7D33194C" w14:textId="77777777" w:rsidR="00282764" w:rsidRDefault="00282764" w:rsidP="00282764">
            <w:r>
              <w:t>&gt;265</w:t>
            </w:r>
          </w:p>
        </w:tc>
        <w:tc>
          <w:tcPr>
            <w:tcW w:w="480" w:type="dxa"/>
            <w:shd w:val="clear" w:color="auto" w:fill="auto"/>
            <w:hideMark/>
          </w:tcPr>
          <w:p w14:paraId="2C5E7AB0" w14:textId="77777777" w:rsidR="00282764" w:rsidRDefault="00282764" w:rsidP="00282764"/>
        </w:tc>
        <w:tc>
          <w:tcPr>
            <w:tcW w:w="4310" w:type="dxa"/>
            <w:gridSpan w:val="2"/>
            <w:shd w:val="clear" w:color="auto" w:fill="auto"/>
            <w:hideMark/>
          </w:tcPr>
          <w:p w14:paraId="3F957200" w14:textId="77777777" w:rsidR="00282764" w:rsidRDefault="00282764" w:rsidP="00282764">
            <w:r>
              <w:t>0,7 veces el diámetro del contenedor, pero no menos de 100 pies (30 m)</w:t>
            </w:r>
          </w:p>
        </w:tc>
        <w:tc>
          <w:tcPr>
            <w:tcW w:w="480" w:type="dxa"/>
            <w:shd w:val="clear" w:color="auto" w:fill="auto"/>
            <w:hideMark/>
          </w:tcPr>
          <w:p w14:paraId="63434F73" w14:textId="77777777" w:rsidR="00282764" w:rsidRDefault="00282764" w:rsidP="00282764"/>
        </w:tc>
        <w:tc>
          <w:tcPr>
            <w:tcW w:w="3724" w:type="dxa"/>
            <w:gridSpan w:val="2"/>
            <w:shd w:val="clear" w:color="auto" w:fill="auto"/>
            <w:hideMark/>
          </w:tcPr>
          <w:p w14:paraId="284BECBC" w14:textId="77777777" w:rsidR="00282764" w:rsidRDefault="00282764" w:rsidP="00282764">
            <w:r>
              <w:t>QSD†</w:t>
            </w:r>
          </w:p>
        </w:tc>
      </w:tr>
      <w:tr w:rsidR="00282764" w14:paraId="3180298C" w14:textId="77777777">
        <w:trPr>
          <w:jc w:val="center"/>
        </w:trPr>
        <w:tc>
          <w:tcPr>
            <w:tcW w:w="0" w:type="auto"/>
            <w:gridSpan w:val="8"/>
            <w:shd w:val="clear" w:color="auto" w:fill="auto"/>
            <w:hideMark/>
          </w:tcPr>
          <w:p w14:paraId="50E7163A" w14:textId="77777777" w:rsidR="00282764" w:rsidRDefault="00282764" w:rsidP="00282764">
            <w:r>
              <w:t>*Si la capacidad total de agua de una instalación con varios contenedores es de 501 gal (1,9 m³ </w:t>
            </w:r>
            <w:r>
              <w:rPr>
                <w:vertAlign w:val="superscript"/>
              </w:rPr>
              <w:t>)</w:t>
            </w:r>
            <w:r>
              <w:t xml:space="preserve"> o superior, la distancia mínima debe cumplir con </w:t>
            </w:r>
            <w:r>
              <w:lastRenderedPageBreak/>
              <w:t>la sección correspondiente de esta tabla, aplicando la capacidad total en lugar de la capacidad por contenedor. Si se realiza más de una instalación, cada una debe estar separada de cualquier otra por al menos 7,6 m (25 pies). No aplique distancias mínimas entre contenedores adyacentes a dicha instalación.</w:t>
            </w:r>
          </w:p>
          <w:p w14:paraId="4C4C986B" w14:textId="77777777" w:rsidR="00282764" w:rsidRDefault="00282764" w:rsidP="00282764">
            <w:r>
              <w:t>†QSD = 1 ⁄4 de la suma de los diámetros de cualesquiera dos contenedores adyacentes [5 pies (1,5 m) mínimo].</w:t>
            </w:r>
          </w:p>
        </w:tc>
      </w:tr>
    </w:tbl>
    <w:p w14:paraId="1CC6B02F" w14:textId="77777777" w:rsidR="00282764" w:rsidRDefault="00282764">
      <w:hyperlink r:id="rId25" w:anchor="ID00059A000214" w:history="1">
        <w:r w:rsidRPr="00282764">
          <w:rPr>
            <w:rStyle w:val="Hipervnculo"/>
          </w:rPr>
          <w:t>Ver en publicación</w:t>
        </w:r>
      </w:hyperlink>
    </w:p>
    <w:sectPr w:rsidR="00282764" w:rsidSect="00282764">
      <w:pgSz w:w="15840" w:h="12240" w:orient="landscape"/>
      <w:pgMar w:top="1701" w:right="1417" w:bottom="1701" w:left="141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92C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37B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062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138591">
    <w:abstractNumId w:val="2"/>
  </w:num>
  <w:num w:numId="2" w16cid:durableId="1015036781">
    <w:abstractNumId w:val="0"/>
  </w:num>
  <w:num w:numId="3" w16cid:durableId="21837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764"/>
    <w:rsid w:val="00282764"/>
    <w:rsid w:val="00404380"/>
    <w:rsid w:val="00CB2FB9"/>
    <w:rsid w:val="00E571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C6936"/>
  <w14:defaultImageDpi w14:val="0"/>
  <w15:docId w15:val="{5B0B35F9-4E92-4E1F-B78E-74CEC24B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282764"/>
    <w:rPr>
      <w:rFonts w:cs="Times New Roman"/>
      <w:color w:val="467886"/>
      <w:u w:val="single"/>
    </w:rPr>
  </w:style>
  <w:style w:type="character" w:styleId="Mencinsinresolver">
    <w:name w:val="Unresolved Mention"/>
    <w:uiPriority w:val="99"/>
    <w:semiHidden/>
    <w:unhideWhenUsed/>
    <w:rsid w:val="00282764"/>
    <w:rPr>
      <w:rFonts w:cs="Times New Roman"/>
      <w:color w:val="605E5C"/>
      <w:shd w:val="clear" w:color="auto" w:fill="E1DFDD"/>
    </w:rPr>
  </w:style>
  <w:style w:type="table" w:styleId="Tablaconcuadrcula">
    <w:name w:val="Table Grid"/>
    <w:basedOn w:val="Tablanormal"/>
    <w:uiPriority w:val="39"/>
    <w:rsid w:val="00282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745322">
      <w:marLeft w:val="0"/>
      <w:marRight w:val="0"/>
      <w:marTop w:val="0"/>
      <w:marBottom w:val="0"/>
      <w:divBdr>
        <w:top w:val="none" w:sz="0" w:space="0" w:color="auto"/>
        <w:left w:val="none" w:sz="0" w:space="0" w:color="auto"/>
        <w:bottom w:val="none" w:sz="0" w:space="0" w:color="auto"/>
        <w:right w:val="none" w:sz="0" w:space="0" w:color="auto"/>
      </w:divBdr>
      <w:divsChild>
        <w:div w:id="1525745310">
          <w:marLeft w:val="0"/>
          <w:marRight w:val="0"/>
          <w:marTop w:val="0"/>
          <w:marBottom w:val="0"/>
          <w:divBdr>
            <w:top w:val="none" w:sz="0" w:space="0" w:color="auto"/>
            <w:left w:val="none" w:sz="0" w:space="0" w:color="auto"/>
            <w:bottom w:val="none" w:sz="0" w:space="0" w:color="auto"/>
            <w:right w:val="none" w:sz="0" w:space="0" w:color="auto"/>
          </w:divBdr>
          <w:divsChild>
            <w:div w:id="1525745529">
              <w:marLeft w:val="0"/>
              <w:marRight w:val="0"/>
              <w:marTop w:val="0"/>
              <w:marBottom w:val="0"/>
              <w:divBdr>
                <w:top w:val="none" w:sz="0" w:space="0" w:color="auto"/>
                <w:left w:val="none" w:sz="0" w:space="0" w:color="auto"/>
                <w:bottom w:val="none" w:sz="0" w:space="0" w:color="auto"/>
                <w:right w:val="none" w:sz="0" w:space="0" w:color="auto"/>
              </w:divBdr>
              <w:divsChild>
                <w:div w:id="1525745582">
                  <w:marLeft w:val="0"/>
                  <w:marRight w:val="0"/>
                  <w:marTop w:val="0"/>
                  <w:marBottom w:val="0"/>
                  <w:divBdr>
                    <w:top w:val="none" w:sz="0" w:space="0" w:color="auto"/>
                    <w:left w:val="none" w:sz="0" w:space="0" w:color="auto"/>
                    <w:bottom w:val="none" w:sz="0" w:space="0" w:color="auto"/>
                    <w:right w:val="none" w:sz="0" w:space="0" w:color="auto"/>
                  </w:divBdr>
                </w:div>
              </w:divsChild>
            </w:div>
            <w:div w:id="1525745583">
              <w:marLeft w:val="0"/>
              <w:marRight w:val="0"/>
              <w:marTop w:val="0"/>
              <w:marBottom w:val="0"/>
              <w:divBdr>
                <w:top w:val="none" w:sz="0" w:space="0" w:color="auto"/>
                <w:left w:val="none" w:sz="0" w:space="0" w:color="auto"/>
                <w:bottom w:val="none" w:sz="0" w:space="0" w:color="auto"/>
                <w:right w:val="none" w:sz="0" w:space="0" w:color="auto"/>
              </w:divBdr>
            </w:div>
          </w:divsChild>
        </w:div>
        <w:div w:id="1525745311">
          <w:marLeft w:val="0"/>
          <w:marRight w:val="0"/>
          <w:marTop w:val="0"/>
          <w:marBottom w:val="0"/>
          <w:divBdr>
            <w:top w:val="none" w:sz="0" w:space="0" w:color="auto"/>
            <w:left w:val="none" w:sz="0" w:space="0" w:color="auto"/>
            <w:bottom w:val="none" w:sz="0" w:space="0" w:color="auto"/>
            <w:right w:val="none" w:sz="0" w:space="0" w:color="auto"/>
          </w:divBdr>
          <w:divsChild>
            <w:div w:id="1525745373">
              <w:marLeft w:val="0"/>
              <w:marRight w:val="0"/>
              <w:marTop w:val="0"/>
              <w:marBottom w:val="0"/>
              <w:divBdr>
                <w:top w:val="none" w:sz="0" w:space="0" w:color="auto"/>
                <w:left w:val="none" w:sz="0" w:space="0" w:color="auto"/>
                <w:bottom w:val="none" w:sz="0" w:space="0" w:color="auto"/>
                <w:right w:val="none" w:sz="0" w:space="0" w:color="auto"/>
              </w:divBdr>
              <w:divsChild>
                <w:div w:id="1525745454">
                  <w:marLeft w:val="0"/>
                  <w:marRight w:val="0"/>
                  <w:marTop w:val="0"/>
                  <w:marBottom w:val="0"/>
                  <w:divBdr>
                    <w:top w:val="none" w:sz="0" w:space="0" w:color="auto"/>
                    <w:left w:val="none" w:sz="0" w:space="0" w:color="auto"/>
                    <w:bottom w:val="none" w:sz="0" w:space="0" w:color="auto"/>
                    <w:right w:val="none" w:sz="0" w:space="0" w:color="auto"/>
                  </w:divBdr>
                  <w:divsChild>
                    <w:div w:id="1525745504">
                      <w:marLeft w:val="0"/>
                      <w:marRight w:val="0"/>
                      <w:marTop w:val="0"/>
                      <w:marBottom w:val="0"/>
                      <w:divBdr>
                        <w:top w:val="none" w:sz="0" w:space="0" w:color="auto"/>
                        <w:left w:val="none" w:sz="0" w:space="0" w:color="auto"/>
                        <w:bottom w:val="none" w:sz="0" w:space="0" w:color="auto"/>
                        <w:right w:val="none" w:sz="0" w:space="0" w:color="auto"/>
                      </w:divBdr>
                    </w:div>
                    <w:div w:id="1525745525">
                      <w:marLeft w:val="0"/>
                      <w:marRight w:val="0"/>
                      <w:marTop w:val="0"/>
                      <w:marBottom w:val="0"/>
                      <w:divBdr>
                        <w:top w:val="none" w:sz="0" w:space="0" w:color="auto"/>
                        <w:left w:val="none" w:sz="0" w:space="0" w:color="auto"/>
                        <w:bottom w:val="none" w:sz="0" w:space="0" w:color="auto"/>
                        <w:right w:val="none" w:sz="0" w:space="0" w:color="auto"/>
                      </w:divBdr>
                    </w:div>
                    <w:div w:id="15257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313">
          <w:marLeft w:val="0"/>
          <w:marRight w:val="0"/>
          <w:marTop w:val="0"/>
          <w:marBottom w:val="0"/>
          <w:divBdr>
            <w:top w:val="none" w:sz="0" w:space="0" w:color="auto"/>
            <w:left w:val="none" w:sz="0" w:space="0" w:color="auto"/>
            <w:bottom w:val="none" w:sz="0" w:space="0" w:color="auto"/>
            <w:right w:val="none" w:sz="0" w:space="0" w:color="auto"/>
          </w:divBdr>
          <w:divsChild>
            <w:div w:id="1525745362">
              <w:marLeft w:val="0"/>
              <w:marRight w:val="0"/>
              <w:marTop w:val="0"/>
              <w:marBottom w:val="0"/>
              <w:divBdr>
                <w:top w:val="none" w:sz="0" w:space="0" w:color="auto"/>
                <w:left w:val="none" w:sz="0" w:space="0" w:color="auto"/>
                <w:bottom w:val="none" w:sz="0" w:space="0" w:color="auto"/>
                <w:right w:val="none" w:sz="0" w:space="0" w:color="auto"/>
              </w:divBdr>
              <w:divsChild>
                <w:div w:id="1525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14">
          <w:marLeft w:val="0"/>
          <w:marRight w:val="0"/>
          <w:marTop w:val="0"/>
          <w:marBottom w:val="0"/>
          <w:divBdr>
            <w:top w:val="none" w:sz="0" w:space="0" w:color="auto"/>
            <w:left w:val="none" w:sz="0" w:space="0" w:color="auto"/>
            <w:bottom w:val="none" w:sz="0" w:space="0" w:color="auto"/>
            <w:right w:val="none" w:sz="0" w:space="0" w:color="auto"/>
          </w:divBdr>
          <w:divsChild>
            <w:div w:id="1525745448">
              <w:marLeft w:val="0"/>
              <w:marRight w:val="0"/>
              <w:marTop w:val="0"/>
              <w:marBottom w:val="0"/>
              <w:divBdr>
                <w:top w:val="none" w:sz="0" w:space="0" w:color="auto"/>
                <w:left w:val="none" w:sz="0" w:space="0" w:color="auto"/>
                <w:bottom w:val="none" w:sz="0" w:space="0" w:color="auto"/>
                <w:right w:val="none" w:sz="0" w:space="0" w:color="auto"/>
              </w:divBdr>
              <w:divsChild>
                <w:div w:id="15257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34">
          <w:marLeft w:val="0"/>
          <w:marRight w:val="0"/>
          <w:marTop w:val="0"/>
          <w:marBottom w:val="0"/>
          <w:divBdr>
            <w:top w:val="none" w:sz="0" w:space="0" w:color="auto"/>
            <w:left w:val="none" w:sz="0" w:space="0" w:color="auto"/>
            <w:bottom w:val="none" w:sz="0" w:space="0" w:color="auto"/>
            <w:right w:val="none" w:sz="0" w:space="0" w:color="auto"/>
          </w:divBdr>
          <w:divsChild>
            <w:div w:id="1525745476">
              <w:marLeft w:val="0"/>
              <w:marRight w:val="0"/>
              <w:marTop w:val="0"/>
              <w:marBottom w:val="0"/>
              <w:divBdr>
                <w:top w:val="none" w:sz="0" w:space="0" w:color="auto"/>
                <w:left w:val="none" w:sz="0" w:space="0" w:color="auto"/>
                <w:bottom w:val="none" w:sz="0" w:space="0" w:color="auto"/>
                <w:right w:val="none" w:sz="0" w:space="0" w:color="auto"/>
              </w:divBdr>
              <w:divsChild>
                <w:div w:id="15257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37">
          <w:marLeft w:val="0"/>
          <w:marRight w:val="0"/>
          <w:marTop w:val="0"/>
          <w:marBottom w:val="0"/>
          <w:divBdr>
            <w:top w:val="none" w:sz="0" w:space="0" w:color="auto"/>
            <w:left w:val="none" w:sz="0" w:space="0" w:color="auto"/>
            <w:bottom w:val="none" w:sz="0" w:space="0" w:color="auto"/>
            <w:right w:val="none" w:sz="0" w:space="0" w:color="auto"/>
          </w:divBdr>
          <w:divsChild>
            <w:div w:id="1525745565">
              <w:marLeft w:val="0"/>
              <w:marRight w:val="0"/>
              <w:marTop w:val="0"/>
              <w:marBottom w:val="0"/>
              <w:divBdr>
                <w:top w:val="none" w:sz="0" w:space="0" w:color="auto"/>
                <w:left w:val="none" w:sz="0" w:space="0" w:color="auto"/>
                <w:bottom w:val="none" w:sz="0" w:space="0" w:color="auto"/>
                <w:right w:val="none" w:sz="0" w:space="0" w:color="auto"/>
              </w:divBdr>
              <w:divsChild>
                <w:div w:id="15257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43">
          <w:marLeft w:val="0"/>
          <w:marRight w:val="0"/>
          <w:marTop w:val="0"/>
          <w:marBottom w:val="0"/>
          <w:divBdr>
            <w:top w:val="none" w:sz="0" w:space="0" w:color="auto"/>
            <w:left w:val="none" w:sz="0" w:space="0" w:color="auto"/>
            <w:bottom w:val="none" w:sz="0" w:space="0" w:color="auto"/>
            <w:right w:val="none" w:sz="0" w:space="0" w:color="auto"/>
          </w:divBdr>
          <w:divsChild>
            <w:div w:id="1525745508">
              <w:marLeft w:val="0"/>
              <w:marRight w:val="0"/>
              <w:marTop w:val="0"/>
              <w:marBottom w:val="0"/>
              <w:divBdr>
                <w:top w:val="none" w:sz="0" w:space="0" w:color="auto"/>
                <w:left w:val="none" w:sz="0" w:space="0" w:color="auto"/>
                <w:bottom w:val="none" w:sz="0" w:space="0" w:color="auto"/>
                <w:right w:val="none" w:sz="0" w:space="0" w:color="auto"/>
              </w:divBdr>
              <w:divsChild>
                <w:div w:id="15257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46">
          <w:marLeft w:val="0"/>
          <w:marRight w:val="0"/>
          <w:marTop w:val="0"/>
          <w:marBottom w:val="0"/>
          <w:divBdr>
            <w:top w:val="none" w:sz="0" w:space="0" w:color="auto"/>
            <w:left w:val="none" w:sz="0" w:space="0" w:color="auto"/>
            <w:bottom w:val="none" w:sz="0" w:space="0" w:color="auto"/>
            <w:right w:val="none" w:sz="0" w:space="0" w:color="auto"/>
          </w:divBdr>
        </w:div>
        <w:div w:id="1525745347">
          <w:marLeft w:val="0"/>
          <w:marRight w:val="0"/>
          <w:marTop w:val="0"/>
          <w:marBottom w:val="0"/>
          <w:divBdr>
            <w:top w:val="none" w:sz="0" w:space="0" w:color="auto"/>
            <w:left w:val="none" w:sz="0" w:space="0" w:color="auto"/>
            <w:bottom w:val="none" w:sz="0" w:space="0" w:color="auto"/>
            <w:right w:val="none" w:sz="0" w:space="0" w:color="auto"/>
          </w:divBdr>
        </w:div>
        <w:div w:id="1525745352">
          <w:marLeft w:val="0"/>
          <w:marRight w:val="0"/>
          <w:marTop w:val="0"/>
          <w:marBottom w:val="0"/>
          <w:divBdr>
            <w:top w:val="none" w:sz="0" w:space="0" w:color="auto"/>
            <w:left w:val="none" w:sz="0" w:space="0" w:color="auto"/>
            <w:bottom w:val="none" w:sz="0" w:space="0" w:color="auto"/>
            <w:right w:val="none" w:sz="0" w:space="0" w:color="auto"/>
          </w:divBdr>
          <w:divsChild>
            <w:div w:id="1525745549">
              <w:marLeft w:val="0"/>
              <w:marRight w:val="0"/>
              <w:marTop w:val="0"/>
              <w:marBottom w:val="0"/>
              <w:divBdr>
                <w:top w:val="none" w:sz="0" w:space="0" w:color="auto"/>
                <w:left w:val="none" w:sz="0" w:space="0" w:color="auto"/>
                <w:bottom w:val="none" w:sz="0" w:space="0" w:color="auto"/>
                <w:right w:val="none" w:sz="0" w:space="0" w:color="auto"/>
              </w:divBdr>
              <w:divsChild>
                <w:div w:id="15257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58">
          <w:marLeft w:val="0"/>
          <w:marRight w:val="0"/>
          <w:marTop w:val="0"/>
          <w:marBottom w:val="0"/>
          <w:divBdr>
            <w:top w:val="none" w:sz="0" w:space="0" w:color="auto"/>
            <w:left w:val="none" w:sz="0" w:space="0" w:color="auto"/>
            <w:bottom w:val="none" w:sz="0" w:space="0" w:color="auto"/>
            <w:right w:val="none" w:sz="0" w:space="0" w:color="auto"/>
          </w:divBdr>
          <w:divsChild>
            <w:div w:id="1525745350">
              <w:marLeft w:val="0"/>
              <w:marRight w:val="0"/>
              <w:marTop w:val="0"/>
              <w:marBottom w:val="0"/>
              <w:divBdr>
                <w:top w:val="none" w:sz="0" w:space="0" w:color="auto"/>
                <w:left w:val="none" w:sz="0" w:space="0" w:color="auto"/>
                <w:bottom w:val="none" w:sz="0" w:space="0" w:color="auto"/>
                <w:right w:val="none" w:sz="0" w:space="0" w:color="auto"/>
              </w:divBdr>
            </w:div>
            <w:div w:id="1525745587">
              <w:marLeft w:val="0"/>
              <w:marRight w:val="0"/>
              <w:marTop w:val="0"/>
              <w:marBottom w:val="0"/>
              <w:divBdr>
                <w:top w:val="none" w:sz="0" w:space="0" w:color="auto"/>
                <w:left w:val="none" w:sz="0" w:space="0" w:color="auto"/>
                <w:bottom w:val="none" w:sz="0" w:space="0" w:color="auto"/>
                <w:right w:val="none" w:sz="0" w:space="0" w:color="auto"/>
              </w:divBdr>
              <w:divsChild>
                <w:div w:id="15257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63">
          <w:marLeft w:val="0"/>
          <w:marRight w:val="0"/>
          <w:marTop w:val="0"/>
          <w:marBottom w:val="0"/>
          <w:divBdr>
            <w:top w:val="none" w:sz="0" w:space="0" w:color="auto"/>
            <w:left w:val="none" w:sz="0" w:space="0" w:color="auto"/>
            <w:bottom w:val="none" w:sz="0" w:space="0" w:color="auto"/>
            <w:right w:val="none" w:sz="0" w:space="0" w:color="auto"/>
          </w:divBdr>
          <w:divsChild>
            <w:div w:id="1525745422">
              <w:marLeft w:val="0"/>
              <w:marRight w:val="0"/>
              <w:marTop w:val="0"/>
              <w:marBottom w:val="0"/>
              <w:divBdr>
                <w:top w:val="none" w:sz="0" w:space="0" w:color="auto"/>
                <w:left w:val="none" w:sz="0" w:space="0" w:color="auto"/>
                <w:bottom w:val="none" w:sz="0" w:space="0" w:color="auto"/>
                <w:right w:val="none" w:sz="0" w:space="0" w:color="auto"/>
              </w:divBdr>
              <w:divsChild>
                <w:div w:id="1525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66">
          <w:marLeft w:val="0"/>
          <w:marRight w:val="0"/>
          <w:marTop w:val="0"/>
          <w:marBottom w:val="0"/>
          <w:divBdr>
            <w:top w:val="none" w:sz="0" w:space="0" w:color="auto"/>
            <w:left w:val="none" w:sz="0" w:space="0" w:color="auto"/>
            <w:bottom w:val="none" w:sz="0" w:space="0" w:color="auto"/>
            <w:right w:val="none" w:sz="0" w:space="0" w:color="auto"/>
          </w:divBdr>
          <w:divsChild>
            <w:div w:id="1525745479">
              <w:marLeft w:val="0"/>
              <w:marRight w:val="0"/>
              <w:marTop w:val="0"/>
              <w:marBottom w:val="0"/>
              <w:divBdr>
                <w:top w:val="none" w:sz="0" w:space="0" w:color="auto"/>
                <w:left w:val="none" w:sz="0" w:space="0" w:color="auto"/>
                <w:bottom w:val="none" w:sz="0" w:space="0" w:color="auto"/>
                <w:right w:val="none" w:sz="0" w:space="0" w:color="auto"/>
              </w:divBdr>
              <w:divsChild>
                <w:div w:id="15257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70">
          <w:marLeft w:val="0"/>
          <w:marRight w:val="0"/>
          <w:marTop w:val="0"/>
          <w:marBottom w:val="0"/>
          <w:divBdr>
            <w:top w:val="none" w:sz="0" w:space="0" w:color="auto"/>
            <w:left w:val="none" w:sz="0" w:space="0" w:color="auto"/>
            <w:bottom w:val="none" w:sz="0" w:space="0" w:color="auto"/>
            <w:right w:val="none" w:sz="0" w:space="0" w:color="auto"/>
          </w:divBdr>
          <w:divsChild>
            <w:div w:id="1525745584">
              <w:marLeft w:val="0"/>
              <w:marRight w:val="0"/>
              <w:marTop w:val="0"/>
              <w:marBottom w:val="0"/>
              <w:divBdr>
                <w:top w:val="none" w:sz="0" w:space="0" w:color="auto"/>
                <w:left w:val="none" w:sz="0" w:space="0" w:color="auto"/>
                <w:bottom w:val="none" w:sz="0" w:space="0" w:color="auto"/>
                <w:right w:val="none" w:sz="0" w:space="0" w:color="auto"/>
              </w:divBdr>
              <w:divsChild>
                <w:div w:id="15257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74">
          <w:marLeft w:val="0"/>
          <w:marRight w:val="0"/>
          <w:marTop w:val="0"/>
          <w:marBottom w:val="0"/>
          <w:divBdr>
            <w:top w:val="none" w:sz="0" w:space="0" w:color="auto"/>
            <w:left w:val="none" w:sz="0" w:space="0" w:color="auto"/>
            <w:bottom w:val="none" w:sz="0" w:space="0" w:color="auto"/>
            <w:right w:val="none" w:sz="0" w:space="0" w:color="auto"/>
          </w:divBdr>
          <w:divsChild>
            <w:div w:id="1525745546">
              <w:marLeft w:val="0"/>
              <w:marRight w:val="0"/>
              <w:marTop w:val="0"/>
              <w:marBottom w:val="0"/>
              <w:divBdr>
                <w:top w:val="none" w:sz="0" w:space="0" w:color="auto"/>
                <w:left w:val="none" w:sz="0" w:space="0" w:color="auto"/>
                <w:bottom w:val="none" w:sz="0" w:space="0" w:color="auto"/>
                <w:right w:val="none" w:sz="0" w:space="0" w:color="auto"/>
              </w:divBdr>
              <w:divsChild>
                <w:div w:id="15257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76">
          <w:marLeft w:val="0"/>
          <w:marRight w:val="0"/>
          <w:marTop w:val="0"/>
          <w:marBottom w:val="0"/>
          <w:divBdr>
            <w:top w:val="none" w:sz="0" w:space="0" w:color="auto"/>
            <w:left w:val="none" w:sz="0" w:space="0" w:color="auto"/>
            <w:bottom w:val="none" w:sz="0" w:space="0" w:color="auto"/>
            <w:right w:val="none" w:sz="0" w:space="0" w:color="auto"/>
          </w:divBdr>
          <w:divsChild>
            <w:div w:id="1525745501">
              <w:marLeft w:val="0"/>
              <w:marRight w:val="0"/>
              <w:marTop w:val="0"/>
              <w:marBottom w:val="0"/>
              <w:divBdr>
                <w:top w:val="none" w:sz="0" w:space="0" w:color="auto"/>
                <w:left w:val="none" w:sz="0" w:space="0" w:color="auto"/>
                <w:bottom w:val="none" w:sz="0" w:space="0" w:color="auto"/>
                <w:right w:val="none" w:sz="0" w:space="0" w:color="auto"/>
              </w:divBdr>
              <w:divsChild>
                <w:div w:id="15257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80">
          <w:marLeft w:val="0"/>
          <w:marRight w:val="0"/>
          <w:marTop w:val="0"/>
          <w:marBottom w:val="0"/>
          <w:divBdr>
            <w:top w:val="none" w:sz="0" w:space="0" w:color="auto"/>
            <w:left w:val="none" w:sz="0" w:space="0" w:color="auto"/>
            <w:bottom w:val="none" w:sz="0" w:space="0" w:color="auto"/>
            <w:right w:val="none" w:sz="0" w:space="0" w:color="auto"/>
          </w:divBdr>
          <w:divsChild>
            <w:div w:id="1525745452">
              <w:marLeft w:val="0"/>
              <w:marRight w:val="0"/>
              <w:marTop w:val="0"/>
              <w:marBottom w:val="0"/>
              <w:divBdr>
                <w:top w:val="none" w:sz="0" w:space="0" w:color="auto"/>
                <w:left w:val="none" w:sz="0" w:space="0" w:color="auto"/>
                <w:bottom w:val="none" w:sz="0" w:space="0" w:color="auto"/>
                <w:right w:val="none" w:sz="0" w:space="0" w:color="auto"/>
              </w:divBdr>
            </w:div>
            <w:div w:id="1525745503">
              <w:marLeft w:val="0"/>
              <w:marRight w:val="0"/>
              <w:marTop w:val="0"/>
              <w:marBottom w:val="0"/>
              <w:divBdr>
                <w:top w:val="none" w:sz="0" w:space="0" w:color="auto"/>
                <w:left w:val="none" w:sz="0" w:space="0" w:color="auto"/>
                <w:bottom w:val="none" w:sz="0" w:space="0" w:color="auto"/>
                <w:right w:val="none" w:sz="0" w:space="0" w:color="auto"/>
              </w:divBdr>
              <w:divsChild>
                <w:div w:id="15257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98">
          <w:marLeft w:val="0"/>
          <w:marRight w:val="0"/>
          <w:marTop w:val="0"/>
          <w:marBottom w:val="0"/>
          <w:divBdr>
            <w:top w:val="none" w:sz="0" w:space="0" w:color="auto"/>
            <w:left w:val="none" w:sz="0" w:space="0" w:color="auto"/>
            <w:bottom w:val="none" w:sz="0" w:space="0" w:color="auto"/>
            <w:right w:val="none" w:sz="0" w:space="0" w:color="auto"/>
          </w:divBdr>
        </w:div>
        <w:div w:id="1525745401">
          <w:marLeft w:val="0"/>
          <w:marRight w:val="0"/>
          <w:marTop w:val="0"/>
          <w:marBottom w:val="0"/>
          <w:divBdr>
            <w:top w:val="none" w:sz="0" w:space="0" w:color="auto"/>
            <w:left w:val="none" w:sz="0" w:space="0" w:color="auto"/>
            <w:bottom w:val="none" w:sz="0" w:space="0" w:color="auto"/>
            <w:right w:val="none" w:sz="0" w:space="0" w:color="auto"/>
          </w:divBdr>
          <w:divsChild>
            <w:div w:id="1525745388">
              <w:marLeft w:val="0"/>
              <w:marRight w:val="0"/>
              <w:marTop w:val="0"/>
              <w:marBottom w:val="0"/>
              <w:divBdr>
                <w:top w:val="none" w:sz="0" w:space="0" w:color="auto"/>
                <w:left w:val="none" w:sz="0" w:space="0" w:color="auto"/>
                <w:bottom w:val="none" w:sz="0" w:space="0" w:color="auto"/>
                <w:right w:val="none" w:sz="0" w:space="0" w:color="auto"/>
              </w:divBdr>
              <w:divsChild>
                <w:div w:id="1525745405">
                  <w:marLeft w:val="0"/>
                  <w:marRight w:val="0"/>
                  <w:marTop w:val="0"/>
                  <w:marBottom w:val="0"/>
                  <w:divBdr>
                    <w:top w:val="none" w:sz="0" w:space="0" w:color="auto"/>
                    <w:left w:val="none" w:sz="0" w:space="0" w:color="auto"/>
                    <w:bottom w:val="none" w:sz="0" w:space="0" w:color="auto"/>
                    <w:right w:val="none" w:sz="0" w:space="0" w:color="auto"/>
                  </w:divBdr>
                  <w:divsChild>
                    <w:div w:id="1525745329">
                      <w:marLeft w:val="0"/>
                      <w:marRight w:val="0"/>
                      <w:marTop w:val="0"/>
                      <w:marBottom w:val="0"/>
                      <w:divBdr>
                        <w:top w:val="none" w:sz="0" w:space="0" w:color="auto"/>
                        <w:left w:val="none" w:sz="0" w:space="0" w:color="auto"/>
                        <w:bottom w:val="none" w:sz="0" w:space="0" w:color="auto"/>
                        <w:right w:val="none" w:sz="0" w:space="0" w:color="auto"/>
                      </w:divBdr>
                    </w:div>
                    <w:div w:id="1525745472">
                      <w:marLeft w:val="0"/>
                      <w:marRight w:val="0"/>
                      <w:marTop w:val="0"/>
                      <w:marBottom w:val="0"/>
                      <w:divBdr>
                        <w:top w:val="none" w:sz="0" w:space="0" w:color="auto"/>
                        <w:left w:val="none" w:sz="0" w:space="0" w:color="auto"/>
                        <w:bottom w:val="none" w:sz="0" w:space="0" w:color="auto"/>
                        <w:right w:val="none" w:sz="0" w:space="0" w:color="auto"/>
                      </w:divBdr>
                      <w:divsChild>
                        <w:div w:id="1525745330">
                          <w:marLeft w:val="0"/>
                          <w:marRight w:val="0"/>
                          <w:marTop w:val="0"/>
                          <w:marBottom w:val="0"/>
                          <w:divBdr>
                            <w:top w:val="none" w:sz="0" w:space="0" w:color="auto"/>
                            <w:left w:val="none" w:sz="0" w:space="0" w:color="auto"/>
                            <w:bottom w:val="none" w:sz="0" w:space="0" w:color="auto"/>
                            <w:right w:val="none" w:sz="0" w:space="0" w:color="auto"/>
                          </w:divBdr>
                        </w:div>
                        <w:div w:id="1525745355">
                          <w:marLeft w:val="0"/>
                          <w:marRight w:val="0"/>
                          <w:marTop w:val="0"/>
                          <w:marBottom w:val="0"/>
                          <w:divBdr>
                            <w:top w:val="none" w:sz="0" w:space="0" w:color="auto"/>
                            <w:left w:val="none" w:sz="0" w:space="0" w:color="auto"/>
                            <w:bottom w:val="none" w:sz="0" w:space="0" w:color="auto"/>
                            <w:right w:val="none" w:sz="0" w:space="0" w:color="auto"/>
                          </w:divBdr>
                        </w:div>
                        <w:div w:id="1525745553">
                          <w:marLeft w:val="0"/>
                          <w:marRight w:val="0"/>
                          <w:marTop w:val="0"/>
                          <w:marBottom w:val="0"/>
                          <w:divBdr>
                            <w:top w:val="none" w:sz="0" w:space="0" w:color="auto"/>
                            <w:left w:val="none" w:sz="0" w:space="0" w:color="auto"/>
                            <w:bottom w:val="none" w:sz="0" w:space="0" w:color="auto"/>
                            <w:right w:val="none" w:sz="0" w:space="0" w:color="auto"/>
                          </w:divBdr>
                        </w:div>
                        <w:div w:id="1525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45402">
          <w:marLeft w:val="0"/>
          <w:marRight w:val="0"/>
          <w:marTop w:val="0"/>
          <w:marBottom w:val="0"/>
          <w:divBdr>
            <w:top w:val="none" w:sz="0" w:space="0" w:color="auto"/>
            <w:left w:val="none" w:sz="0" w:space="0" w:color="auto"/>
            <w:bottom w:val="none" w:sz="0" w:space="0" w:color="auto"/>
            <w:right w:val="none" w:sz="0" w:space="0" w:color="auto"/>
          </w:divBdr>
          <w:divsChild>
            <w:div w:id="1525745340">
              <w:marLeft w:val="0"/>
              <w:marRight w:val="0"/>
              <w:marTop w:val="0"/>
              <w:marBottom w:val="0"/>
              <w:divBdr>
                <w:top w:val="none" w:sz="0" w:space="0" w:color="auto"/>
                <w:left w:val="none" w:sz="0" w:space="0" w:color="auto"/>
                <w:bottom w:val="none" w:sz="0" w:space="0" w:color="auto"/>
                <w:right w:val="none" w:sz="0" w:space="0" w:color="auto"/>
              </w:divBdr>
              <w:divsChild>
                <w:div w:id="15257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27">
          <w:marLeft w:val="0"/>
          <w:marRight w:val="0"/>
          <w:marTop w:val="0"/>
          <w:marBottom w:val="0"/>
          <w:divBdr>
            <w:top w:val="none" w:sz="0" w:space="0" w:color="auto"/>
            <w:left w:val="none" w:sz="0" w:space="0" w:color="auto"/>
            <w:bottom w:val="none" w:sz="0" w:space="0" w:color="auto"/>
            <w:right w:val="none" w:sz="0" w:space="0" w:color="auto"/>
          </w:divBdr>
          <w:divsChild>
            <w:div w:id="1525745500">
              <w:marLeft w:val="0"/>
              <w:marRight w:val="0"/>
              <w:marTop w:val="0"/>
              <w:marBottom w:val="0"/>
              <w:divBdr>
                <w:top w:val="none" w:sz="0" w:space="0" w:color="auto"/>
                <w:left w:val="none" w:sz="0" w:space="0" w:color="auto"/>
                <w:bottom w:val="none" w:sz="0" w:space="0" w:color="auto"/>
                <w:right w:val="none" w:sz="0" w:space="0" w:color="auto"/>
              </w:divBdr>
              <w:divsChild>
                <w:div w:id="15257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42">
          <w:marLeft w:val="0"/>
          <w:marRight w:val="0"/>
          <w:marTop w:val="0"/>
          <w:marBottom w:val="0"/>
          <w:divBdr>
            <w:top w:val="none" w:sz="0" w:space="0" w:color="auto"/>
            <w:left w:val="none" w:sz="0" w:space="0" w:color="auto"/>
            <w:bottom w:val="none" w:sz="0" w:space="0" w:color="auto"/>
            <w:right w:val="none" w:sz="0" w:space="0" w:color="auto"/>
          </w:divBdr>
          <w:divsChild>
            <w:div w:id="1525745349">
              <w:marLeft w:val="0"/>
              <w:marRight w:val="0"/>
              <w:marTop w:val="0"/>
              <w:marBottom w:val="0"/>
              <w:divBdr>
                <w:top w:val="none" w:sz="0" w:space="0" w:color="auto"/>
                <w:left w:val="none" w:sz="0" w:space="0" w:color="auto"/>
                <w:bottom w:val="none" w:sz="0" w:space="0" w:color="auto"/>
                <w:right w:val="none" w:sz="0" w:space="0" w:color="auto"/>
              </w:divBdr>
              <w:divsChild>
                <w:div w:id="15257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46">
          <w:marLeft w:val="0"/>
          <w:marRight w:val="0"/>
          <w:marTop w:val="0"/>
          <w:marBottom w:val="0"/>
          <w:divBdr>
            <w:top w:val="none" w:sz="0" w:space="0" w:color="auto"/>
            <w:left w:val="none" w:sz="0" w:space="0" w:color="auto"/>
            <w:bottom w:val="none" w:sz="0" w:space="0" w:color="auto"/>
            <w:right w:val="none" w:sz="0" w:space="0" w:color="auto"/>
          </w:divBdr>
          <w:divsChild>
            <w:div w:id="1525745445">
              <w:marLeft w:val="0"/>
              <w:marRight w:val="0"/>
              <w:marTop w:val="0"/>
              <w:marBottom w:val="0"/>
              <w:divBdr>
                <w:top w:val="none" w:sz="0" w:space="0" w:color="auto"/>
                <w:left w:val="none" w:sz="0" w:space="0" w:color="auto"/>
                <w:bottom w:val="none" w:sz="0" w:space="0" w:color="auto"/>
                <w:right w:val="none" w:sz="0" w:space="0" w:color="auto"/>
              </w:divBdr>
              <w:divsChild>
                <w:div w:id="15257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50">
          <w:marLeft w:val="0"/>
          <w:marRight w:val="0"/>
          <w:marTop w:val="0"/>
          <w:marBottom w:val="0"/>
          <w:divBdr>
            <w:top w:val="none" w:sz="0" w:space="0" w:color="auto"/>
            <w:left w:val="none" w:sz="0" w:space="0" w:color="auto"/>
            <w:bottom w:val="none" w:sz="0" w:space="0" w:color="auto"/>
            <w:right w:val="none" w:sz="0" w:space="0" w:color="auto"/>
          </w:divBdr>
          <w:divsChild>
            <w:div w:id="1525745426">
              <w:marLeft w:val="0"/>
              <w:marRight w:val="0"/>
              <w:marTop w:val="0"/>
              <w:marBottom w:val="0"/>
              <w:divBdr>
                <w:top w:val="none" w:sz="0" w:space="0" w:color="auto"/>
                <w:left w:val="none" w:sz="0" w:space="0" w:color="auto"/>
                <w:bottom w:val="none" w:sz="0" w:space="0" w:color="auto"/>
                <w:right w:val="none" w:sz="0" w:space="0" w:color="auto"/>
              </w:divBdr>
              <w:divsChild>
                <w:div w:id="15257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51">
          <w:marLeft w:val="0"/>
          <w:marRight w:val="0"/>
          <w:marTop w:val="0"/>
          <w:marBottom w:val="0"/>
          <w:divBdr>
            <w:top w:val="none" w:sz="0" w:space="0" w:color="auto"/>
            <w:left w:val="none" w:sz="0" w:space="0" w:color="auto"/>
            <w:bottom w:val="none" w:sz="0" w:space="0" w:color="auto"/>
            <w:right w:val="none" w:sz="0" w:space="0" w:color="auto"/>
          </w:divBdr>
          <w:divsChild>
            <w:div w:id="1525745578">
              <w:marLeft w:val="0"/>
              <w:marRight w:val="0"/>
              <w:marTop w:val="0"/>
              <w:marBottom w:val="0"/>
              <w:divBdr>
                <w:top w:val="none" w:sz="0" w:space="0" w:color="auto"/>
                <w:left w:val="none" w:sz="0" w:space="0" w:color="auto"/>
                <w:bottom w:val="none" w:sz="0" w:space="0" w:color="auto"/>
                <w:right w:val="none" w:sz="0" w:space="0" w:color="auto"/>
              </w:divBdr>
              <w:divsChild>
                <w:div w:id="15257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53">
          <w:marLeft w:val="0"/>
          <w:marRight w:val="0"/>
          <w:marTop w:val="0"/>
          <w:marBottom w:val="0"/>
          <w:divBdr>
            <w:top w:val="none" w:sz="0" w:space="0" w:color="auto"/>
            <w:left w:val="none" w:sz="0" w:space="0" w:color="auto"/>
            <w:bottom w:val="none" w:sz="0" w:space="0" w:color="auto"/>
            <w:right w:val="none" w:sz="0" w:space="0" w:color="auto"/>
          </w:divBdr>
          <w:divsChild>
            <w:div w:id="1525745433">
              <w:marLeft w:val="0"/>
              <w:marRight w:val="0"/>
              <w:marTop w:val="0"/>
              <w:marBottom w:val="0"/>
              <w:divBdr>
                <w:top w:val="none" w:sz="0" w:space="0" w:color="auto"/>
                <w:left w:val="none" w:sz="0" w:space="0" w:color="auto"/>
                <w:bottom w:val="none" w:sz="0" w:space="0" w:color="auto"/>
                <w:right w:val="none" w:sz="0" w:space="0" w:color="auto"/>
              </w:divBdr>
              <w:divsChild>
                <w:div w:id="1525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71">
          <w:marLeft w:val="0"/>
          <w:marRight w:val="0"/>
          <w:marTop w:val="0"/>
          <w:marBottom w:val="0"/>
          <w:divBdr>
            <w:top w:val="none" w:sz="0" w:space="0" w:color="auto"/>
            <w:left w:val="none" w:sz="0" w:space="0" w:color="auto"/>
            <w:bottom w:val="none" w:sz="0" w:space="0" w:color="auto"/>
            <w:right w:val="none" w:sz="0" w:space="0" w:color="auto"/>
          </w:divBdr>
          <w:divsChild>
            <w:div w:id="1525745357">
              <w:marLeft w:val="0"/>
              <w:marRight w:val="0"/>
              <w:marTop w:val="0"/>
              <w:marBottom w:val="0"/>
              <w:divBdr>
                <w:top w:val="none" w:sz="0" w:space="0" w:color="auto"/>
                <w:left w:val="none" w:sz="0" w:space="0" w:color="auto"/>
                <w:bottom w:val="none" w:sz="0" w:space="0" w:color="auto"/>
                <w:right w:val="none" w:sz="0" w:space="0" w:color="auto"/>
              </w:divBdr>
              <w:divsChild>
                <w:div w:id="1525745456">
                  <w:marLeft w:val="0"/>
                  <w:marRight w:val="0"/>
                  <w:marTop w:val="0"/>
                  <w:marBottom w:val="0"/>
                  <w:divBdr>
                    <w:top w:val="none" w:sz="0" w:space="0" w:color="auto"/>
                    <w:left w:val="none" w:sz="0" w:space="0" w:color="auto"/>
                    <w:bottom w:val="none" w:sz="0" w:space="0" w:color="auto"/>
                    <w:right w:val="none" w:sz="0" w:space="0" w:color="auto"/>
                  </w:divBdr>
                </w:div>
              </w:divsChild>
            </w:div>
            <w:div w:id="1525745540">
              <w:marLeft w:val="0"/>
              <w:marRight w:val="0"/>
              <w:marTop w:val="0"/>
              <w:marBottom w:val="0"/>
              <w:divBdr>
                <w:top w:val="none" w:sz="0" w:space="0" w:color="auto"/>
                <w:left w:val="none" w:sz="0" w:space="0" w:color="auto"/>
                <w:bottom w:val="none" w:sz="0" w:space="0" w:color="auto"/>
                <w:right w:val="none" w:sz="0" w:space="0" w:color="auto"/>
              </w:divBdr>
            </w:div>
          </w:divsChild>
        </w:div>
        <w:div w:id="1525745474">
          <w:marLeft w:val="0"/>
          <w:marRight w:val="0"/>
          <w:marTop w:val="0"/>
          <w:marBottom w:val="0"/>
          <w:divBdr>
            <w:top w:val="none" w:sz="0" w:space="0" w:color="auto"/>
            <w:left w:val="none" w:sz="0" w:space="0" w:color="auto"/>
            <w:bottom w:val="none" w:sz="0" w:space="0" w:color="auto"/>
            <w:right w:val="none" w:sz="0" w:space="0" w:color="auto"/>
          </w:divBdr>
          <w:divsChild>
            <w:div w:id="1525745415">
              <w:marLeft w:val="0"/>
              <w:marRight w:val="0"/>
              <w:marTop w:val="0"/>
              <w:marBottom w:val="0"/>
              <w:divBdr>
                <w:top w:val="none" w:sz="0" w:space="0" w:color="auto"/>
                <w:left w:val="none" w:sz="0" w:space="0" w:color="auto"/>
                <w:bottom w:val="none" w:sz="0" w:space="0" w:color="auto"/>
                <w:right w:val="none" w:sz="0" w:space="0" w:color="auto"/>
              </w:divBdr>
              <w:divsChild>
                <w:div w:id="1525745434">
                  <w:marLeft w:val="0"/>
                  <w:marRight w:val="0"/>
                  <w:marTop w:val="0"/>
                  <w:marBottom w:val="0"/>
                  <w:divBdr>
                    <w:top w:val="none" w:sz="0" w:space="0" w:color="auto"/>
                    <w:left w:val="none" w:sz="0" w:space="0" w:color="auto"/>
                    <w:bottom w:val="none" w:sz="0" w:space="0" w:color="auto"/>
                    <w:right w:val="none" w:sz="0" w:space="0" w:color="auto"/>
                  </w:divBdr>
                </w:div>
              </w:divsChild>
            </w:div>
            <w:div w:id="1525745485">
              <w:marLeft w:val="0"/>
              <w:marRight w:val="0"/>
              <w:marTop w:val="0"/>
              <w:marBottom w:val="0"/>
              <w:divBdr>
                <w:top w:val="none" w:sz="0" w:space="0" w:color="auto"/>
                <w:left w:val="none" w:sz="0" w:space="0" w:color="auto"/>
                <w:bottom w:val="none" w:sz="0" w:space="0" w:color="auto"/>
                <w:right w:val="none" w:sz="0" w:space="0" w:color="auto"/>
              </w:divBdr>
            </w:div>
          </w:divsChild>
        </w:div>
        <w:div w:id="1525745475">
          <w:marLeft w:val="0"/>
          <w:marRight w:val="0"/>
          <w:marTop w:val="0"/>
          <w:marBottom w:val="0"/>
          <w:divBdr>
            <w:top w:val="none" w:sz="0" w:space="0" w:color="auto"/>
            <w:left w:val="none" w:sz="0" w:space="0" w:color="auto"/>
            <w:bottom w:val="none" w:sz="0" w:space="0" w:color="auto"/>
            <w:right w:val="none" w:sz="0" w:space="0" w:color="auto"/>
          </w:divBdr>
          <w:divsChild>
            <w:div w:id="1525745391">
              <w:marLeft w:val="0"/>
              <w:marRight w:val="0"/>
              <w:marTop w:val="0"/>
              <w:marBottom w:val="0"/>
              <w:divBdr>
                <w:top w:val="none" w:sz="0" w:space="0" w:color="auto"/>
                <w:left w:val="none" w:sz="0" w:space="0" w:color="auto"/>
                <w:bottom w:val="none" w:sz="0" w:space="0" w:color="auto"/>
                <w:right w:val="none" w:sz="0" w:space="0" w:color="auto"/>
              </w:divBdr>
              <w:divsChild>
                <w:div w:id="1525745575">
                  <w:marLeft w:val="0"/>
                  <w:marRight w:val="0"/>
                  <w:marTop w:val="0"/>
                  <w:marBottom w:val="0"/>
                  <w:divBdr>
                    <w:top w:val="none" w:sz="0" w:space="0" w:color="auto"/>
                    <w:left w:val="none" w:sz="0" w:space="0" w:color="auto"/>
                    <w:bottom w:val="none" w:sz="0" w:space="0" w:color="auto"/>
                    <w:right w:val="none" w:sz="0" w:space="0" w:color="auto"/>
                  </w:divBdr>
                  <w:divsChild>
                    <w:div w:id="1525745378">
                      <w:marLeft w:val="0"/>
                      <w:marRight w:val="0"/>
                      <w:marTop w:val="0"/>
                      <w:marBottom w:val="0"/>
                      <w:divBdr>
                        <w:top w:val="none" w:sz="0" w:space="0" w:color="auto"/>
                        <w:left w:val="none" w:sz="0" w:space="0" w:color="auto"/>
                        <w:bottom w:val="none" w:sz="0" w:space="0" w:color="auto"/>
                        <w:right w:val="none" w:sz="0" w:space="0" w:color="auto"/>
                      </w:divBdr>
                    </w:div>
                    <w:div w:id="1525745384">
                      <w:marLeft w:val="0"/>
                      <w:marRight w:val="0"/>
                      <w:marTop w:val="0"/>
                      <w:marBottom w:val="0"/>
                      <w:divBdr>
                        <w:top w:val="none" w:sz="0" w:space="0" w:color="auto"/>
                        <w:left w:val="none" w:sz="0" w:space="0" w:color="auto"/>
                        <w:bottom w:val="none" w:sz="0" w:space="0" w:color="auto"/>
                        <w:right w:val="none" w:sz="0" w:space="0" w:color="auto"/>
                      </w:divBdr>
                    </w:div>
                    <w:div w:id="1525745399">
                      <w:marLeft w:val="0"/>
                      <w:marRight w:val="0"/>
                      <w:marTop w:val="0"/>
                      <w:marBottom w:val="0"/>
                      <w:divBdr>
                        <w:top w:val="none" w:sz="0" w:space="0" w:color="auto"/>
                        <w:left w:val="none" w:sz="0" w:space="0" w:color="auto"/>
                        <w:bottom w:val="none" w:sz="0" w:space="0" w:color="auto"/>
                        <w:right w:val="none" w:sz="0" w:space="0" w:color="auto"/>
                      </w:divBdr>
                    </w:div>
                    <w:div w:id="15257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483">
          <w:marLeft w:val="0"/>
          <w:marRight w:val="0"/>
          <w:marTop w:val="0"/>
          <w:marBottom w:val="0"/>
          <w:divBdr>
            <w:top w:val="none" w:sz="0" w:space="0" w:color="auto"/>
            <w:left w:val="none" w:sz="0" w:space="0" w:color="auto"/>
            <w:bottom w:val="none" w:sz="0" w:space="0" w:color="auto"/>
            <w:right w:val="none" w:sz="0" w:space="0" w:color="auto"/>
          </w:divBdr>
          <w:divsChild>
            <w:div w:id="1525745449">
              <w:marLeft w:val="0"/>
              <w:marRight w:val="0"/>
              <w:marTop w:val="0"/>
              <w:marBottom w:val="0"/>
              <w:divBdr>
                <w:top w:val="none" w:sz="0" w:space="0" w:color="auto"/>
                <w:left w:val="none" w:sz="0" w:space="0" w:color="auto"/>
                <w:bottom w:val="none" w:sz="0" w:space="0" w:color="auto"/>
                <w:right w:val="none" w:sz="0" w:space="0" w:color="auto"/>
              </w:divBdr>
              <w:divsChild>
                <w:div w:id="1525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14">
          <w:marLeft w:val="0"/>
          <w:marRight w:val="0"/>
          <w:marTop w:val="0"/>
          <w:marBottom w:val="0"/>
          <w:divBdr>
            <w:top w:val="none" w:sz="0" w:space="0" w:color="auto"/>
            <w:left w:val="none" w:sz="0" w:space="0" w:color="auto"/>
            <w:bottom w:val="none" w:sz="0" w:space="0" w:color="auto"/>
            <w:right w:val="none" w:sz="0" w:space="0" w:color="auto"/>
          </w:divBdr>
          <w:divsChild>
            <w:div w:id="1525745488">
              <w:marLeft w:val="0"/>
              <w:marRight w:val="0"/>
              <w:marTop w:val="0"/>
              <w:marBottom w:val="0"/>
              <w:divBdr>
                <w:top w:val="none" w:sz="0" w:space="0" w:color="auto"/>
                <w:left w:val="none" w:sz="0" w:space="0" w:color="auto"/>
                <w:bottom w:val="none" w:sz="0" w:space="0" w:color="auto"/>
                <w:right w:val="none" w:sz="0" w:space="0" w:color="auto"/>
              </w:divBdr>
              <w:divsChild>
                <w:div w:id="1525745608">
                  <w:marLeft w:val="0"/>
                  <w:marRight w:val="0"/>
                  <w:marTop w:val="0"/>
                  <w:marBottom w:val="0"/>
                  <w:divBdr>
                    <w:top w:val="none" w:sz="0" w:space="0" w:color="auto"/>
                    <w:left w:val="none" w:sz="0" w:space="0" w:color="auto"/>
                    <w:bottom w:val="none" w:sz="0" w:space="0" w:color="auto"/>
                    <w:right w:val="none" w:sz="0" w:space="0" w:color="auto"/>
                  </w:divBdr>
                </w:div>
              </w:divsChild>
            </w:div>
            <w:div w:id="1525745607">
              <w:marLeft w:val="0"/>
              <w:marRight w:val="0"/>
              <w:marTop w:val="0"/>
              <w:marBottom w:val="0"/>
              <w:divBdr>
                <w:top w:val="none" w:sz="0" w:space="0" w:color="auto"/>
                <w:left w:val="none" w:sz="0" w:space="0" w:color="auto"/>
                <w:bottom w:val="none" w:sz="0" w:space="0" w:color="auto"/>
                <w:right w:val="none" w:sz="0" w:space="0" w:color="auto"/>
              </w:divBdr>
            </w:div>
          </w:divsChild>
        </w:div>
        <w:div w:id="1525745516">
          <w:marLeft w:val="0"/>
          <w:marRight w:val="0"/>
          <w:marTop w:val="0"/>
          <w:marBottom w:val="0"/>
          <w:divBdr>
            <w:top w:val="none" w:sz="0" w:space="0" w:color="auto"/>
            <w:left w:val="none" w:sz="0" w:space="0" w:color="auto"/>
            <w:bottom w:val="none" w:sz="0" w:space="0" w:color="auto"/>
            <w:right w:val="none" w:sz="0" w:space="0" w:color="auto"/>
          </w:divBdr>
          <w:divsChild>
            <w:div w:id="1525745331">
              <w:marLeft w:val="0"/>
              <w:marRight w:val="0"/>
              <w:marTop w:val="0"/>
              <w:marBottom w:val="0"/>
              <w:divBdr>
                <w:top w:val="none" w:sz="0" w:space="0" w:color="auto"/>
                <w:left w:val="none" w:sz="0" w:space="0" w:color="auto"/>
                <w:bottom w:val="none" w:sz="0" w:space="0" w:color="auto"/>
                <w:right w:val="none" w:sz="0" w:space="0" w:color="auto"/>
              </w:divBdr>
              <w:divsChild>
                <w:div w:id="15257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17">
          <w:marLeft w:val="0"/>
          <w:marRight w:val="0"/>
          <w:marTop w:val="0"/>
          <w:marBottom w:val="0"/>
          <w:divBdr>
            <w:top w:val="none" w:sz="0" w:space="0" w:color="auto"/>
            <w:left w:val="none" w:sz="0" w:space="0" w:color="auto"/>
            <w:bottom w:val="none" w:sz="0" w:space="0" w:color="auto"/>
            <w:right w:val="none" w:sz="0" w:space="0" w:color="auto"/>
          </w:divBdr>
        </w:div>
        <w:div w:id="1525745520">
          <w:marLeft w:val="0"/>
          <w:marRight w:val="0"/>
          <w:marTop w:val="0"/>
          <w:marBottom w:val="0"/>
          <w:divBdr>
            <w:top w:val="none" w:sz="0" w:space="0" w:color="auto"/>
            <w:left w:val="none" w:sz="0" w:space="0" w:color="auto"/>
            <w:bottom w:val="none" w:sz="0" w:space="0" w:color="auto"/>
            <w:right w:val="none" w:sz="0" w:space="0" w:color="auto"/>
          </w:divBdr>
          <w:divsChild>
            <w:div w:id="1525745430">
              <w:marLeft w:val="0"/>
              <w:marRight w:val="0"/>
              <w:marTop w:val="0"/>
              <w:marBottom w:val="0"/>
              <w:divBdr>
                <w:top w:val="none" w:sz="0" w:space="0" w:color="auto"/>
                <w:left w:val="none" w:sz="0" w:space="0" w:color="auto"/>
                <w:bottom w:val="none" w:sz="0" w:space="0" w:color="auto"/>
                <w:right w:val="none" w:sz="0" w:space="0" w:color="auto"/>
              </w:divBdr>
              <w:divsChild>
                <w:div w:id="1525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32">
          <w:marLeft w:val="0"/>
          <w:marRight w:val="0"/>
          <w:marTop w:val="0"/>
          <w:marBottom w:val="0"/>
          <w:divBdr>
            <w:top w:val="none" w:sz="0" w:space="0" w:color="auto"/>
            <w:left w:val="none" w:sz="0" w:space="0" w:color="auto"/>
            <w:bottom w:val="none" w:sz="0" w:space="0" w:color="auto"/>
            <w:right w:val="none" w:sz="0" w:space="0" w:color="auto"/>
          </w:divBdr>
          <w:divsChild>
            <w:div w:id="1525745438">
              <w:marLeft w:val="0"/>
              <w:marRight w:val="0"/>
              <w:marTop w:val="0"/>
              <w:marBottom w:val="0"/>
              <w:divBdr>
                <w:top w:val="none" w:sz="0" w:space="0" w:color="auto"/>
                <w:left w:val="none" w:sz="0" w:space="0" w:color="auto"/>
                <w:bottom w:val="none" w:sz="0" w:space="0" w:color="auto"/>
                <w:right w:val="none" w:sz="0" w:space="0" w:color="auto"/>
              </w:divBdr>
              <w:divsChild>
                <w:div w:id="1525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37">
          <w:marLeft w:val="0"/>
          <w:marRight w:val="0"/>
          <w:marTop w:val="0"/>
          <w:marBottom w:val="0"/>
          <w:divBdr>
            <w:top w:val="none" w:sz="0" w:space="0" w:color="auto"/>
            <w:left w:val="none" w:sz="0" w:space="0" w:color="auto"/>
            <w:bottom w:val="none" w:sz="0" w:space="0" w:color="auto"/>
            <w:right w:val="none" w:sz="0" w:space="0" w:color="auto"/>
          </w:divBdr>
        </w:div>
        <w:div w:id="1525745543">
          <w:marLeft w:val="0"/>
          <w:marRight w:val="0"/>
          <w:marTop w:val="0"/>
          <w:marBottom w:val="0"/>
          <w:divBdr>
            <w:top w:val="none" w:sz="0" w:space="0" w:color="auto"/>
            <w:left w:val="none" w:sz="0" w:space="0" w:color="auto"/>
            <w:bottom w:val="none" w:sz="0" w:space="0" w:color="auto"/>
            <w:right w:val="none" w:sz="0" w:space="0" w:color="auto"/>
          </w:divBdr>
          <w:divsChild>
            <w:div w:id="1525745593">
              <w:marLeft w:val="0"/>
              <w:marRight w:val="0"/>
              <w:marTop w:val="0"/>
              <w:marBottom w:val="0"/>
              <w:divBdr>
                <w:top w:val="none" w:sz="0" w:space="0" w:color="auto"/>
                <w:left w:val="none" w:sz="0" w:space="0" w:color="auto"/>
                <w:bottom w:val="none" w:sz="0" w:space="0" w:color="auto"/>
                <w:right w:val="none" w:sz="0" w:space="0" w:color="auto"/>
              </w:divBdr>
              <w:divsChild>
                <w:div w:id="15257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51">
          <w:marLeft w:val="0"/>
          <w:marRight w:val="0"/>
          <w:marTop w:val="0"/>
          <w:marBottom w:val="0"/>
          <w:divBdr>
            <w:top w:val="none" w:sz="0" w:space="0" w:color="auto"/>
            <w:left w:val="none" w:sz="0" w:space="0" w:color="auto"/>
            <w:bottom w:val="none" w:sz="0" w:space="0" w:color="auto"/>
            <w:right w:val="none" w:sz="0" w:space="0" w:color="auto"/>
          </w:divBdr>
          <w:divsChild>
            <w:div w:id="1525745404">
              <w:marLeft w:val="0"/>
              <w:marRight w:val="0"/>
              <w:marTop w:val="0"/>
              <w:marBottom w:val="0"/>
              <w:divBdr>
                <w:top w:val="none" w:sz="0" w:space="0" w:color="auto"/>
                <w:left w:val="none" w:sz="0" w:space="0" w:color="auto"/>
                <w:bottom w:val="none" w:sz="0" w:space="0" w:color="auto"/>
                <w:right w:val="none" w:sz="0" w:space="0" w:color="auto"/>
              </w:divBdr>
              <w:divsChild>
                <w:div w:id="1525745611">
                  <w:marLeft w:val="0"/>
                  <w:marRight w:val="0"/>
                  <w:marTop w:val="0"/>
                  <w:marBottom w:val="0"/>
                  <w:divBdr>
                    <w:top w:val="none" w:sz="0" w:space="0" w:color="auto"/>
                    <w:left w:val="none" w:sz="0" w:space="0" w:color="auto"/>
                    <w:bottom w:val="none" w:sz="0" w:space="0" w:color="auto"/>
                    <w:right w:val="none" w:sz="0" w:space="0" w:color="auto"/>
                  </w:divBdr>
                  <w:divsChild>
                    <w:div w:id="1525745569">
                      <w:marLeft w:val="0"/>
                      <w:marRight w:val="0"/>
                      <w:marTop w:val="0"/>
                      <w:marBottom w:val="0"/>
                      <w:divBdr>
                        <w:top w:val="none" w:sz="0" w:space="0" w:color="auto"/>
                        <w:left w:val="none" w:sz="0" w:space="0" w:color="auto"/>
                        <w:bottom w:val="none" w:sz="0" w:space="0" w:color="auto"/>
                        <w:right w:val="none" w:sz="0" w:space="0" w:color="auto"/>
                      </w:divBdr>
                      <w:divsChild>
                        <w:div w:id="1525745561">
                          <w:marLeft w:val="0"/>
                          <w:marRight w:val="0"/>
                          <w:marTop w:val="0"/>
                          <w:marBottom w:val="0"/>
                          <w:divBdr>
                            <w:top w:val="none" w:sz="0" w:space="0" w:color="auto"/>
                            <w:left w:val="none" w:sz="0" w:space="0" w:color="auto"/>
                            <w:bottom w:val="none" w:sz="0" w:space="0" w:color="auto"/>
                            <w:right w:val="none" w:sz="0" w:space="0" w:color="auto"/>
                          </w:divBdr>
                          <w:divsChild>
                            <w:div w:id="15257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45557">
          <w:marLeft w:val="0"/>
          <w:marRight w:val="0"/>
          <w:marTop w:val="0"/>
          <w:marBottom w:val="0"/>
          <w:divBdr>
            <w:top w:val="none" w:sz="0" w:space="0" w:color="auto"/>
            <w:left w:val="none" w:sz="0" w:space="0" w:color="auto"/>
            <w:bottom w:val="none" w:sz="0" w:space="0" w:color="auto"/>
            <w:right w:val="none" w:sz="0" w:space="0" w:color="auto"/>
          </w:divBdr>
          <w:divsChild>
            <w:div w:id="1525745550">
              <w:marLeft w:val="0"/>
              <w:marRight w:val="0"/>
              <w:marTop w:val="0"/>
              <w:marBottom w:val="0"/>
              <w:divBdr>
                <w:top w:val="none" w:sz="0" w:space="0" w:color="auto"/>
                <w:left w:val="none" w:sz="0" w:space="0" w:color="auto"/>
                <w:bottom w:val="none" w:sz="0" w:space="0" w:color="auto"/>
                <w:right w:val="none" w:sz="0" w:space="0" w:color="auto"/>
              </w:divBdr>
            </w:div>
            <w:div w:id="1525745590">
              <w:marLeft w:val="0"/>
              <w:marRight w:val="0"/>
              <w:marTop w:val="0"/>
              <w:marBottom w:val="0"/>
              <w:divBdr>
                <w:top w:val="none" w:sz="0" w:space="0" w:color="auto"/>
                <w:left w:val="none" w:sz="0" w:space="0" w:color="auto"/>
                <w:bottom w:val="none" w:sz="0" w:space="0" w:color="auto"/>
                <w:right w:val="none" w:sz="0" w:space="0" w:color="auto"/>
              </w:divBdr>
              <w:divsChild>
                <w:div w:id="1525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66">
          <w:marLeft w:val="0"/>
          <w:marRight w:val="0"/>
          <w:marTop w:val="0"/>
          <w:marBottom w:val="0"/>
          <w:divBdr>
            <w:top w:val="none" w:sz="0" w:space="0" w:color="auto"/>
            <w:left w:val="none" w:sz="0" w:space="0" w:color="auto"/>
            <w:bottom w:val="none" w:sz="0" w:space="0" w:color="auto"/>
            <w:right w:val="none" w:sz="0" w:space="0" w:color="auto"/>
          </w:divBdr>
          <w:divsChild>
            <w:div w:id="1525745594">
              <w:marLeft w:val="0"/>
              <w:marRight w:val="0"/>
              <w:marTop w:val="0"/>
              <w:marBottom w:val="0"/>
              <w:divBdr>
                <w:top w:val="none" w:sz="0" w:space="0" w:color="auto"/>
                <w:left w:val="none" w:sz="0" w:space="0" w:color="auto"/>
                <w:bottom w:val="none" w:sz="0" w:space="0" w:color="auto"/>
                <w:right w:val="none" w:sz="0" w:space="0" w:color="auto"/>
              </w:divBdr>
              <w:divsChild>
                <w:div w:id="15257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77">
          <w:marLeft w:val="0"/>
          <w:marRight w:val="0"/>
          <w:marTop w:val="0"/>
          <w:marBottom w:val="0"/>
          <w:divBdr>
            <w:top w:val="none" w:sz="0" w:space="0" w:color="auto"/>
            <w:left w:val="none" w:sz="0" w:space="0" w:color="auto"/>
            <w:bottom w:val="none" w:sz="0" w:space="0" w:color="auto"/>
            <w:right w:val="none" w:sz="0" w:space="0" w:color="auto"/>
          </w:divBdr>
          <w:divsChild>
            <w:div w:id="1525745563">
              <w:marLeft w:val="0"/>
              <w:marRight w:val="0"/>
              <w:marTop w:val="0"/>
              <w:marBottom w:val="0"/>
              <w:divBdr>
                <w:top w:val="none" w:sz="0" w:space="0" w:color="auto"/>
                <w:left w:val="none" w:sz="0" w:space="0" w:color="auto"/>
                <w:bottom w:val="none" w:sz="0" w:space="0" w:color="auto"/>
                <w:right w:val="none" w:sz="0" w:space="0" w:color="auto"/>
              </w:divBdr>
              <w:divsChild>
                <w:div w:id="1525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88">
          <w:marLeft w:val="0"/>
          <w:marRight w:val="0"/>
          <w:marTop w:val="0"/>
          <w:marBottom w:val="0"/>
          <w:divBdr>
            <w:top w:val="none" w:sz="0" w:space="0" w:color="auto"/>
            <w:left w:val="none" w:sz="0" w:space="0" w:color="auto"/>
            <w:bottom w:val="none" w:sz="0" w:space="0" w:color="auto"/>
            <w:right w:val="none" w:sz="0" w:space="0" w:color="auto"/>
          </w:divBdr>
        </w:div>
        <w:div w:id="1525745589">
          <w:marLeft w:val="0"/>
          <w:marRight w:val="0"/>
          <w:marTop w:val="0"/>
          <w:marBottom w:val="0"/>
          <w:divBdr>
            <w:top w:val="none" w:sz="0" w:space="0" w:color="auto"/>
            <w:left w:val="none" w:sz="0" w:space="0" w:color="auto"/>
            <w:bottom w:val="none" w:sz="0" w:space="0" w:color="auto"/>
            <w:right w:val="none" w:sz="0" w:space="0" w:color="auto"/>
          </w:divBdr>
          <w:divsChild>
            <w:div w:id="1525745325">
              <w:marLeft w:val="0"/>
              <w:marRight w:val="0"/>
              <w:marTop w:val="0"/>
              <w:marBottom w:val="0"/>
              <w:divBdr>
                <w:top w:val="none" w:sz="0" w:space="0" w:color="auto"/>
                <w:left w:val="none" w:sz="0" w:space="0" w:color="auto"/>
                <w:bottom w:val="none" w:sz="0" w:space="0" w:color="auto"/>
                <w:right w:val="none" w:sz="0" w:space="0" w:color="auto"/>
              </w:divBdr>
            </w:div>
          </w:divsChild>
        </w:div>
        <w:div w:id="1525745592">
          <w:marLeft w:val="0"/>
          <w:marRight w:val="0"/>
          <w:marTop w:val="0"/>
          <w:marBottom w:val="0"/>
          <w:divBdr>
            <w:top w:val="none" w:sz="0" w:space="0" w:color="auto"/>
            <w:left w:val="none" w:sz="0" w:space="0" w:color="auto"/>
            <w:bottom w:val="none" w:sz="0" w:space="0" w:color="auto"/>
            <w:right w:val="none" w:sz="0" w:space="0" w:color="auto"/>
          </w:divBdr>
        </w:div>
        <w:div w:id="1525745605">
          <w:marLeft w:val="0"/>
          <w:marRight w:val="0"/>
          <w:marTop w:val="0"/>
          <w:marBottom w:val="0"/>
          <w:divBdr>
            <w:top w:val="none" w:sz="0" w:space="0" w:color="auto"/>
            <w:left w:val="none" w:sz="0" w:space="0" w:color="auto"/>
            <w:bottom w:val="none" w:sz="0" w:space="0" w:color="auto"/>
            <w:right w:val="none" w:sz="0" w:space="0" w:color="auto"/>
          </w:divBdr>
          <w:divsChild>
            <w:div w:id="1525745461">
              <w:marLeft w:val="0"/>
              <w:marRight w:val="0"/>
              <w:marTop w:val="0"/>
              <w:marBottom w:val="0"/>
              <w:divBdr>
                <w:top w:val="none" w:sz="0" w:space="0" w:color="auto"/>
                <w:left w:val="none" w:sz="0" w:space="0" w:color="auto"/>
                <w:bottom w:val="none" w:sz="0" w:space="0" w:color="auto"/>
                <w:right w:val="none" w:sz="0" w:space="0" w:color="auto"/>
              </w:divBdr>
              <w:divsChild>
                <w:div w:id="15257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610">
          <w:marLeft w:val="0"/>
          <w:marRight w:val="0"/>
          <w:marTop w:val="0"/>
          <w:marBottom w:val="0"/>
          <w:divBdr>
            <w:top w:val="none" w:sz="0" w:space="0" w:color="auto"/>
            <w:left w:val="none" w:sz="0" w:space="0" w:color="auto"/>
            <w:bottom w:val="none" w:sz="0" w:space="0" w:color="auto"/>
            <w:right w:val="none" w:sz="0" w:space="0" w:color="auto"/>
          </w:divBdr>
          <w:divsChild>
            <w:div w:id="1525745509">
              <w:marLeft w:val="0"/>
              <w:marRight w:val="0"/>
              <w:marTop w:val="0"/>
              <w:marBottom w:val="0"/>
              <w:divBdr>
                <w:top w:val="none" w:sz="0" w:space="0" w:color="auto"/>
                <w:left w:val="none" w:sz="0" w:space="0" w:color="auto"/>
                <w:bottom w:val="none" w:sz="0" w:space="0" w:color="auto"/>
                <w:right w:val="none" w:sz="0" w:space="0" w:color="auto"/>
              </w:divBdr>
              <w:divsChild>
                <w:div w:id="1525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328">
      <w:marLeft w:val="0"/>
      <w:marRight w:val="0"/>
      <w:marTop w:val="0"/>
      <w:marBottom w:val="0"/>
      <w:divBdr>
        <w:top w:val="none" w:sz="0" w:space="0" w:color="auto"/>
        <w:left w:val="none" w:sz="0" w:space="0" w:color="auto"/>
        <w:bottom w:val="none" w:sz="0" w:space="0" w:color="auto"/>
        <w:right w:val="none" w:sz="0" w:space="0" w:color="auto"/>
      </w:divBdr>
      <w:divsChild>
        <w:div w:id="1525745312">
          <w:marLeft w:val="0"/>
          <w:marRight w:val="0"/>
          <w:marTop w:val="0"/>
          <w:marBottom w:val="0"/>
          <w:divBdr>
            <w:top w:val="none" w:sz="0" w:space="0" w:color="auto"/>
            <w:left w:val="none" w:sz="0" w:space="0" w:color="auto"/>
            <w:bottom w:val="none" w:sz="0" w:space="0" w:color="auto"/>
            <w:right w:val="none" w:sz="0" w:space="0" w:color="auto"/>
          </w:divBdr>
          <w:divsChild>
            <w:div w:id="1525745506">
              <w:marLeft w:val="0"/>
              <w:marRight w:val="0"/>
              <w:marTop w:val="0"/>
              <w:marBottom w:val="0"/>
              <w:divBdr>
                <w:top w:val="none" w:sz="0" w:space="0" w:color="auto"/>
                <w:left w:val="none" w:sz="0" w:space="0" w:color="auto"/>
                <w:bottom w:val="none" w:sz="0" w:space="0" w:color="auto"/>
                <w:right w:val="none" w:sz="0" w:space="0" w:color="auto"/>
              </w:divBdr>
              <w:divsChild>
                <w:div w:id="1525745412">
                  <w:marLeft w:val="0"/>
                  <w:marRight w:val="0"/>
                  <w:marTop w:val="0"/>
                  <w:marBottom w:val="0"/>
                  <w:divBdr>
                    <w:top w:val="none" w:sz="0" w:space="0" w:color="auto"/>
                    <w:left w:val="none" w:sz="0" w:space="0" w:color="auto"/>
                    <w:bottom w:val="none" w:sz="0" w:space="0" w:color="auto"/>
                    <w:right w:val="none" w:sz="0" w:space="0" w:color="auto"/>
                  </w:divBdr>
                </w:div>
              </w:divsChild>
            </w:div>
            <w:div w:id="1525745601">
              <w:marLeft w:val="0"/>
              <w:marRight w:val="0"/>
              <w:marTop w:val="0"/>
              <w:marBottom w:val="0"/>
              <w:divBdr>
                <w:top w:val="none" w:sz="0" w:space="0" w:color="auto"/>
                <w:left w:val="none" w:sz="0" w:space="0" w:color="auto"/>
                <w:bottom w:val="none" w:sz="0" w:space="0" w:color="auto"/>
                <w:right w:val="none" w:sz="0" w:space="0" w:color="auto"/>
              </w:divBdr>
            </w:div>
          </w:divsChild>
        </w:div>
        <w:div w:id="1525745320">
          <w:marLeft w:val="0"/>
          <w:marRight w:val="0"/>
          <w:marTop w:val="0"/>
          <w:marBottom w:val="0"/>
          <w:divBdr>
            <w:top w:val="none" w:sz="0" w:space="0" w:color="auto"/>
            <w:left w:val="none" w:sz="0" w:space="0" w:color="auto"/>
            <w:bottom w:val="none" w:sz="0" w:space="0" w:color="auto"/>
            <w:right w:val="none" w:sz="0" w:space="0" w:color="auto"/>
          </w:divBdr>
          <w:divsChild>
            <w:div w:id="1525745552">
              <w:marLeft w:val="0"/>
              <w:marRight w:val="0"/>
              <w:marTop w:val="0"/>
              <w:marBottom w:val="0"/>
              <w:divBdr>
                <w:top w:val="none" w:sz="0" w:space="0" w:color="auto"/>
                <w:left w:val="none" w:sz="0" w:space="0" w:color="auto"/>
                <w:bottom w:val="none" w:sz="0" w:space="0" w:color="auto"/>
                <w:right w:val="none" w:sz="0" w:space="0" w:color="auto"/>
              </w:divBdr>
              <w:divsChild>
                <w:div w:id="15257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21">
          <w:marLeft w:val="0"/>
          <w:marRight w:val="0"/>
          <w:marTop w:val="0"/>
          <w:marBottom w:val="0"/>
          <w:divBdr>
            <w:top w:val="none" w:sz="0" w:space="0" w:color="auto"/>
            <w:left w:val="none" w:sz="0" w:space="0" w:color="auto"/>
            <w:bottom w:val="none" w:sz="0" w:space="0" w:color="auto"/>
            <w:right w:val="none" w:sz="0" w:space="0" w:color="auto"/>
          </w:divBdr>
          <w:divsChild>
            <w:div w:id="1525745519">
              <w:marLeft w:val="0"/>
              <w:marRight w:val="0"/>
              <w:marTop w:val="0"/>
              <w:marBottom w:val="0"/>
              <w:divBdr>
                <w:top w:val="none" w:sz="0" w:space="0" w:color="auto"/>
                <w:left w:val="none" w:sz="0" w:space="0" w:color="auto"/>
                <w:bottom w:val="none" w:sz="0" w:space="0" w:color="auto"/>
                <w:right w:val="none" w:sz="0" w:space="0" w:color="auto"/>
              </w:divBdr>
              <w:divsChild>
                <w:div w:id="1525745318">
                  <w:marLeft w:val="0"/>
                  <w:marRight w:val="0"/>
                  <w:marTop w:val="0"/>
                  <w:marBottom w:val="0"/>
                  <w:divBdr>
                    <w:top w:val="none" w:sz="0" w:space="0" w:color="auto"/>
                    <w:left w:val="none" w:sz="0" w:space="0" w:color="auto"/>
                    <w:bottom w:val="none" w:sz="0" w:space="0" w:color="auto"/>
                    <w:right w:val="none" w:sz="0" w:space="0" w:color="auto"/>
                  </w:divBdr>
                </w:div>
              </w:divsChild>
            </w:div>
            <w:div w:id="1525745591">
              <w:marLeft w:val="0"/>
              <w:marRight w:val="0"/>
              <w:marTop w:val="0"/>
              <w:marBottom w:val="0"/>
              <w:divBdr>
                <w:top w:val="none" w:sz="0" w:space="0" w:color="auto"/>
                <w:left w:val="none" w:sz="0" w:space="0" w:color="auto"/>
                <w:bottom w:val="none" w:sz="0" w:space="0" w:color="auto"/>
                <w:right w:val="none" w:sz="0" w:space="0" w:color="auto"/>
              </w:divBdr>
            </w:div>
          </w:divsChild>
        </w:div>
        <w:div w:id="1525745327">
          <w:marLeft w:val="0"/>
          <w:marRight w:val="0"/>
          <w:marTop w:val="0"/>
          <w:marBottom w:val="0"/>
          <w:divBdr>
            <w:top w:val="none" w:sz="0" w:space="0" w:color="auto"/>
            <w:left w:val="none" w:sz="0" w:space="0" w:color="auto"/>
            <w:bottom w:val="none" w:sz="0" w:space="0" w:color="auto"/>
            <w:right w:val="none" w:sz="0" w:space="0" w:color="auto"/>
          </w:divBdr>
        </w:div>
        <w:div w:id="1525745335">
          <w:marLeft w:val="0"/>
          <w:marRight w:val="0"/>
          <w:marTop w:val="0"/>
          <w:marBottom w:val="0"/>
          <w:divBdr>
            <w:top w:val="none" w:sz="0" w:space="0" w:color="auto"/>
            <w:left w:val="none" w:sz="0" w:space="0" w:color="auto"/>
            <w:bottom w:val="none" w:sz="0" w:space="0" w:color="auto"/>
            <w:right w:val="none" w:sz="0" w:space="0" w:color="auto"/>
          </w:divBdr>
          <w:divsChild>
            <w:div w:id="1525745581">
              <w:marLeft w:val="0"/>
              <w:marRight w:val="0"/>
              <w:marTop w:val="0"/>
              <w:marBottom w:val="0"/>
              <w:divBdr>
                <w:top w:val="none" w:sz="0" w:space="0" w:color="auto"/>
                <w:left w:val="none" w:sz="0" w:space="0" w:color="auto"/>
                <w:bottom w:val="none" w:sz="0" w:space="0" w:color="auto"/>
                <w:right w:val="none" w:sz="0" w:space="0" w:color="auto"/>
              </w:divBdr>
              <w:divsChild>
                <w:div w:id="1525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54">
          <w:marLeft w:val="0"/>
          <w:marRight w:val="0"/>
          <w:marTop w:val="0"/>
          <w:marBottom w:val="0"/>
          <w:divBdr>
            <w:top w:val="none" w:sz="0" w:space="0" w:color="auto"/>
            <w:left w:val="none" w:sz="0" w:space="0" w:color="auto"/>
            <w:bottom w:val="none" w:sz="0" w:space="0" w:color="auto"/>
            <w:right w:val="none" w:sz="0" w:space="0" w:color="auto"/>
          </w:divBdr>
          <w:divsChild>
            <w:div w:id="1525745339">
              <w:marLeft w:val="0"/>
              <w:marRight w:val="0"/>
              <w:marTop w:val="0"/>
              <w:marBottom w:val="0"/>
              <w:divBdr>
                <w:top w:val="none" w:sz="0" w:space="0" w:color="auto"/>
                <w:left w:val="none" w:sz="0" w:space="0" w:color="auto"/>
                <w:bottom w:val="none" w:sz="0" w:space="0" w:color="auto"/>
                <w:right w:val="none" w:sz="0" w:space="0" w:color="auto"/>
              </w:divBdr>
              <w:divsChild>
                <w:div w:id="15257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56">
          <w:marLeft w:val="0"/>
          <w:marRight w:val="0"/>
          <w:marTop w:val="0"/>
          <w:marBottom w:val="0"/>
          <w:divBdr>
            <w:top w:val="none" w:sz="0" w:space="0" w:color="auto"/>
            <w:left w:val="none" w:sz="0" w:space="0" w:color="auto"/>
            <w:bottom w:val="none" w:sz="0" w:space="0" w:color="auto"/>
            <w:right w:val="none" w:sz="0" w:space="0" w:color="auto"/>
          </w:divBdr>
          <w:divsChild>
            <w:div w:id="1525745502">
              <w:marLeft w:val="0"/>
              <w:marRight w:val="0"/>
              <w:marTop w:val="0"/>
              <w:marBottom w:val="0"/>
              <w:divBdr>
                <w:top w:val="none" w:sz="0" w:space="0" w:color="auto"/>
                <w:left w:val="none" w:sz="0" w:space="0" w:color="auto"/>
                <w:bottom w:val="none" w:sz="0" w:space="0" w:color="auto"/>
                <w:right w:val="none" w:sz="0" w:space="0" w:color="auto"/>
              </w:divBdr>
            </w:div>
            <w:div w:id="1525745512">
              <w:marLeft w:val="0"/>
              <w:marRight w:val="0"/>
              <w:marTop w:val="0"/>
              <w:marBottom w:val="0"/>
              <w:divBdr>
                <w:top w:val="none" w:sz="0" w:space="0" w:color="auto"/>
                <w:left w:val="none" w:sz="0" w:space="0" w:color="auto"/>
                <w:bottom w:val="none" w:sz="0" w:space="0" w:color="auto"/>
                <w:right w:val="none" w:sz="0" w:space="0" w:color="auto"/>
              </w:divBdr>
              <w:divsChild>
                <w:div w:id="15257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60">
          <w:marLeft w:val="0"/>
          <w:marRight w:val="0"/>
          <w:marTop w:val="0"/>
          <w:marBottom w:val="0"/>
          <w:divBdr>
            <w:top w:val="none" w:sz="0" w:space="0" w:color="auto"/>
            <w:left w:val="none" w:sz="0" w:space="0" w:color="auto"/>
            <w:bottom w:val="none" w:sz="0" w:space="0" w:color="auto"/>
            <w:right w:val="none" w:sz="0" w:space="0" w:color="auto"/>
          </w:divBdr>
          <w:divsChild>
            <w:div w:id="1525745428">
              <w:marLeft w:val="0"/>
              <w:marRight w:val="0"/>
              <w:marTop w:val="0"/>
              <w:marBottom w:val="0"/>
              <w:divBdr>
                <w:top w:val="none" w:sz="0" w:space="0" w:color="auto"/>
                <w:left w:val="none" w:sz="0" w:space="0" w:color="auto"/>
                <w:bottom w:val="none" w:sz="0" w:space="0" w:color="auto"/>
                <w:right w:val="none" w:sz="0" w:space="0" w:color="auto"/>
              </w:divBdr>
              <w:divsChild>
                <w:div w:id="15257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61">
          <w:marLeft w:val="0"/>
          <w:marRight w:val="0"/>
          <w:marTop w:val="0"/>
          <w:marBottom w:val="0"/>
          <w:divBdr>
            <w:top w:val="none" w:sz="0" w:space="0" w:color="auto"/>
            <w:left w:val="none" w:sz="0" w:space="0" w:color="auto"/>
            <w:bottom w:val="none" w:sz="0" w:space="0" w:color="auto"/>
            <w:right w:val="none" w:sz="0" w:space="0" w:color="auto"/>
          </w:divBdr>
          <w:divsChild>
            <w:div w:id="1525745469">
              <w:marLeft w:val="0"/>
              <w:marRight w:val="0"/>
              <w:marTop w:val="0"/>
              <w:marBottom w:val="0"/>
              <w:divBdr>
                <w:top w:val="none" w:sz="0" w:space="0" w:color="auto"/>
                <w:left w:val="none" w:sz="0" w:space="0" w:color="auto"/>
                <w:bottom w:val="none" w:sz="0" w:space="0" w:color="auto"/>
                <w:right w:val="none" w:sz="0" w:space="0" w:color="auto"/>
              </w:divBdr>
              <w:divsChild>
                <w:div w:id="15257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64">
          <w:marLeft w:val="0"/>
          <w:marRight w:val="0"/>
          <w:marTop w:val="0"/>
          <w:marBottom w:val="0"/>
          <w:divBdr>
            <w:top w:val="none" w:sz="0" w:space="0" w:color="auto"/>
            <w:left w:val="none" w:sz="0" w:space="0" w:color="auto"/>
            <w:bottom w:val="none" w:sz="0" w:space="0" w:color="auto"/>
            <w:right w:val="none" w:sz="0" w:space="0" w:color="auto"/>
          </w:divBdr>
          <w:divsChild>
            <w:div w:id="1525745486">
              <w:marLeft w:val="0"/>
              <w:marRight w:val="0"/>
              <w:marTop w:val="0"/>
              <w:marBottom w:val="0"/>
              <w:divBdr>
                <w:top w:val="none" w:sz="0" w:space="0" w:color="auto"/>
                <w:left w:val="none" w:sz="0" w:space="0" w:color="auto"/>
                <w:bottom w:val="none" w:sz="0" w:space="0" w:color="auto"/>
                <w:right w:val="none" w:sz="0" w:space="0" w:color="auto"/>
              </w:divBdr>
              <w:divsChild>
                <w:div w:id="1525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67">
          <w:marLeft w:val="0"/>
          <w:marRight w:val="0"/>
          <w:marTop w:val="0"/>
          <w:marBottom w:val="0"/>
          <w:divBdr>
            <w:top w:val="none" w:sz="0" w:space="0" w:color="auto"/>
            <w:left w:val="none" w:sz="0" w:space="0" w:color="auto"/>
            <w:bottom w:val="none" w:sz="0" w:space="0" w:color="auto"/>
            <w:right w:val="none" w:sz="0" w:space="0" w:color="auto"/>
          </w:divBdr>
          <w:divsChild>
            <w:div w:id="1525745497">
              <w:marLeft w:val="0"/>
              <w:marRight w:val="0"/>
              <w:marTop w:val="0"/>
              <w:marBottom w:val="0"/>
              <w:divBdr>
                <w:top w:val="none" w:sz="0" w:space="0" w:color="auto"/>
                <w:left w:val="none" w:sz="0" w:space="0" w:color="auto"/>
                <w:bottom w:val="none" w:sz="0" w:space="0" w:color="auto"/>
                <w:right w:val="none" w:sz="0" w:space="0" w:color="auto"/>
              </w:divBdr>
              <w:divsChild>
                <w:div w:id="1525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85">
          <w:marLeft w:val="0"/>
          <w:marRight w:val="0"/>
          <w:marTop w:val="0"/>
          <w:marBottom w:val="0"/>
          <w:divBdr>
            <w:top w:val="none" w:sz="0" w:space="0" w:color="auto"/>
            <w:left w:val="none" w:sz="0" w:space="0" w:color="auto"/>
            <w:bottom w:val="none" w:sz="0" w:space="0" w:color="auto"/>
            <w:right w:val="none" w:sz="0" w:space="0" w:color="auto"/>
          </w:divBdr>
          <w:divsChild>
            <w:div w:id="1525745496">
              <w:marLeft w:val="0"/>
              <w:marRight w:val="0"/>
              <w:marTop w:val="0"/>
              <w:marBottom w:val="0"/>
              <w:divBdr>
                <w:top w:val="none" w:sz="0" w:space="0" w:color="auto"/>
                <w:left w:val="none" w:sz="0" w:space="0" w:color="auto"/>
                <w:bottom w:val="none" w:sz="0" w:space="0" w:color="auto"/>
                <w:right w:val="none" w:sz="0" w:space="0" w:color="auto"/>
              </w:divBdr>
              <w:divsChild>
                <w:div w:id="15257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92">
          <w:marLeft w:val="0"/>
          <w:marRight w:val="0"/>
          <w:marTop w:val="0"/>
          <w:marBottom w:val="0"/>
          <w:divBdr>
            <w:top w:val="none" w:sz="0" w:space="0" w:color="auto"/>
            <w:left w:val="none" w:sz="0" w:space="0" w:color="auto"/>
            <w:bottom w:val="none" w:sz="0" w:space="0" w:color="auto"/>
            <w:right w:val="none" w:sz="0" w:space="0" w:color="auto"/>
          </w:divBdr>
          <w:divsChild>
            <w:div w:id="1525745389">
              <w:marLeft w:val="0"/>
              <w:marRight w:val="0"/>
              <w:marTop w:val="0"/>
              <w:marBottom w:val="0"/>
              <w:divBdr>
                <w:top w:val="none" w:sz="0" w:space="0" w:color="auto"/>
                <w:left w:val="none" w:sz="0" w:space="0" w:color="auto"/>
                <w:bottom w:val="none" w:sz="0" w:space="0" w:color="auto"/>
                <w:right w:val="none" w:sz="0" w:space="0" w:color="auto"/>
              </w:divBdr>
              <w:divsChild>
                <w:div w:id="1525745317">
                  <w:marLeft w:val="0"/>
                  <w:marRight w:val="0"/>
                  <w:marTop w:val="0"/>
                  <w:marBottom w:val="0"/>
                  <w:divBdr>
                    <w:top w:val="none" w:sz="0" w:space="0" w:color="auto"/>
                    <w:left w:val="none" w:sz="0" w:space="0" w:color="auto"/>
                    <w:bottom w:val="none" w:sz="0" w:space="0" w:color="auto"/>
                    <w:right w:val="none" w:sz="0" w:space="0" w:color="auto"/>
                  </w:divBdr>
                  <w:divsChild>
                    <w:div w:id="1525745465">
                      <w:marLeft w:val="0"/>
                      <w:marRight w:val="0"/>
                      <w:marTop w:val="0"/>
                      <w:marBottom w:val="0"/>
                      <w:divBdr>
                        <w:top w:val="none" w:sz="0" w:space="0" w:color="auto"/>
                        <w:left w:val="none" w:sz="0" w:space="0" w:color="auto"/>
                        <w:bottom w:val="none" w:sz="0" w:space="0" w:color="auto"/>
                        <w:right w:val="none" w:sz="0" w:space="0" w:color="auto"/>
                      </w:divBdr>
                    </w:div>
                    <w:div w:id="1525745555">
                      <w:marLeft w:val="0"/>
                      <w:marRight w:val="0"/>
                      <w:marTop w:val="0"/>
                      <w:marBottom w:val="0"/>
                      <w:divBdr>
                        <w:top w:val="none" w:sz="0" w:space="0" w:color="auto"/>
                        <w:left w:val="none" w:sz="0" w:space="0" w:color="auto"/>
                        <w:bottom w:val="none" w:sz="0" w:space="0" w:color="auto"/>
                        <w:right w:val="none" w:sz="0" w:space="0" w:color="auto"/>
                      </w:divBdr>
                      <w:divsChild>
                        <w:div w:id="1525745353">
                          <w:marLeft w:val="0"/>
                          <w:marRight w:val="0"/>
                          <w:marTop w:val="0"/>
                          <w:marBottom w:val="0"/>
                          <w:divBdr>
                            <w:top w:val="none" w:sz="0" w:space="0" w:color="auto"/>
                            <w:left w:val="none" w:sz="0" w:space="0" w:color="auto"/>
                            <w:bottom w:val="none" w:sz="0" w:space="0" w:color="auto"/>
                            <w:right w:val="none" w:sz="0" w:space="0" w:color="auto"/>
                          </w:divBdr>
                        </w:div>
                        <w:div w:id="1525745381">
                          <w:marLeft w:val="0"/>
                          <w:marRight w:val="0"/>
                          <w:marTop w:val="0"/>
                          <w:marBottom w:val="0"/>
                          <w:divBdr>
                            <w:top w:val="none" w:sz="0" w:space="0" w:color="auto"/>
                            <w:left w:val="none" w:sz="0" w:space="0" w:color="auto"/>
                            <w:bottom w:val="none" w:sz="0" w:space="0" w:color="auto"/>
                            <w:right w:val="none" w:sz="0" w:space="0" w:color="auto"/>
                          </w:divBdr>
                        </w:div>
                        <w:div w:id="1525745444">
                          <w:marLeft w:val="0"/>
                          <w:marRight w:val="0"/>
                          <w:marTop w:val="0"/>
                          <w:marBottom w:val="0"/>
                          <w:divBdr>
                            <w:top w:val="none" w:sz="0" w:space="0" w:color="auto"/>
                            <w:left w:val="none" w:sz="0" w:space="0" w:color="auto"/>
                            <w:bottom w:val="none" w:sz="0" w:space="0" w:color="auto"/>
                            <w:right w:val="none" w:sz="0" w:space="0" w:color="auto"/>
                          </w:divBdr>
                        </w:div>
                        <w:div w:id="15257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45403">
          <w:marLeft w:val="0"/>
          <w:marRight w:val="0"/>
          <w:marTop w:val="0"/>
          <w:marBottom w:val="0"/>
          <w:divBdr>
            <w:top w:val="none" w:sz="0" w:space="0" w:color="auto"/>
            <w:left w:val="none" w:sz="0" w:space="0" w:color="auto"/>
            <w:bottom w:val="none" w:sz="0" w:space="0" w:color="auto"/>
            <w:right w:val="none" w:sz="0" w:space="0" w:color="auto"/>
          </w:divBdr>
          <w:divsChild>
            <w:div w:id="1525745447">
              <w:marLeft w:val="0"/>
              <w:marRight w:val="0"/>
              <w:marTop w:val="0"/>
              <w:marBottom w:val="0"/>
              <w:divBdr>
                <w:top w:val="none" w:sz="0" w:space="0" w:color="auto"/>
                <w:left w:val="none" w:sz="0" w:space="0" w:color="auto"/>
                <w:bottom w:val="none" w:sz="0" w:space="0" w:color="auto"/>
                <w:right w:val="none" w:sz="0" w:space="0" w:color="auto"/>
              </w:divBdr>
              <w:divsChild>
                <w:div w:id="15257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07">
          <w:marLeft w:val="0"/>
          <w:marRight w:val="0"/>
          <w:marTop w:val="0"/>
          <w:marBottom w:val="0"/>
          <w:divBdr>
            <w:top w:val="none" w:sz="0" w:space="0" w:color="auto"/>
            <w:left w:val="none" w:sz="0" w:space="0" w:color="auto"/>
            <w:bottom w:val="none" w:sz="0" w:space="0" w:color="auto"/>
            <w:right w:val="none" w:sz="0" w:space="0" w:color="auto"/>
          </w:divBdr>
          <w:divsChild>
            <w:div w:id="1525745576">
              <w:marLeft w:val="0"/>
              <w:marRight w:val="0"/>
              <w:marTop w:val="0"/>
              <w:marBottom w:val="0"/>
              <w:divBdr>
                <w:top w:val="none" w:sz="0" w:space="0" w:color="auto"/>
                <w:left w:val="none" w:sz="0" w:space="0" w:color="auto"/>
                <w:bottom w:val="none" w:sz="0" w:space="0" w:color="auto"/>
                <w:right w:val="none" w:sz="0" w:space="0" w:color="auto"/>
              </w:divBdr>
              <w:divsChild>
                <w:div w:id="15257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18">
          <w:marLeft w:val="0"/>
          <w:marRight w:val="0"/>
          <w:marTop w:val="0"/>
          <w:marBottom w:val="0"/>
          <w:divBdr>
            <w:top w:val="none" w:sz="0" w:space="0" w:color="auto"/>
            <w:left w:val="none" w:sz="0" w:space="0" w:color="auto"/>
            <w:bottom w:val="none" w:sz="0" w:space="0" w:color="auto"/>
            <w:right w:val="none" w:sz="0" w:space="0" w:color="auto"/>
          </w:divBdr>
          <w:divsChild>
            <w:div w:id="1525745534">
              <w:marLeft w:val="0"/>
              <w:marRight w:val="0"/>
              <w:marTop w:val="0"/>
              <w:marBottom w:val="0"/>
              <w:divBdr>
                <w:top w:val="none" w:sz="0" w:space="0" w:color="auto"/>
                <w:left w:val="none" w:sz="0" w:space="0" w:color="auto"/>
                <w:bottom w:val="none" w:sz="0" w:space="0" w:color="auto"/>
                <w:right w:val="none" w:sz="0" w:space="0" w:color="auto"/>
              </w:divBdr>
            </w:div>
          </w:divsChild>
        </w:div>
        <w:div w:id="1525745419">
          <w:marLeft w:val="0"/>
          <w:marRight w:val="0"/>
          <w:marTop w:val="0"/>
          <w:marBottom w:val="0"/>
          <w:divBdr>
            <w:top w:val="none" w:sz="0" w:space="0" w:color="auto"/>
            <w:left w:val="none" w:sz="0" w:space="0" w:color="auto"/>
            <w:bottom w:val="none" w:sz="0" w:space="0" w:color="auto"/>
            <w:right w:val="none" w:sz="0" w:space="0" w:color="auto"/>
          </w:divBdr>
          <w:divsChild>
            <w:div w:id="1525745579">
              <w:marLeft w:val="0"/>
              <w:marRight w:val="0"/>
              <w:marTop w:val="0"/>
              <w:marBottom w:val="0"/>
              <w:divBdr>
                <w:top w:val="none" w:sz="0" w:space="0" w:color="auto"/>
                <w:left w:val="none" w:sz="0" w:space="0" w:color="auto"/>
                <w:bottom w:val="none" w:sz="0" w:space="0" w:color="auto"/>
                <w:right w:val="none" w:sz="0" w:space="0" w:color="auto"/>
              </w:divBdr>
              <w:divsChild>
                <w:div w:id="15257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21">
          <w:marLeft w:val="0"/>
          <w:marRight w:val="0"/>
          <w:marTop w:val="0"/>
          <w:marBottom w:val="0"/>
          <w:divBdr>
            <w:top w:val="none" w:sz="0" w:space="0" w:color="auto"/>
            <w:left w:val="none" w:sz="0" w:space="0" w:color="auto"/>
            <w:bottom w:val="none" w:sz="0" w:space="0" w:color="auto"/>
            <w:right w:val="none" w:sz="0" w:space="0" w:color="auto"/>
          </w:divBdr>
          <w:divsChild>
            <w:div w:id="1525745375">
              <w:marLeft w:val="0"/>
              <w:marRight w:val="0"/>
              <w:marTop w:val="0"/>
              <w:marBottom w:val="0"/>
              <w:divBdr>
                <w:top w:val="none" w:sz="0" w:space="0" w:color="auto"/>
                <w:left w:val="none" w:sz="0" w:space="0" w:color="auto"/>
                <w:bottom w:val="none" w:sz="0" w:space="0" w:color="auto"/>
                <w:right w:val="none" w:sz="0" w:space="0" w:color="auto"/>
              </w:divBdr>
            </w:div>
            <w:div w:id="1525745396">
              <w:marLeft w:val="0"/>
              <w:marRight w:val="0"/>
              <w:marTop w:val="0"/>
              <w:marBottom w:val="0"/>
              <w:divBdr>
                <w:top w:val="none" w:sz="0" w:space="0" w:color="auto"/>
                <w:left w:val="none" w:sz="0" w:space="0" w:color="auto"/>
                <w:bottom w:val="none" w:sz="0" w:space="0" w:color="auto"/>
                <w:right w:val="none" w:sz="0" w:space="0" w:color="auto"/>
              </w:divBdr>
              <w:divsChild>
                <w:div w:id="15257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29">
          <w:marLeft w:val="0"/>
          <w:marRight w:val="0"/>
          <w:marTop w:val="0"/>
          <w:marBottom w:val="0"/>
          <w:divBdr>
            <w:top w:val="none" w:sz="0" w:space="0" w:color="auto"/>
            <w:left w:val="none" w:sz="0" w:space="0" w:color="auto"/>
            <w:bottom w:val="none" w:sz="0" w:space="0" w:color="auto"/>
            <w:right w:val="none" w:sz="0" w:space="0" w:color="auto"/>
          </w:divBdr>
          <w:divsChild>
            <w:div w:id="1525745586">
              <w:marLeft w:val="0"/>
              <w:marRight w:val="0"/>
              <w:marTop w:val="0"/>
              <w:marBottom w:val="0"/>
              <w:divBdr>
                <w:top w:val="none" w:sz="0" w:space="0" w:color="auto"/>
                <w:left w:val="none" w:sz="0" w:space="0" w:color="auto"/>
                <w:bottom w:val="none" w:sz="0" w:space="0" w:color="auto"/>
                <w:right w:val="none" w:sz="0" w:space="0" w:color="auto"/>
              </w:divBdr>
              <w:divsChild>
                <w:div w:id="15257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40">
          <w:marLeft w:val="0"/>
          <w:marRight w:val="0"/>
          <w:marTop w:val="0"/>
          <w:marBottom w:val="0"/>
          <w:divBdr>
            <w:top w:val="none" w:sz="0" w:space="0" w:color="auto"/>
            <w:left w:val="none" w:sz="0" w:space="0" w:color="auto"/>
            <w:bottom w:val="none" w:sz="0" w:space="0" w:color="auto"/>
            <w:right w:val="none" w:sz="0" w:space="0" w:color="auto"/>
          </w:divBdr>
        </w:div>
        <w:div w:id="1525745441">
          <w:marLeft w:val="0"/>
          <w:marRight w:val="0"/>
          <w:marTop w:val="0"/>
          <w:marBottom w:val="0"/>
          <w:divBdr>
            <w:top w:val="none" w:sz="0" w:space="0" w:color="auto"/>
            <w:left w:val="none" w:sz="0" w:space="0" w:color="auto"/>
            <w:bottom w:val="none" w:sz="0" w:space="0" w:color="auto"/>
            <w:right w:val="none" w:sz="0" w:space="0" w:color="auto"/>
          </w:divBdr>
        </w:div>
        <w:div w:id="1525745443">
          <w:marLeft w:val="0"/>
          <w:marRight w:val="0"/>
          <w:marTop w:val="0"/>
          <w:marBottom w:val="0"/>
          <w:divBdr>
            <w:top w:val="none" w:sz="0" w:space="0" w:color="auto"/>
            <w:left w:val="none" w:sz="0" w:space="0" w:color="auto"/>
            <w:bottom w:val="none" w:sz="0" w:space="0" w:color="auto"/>
            <w:right w:val="none" w:sz="0" w:space="0" w:color="auto"/>
          </w:divBdr>
          <w:divsChild>
            <w:div w:id="1525745580">
              <w:marLeft w:val="0"/>
              <w:marRight w:val="0"/>
              <w:marTop w:val="0"/>
              <w:marBottom w:val="0"/>
              <w:divBdr>
                <w:top w:val="none" w:sz="0" w:space="0" w:color="auto"/>
                <w:left w:val="none" w:sz="0" w:space="0" w:color="auto"/>
                <w:bottom w:val="none" w:sz="0" w:space="0" w:color="auto"/>
                <w:right w:val="none" w:sz="0" w:space="0" w:color="auto"/>
              </w:divBdr>
              <w:divsChild>
                <w:div w:id="15257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59">
          <w:marLeft w:val="0"/>
          <w:marRight w:val="0"/>
          <w:marTop w:val="0"/>
          <w:marBottom w:val="0"/>
          <w:divBdr>
            <w:top w:val="none" w:sz="0" w:space="0" w:color="auto"/>
            <w:left w:val="none" w:sz="0" w:space="0" w:color="auto"/>
            <w:bottom w:val="none" w:sz="0" w:space="0" w:color="auto"/>
            <w:right w:val="none" w:sz="0" w:space="0" w:color="auto"/>
          </w:divBdr>
          <w:divsChild>
            <w:div w:id="1525745526">
              <w:marLeft w:val="0"/>
              <w:marRight w:val="0"/>
              <w:marTop w:val="0"/>
              <w:marBottom w:val="0"/>
              <w:divBdr>
                <w:top w:val="none" w:sz="0" w:space="0" w:color="auto"/>
                <w:left w:val="none" w:sz="0" w:space="0" w:color="auto"/>
                <w:bottom w:val="none" w:sz="0" w:space="0" w:color="auto"/>
                <w:right w:val="none" w:sz="0" w:space="0" w:color="auto"/>
              </w:divBdr>
              <w:divsChild>
                <w:div w:id="15257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63">
          <w:marLeft w:val="0"/>
          <w:marRight w:val="0"/>
          <w:marTop w:val="0"/>
          <w:marBottom w:val="0"/>
          <w:divBdr>
            <w:top w:val="none" w:sz="0" w:space="0" w:color="auto"/>
            <w:left w:val="none" w:sz="0" w:space="0" w:color="auto"/>
            <w:bottom w:val="none" w:sz="0" w:space="0" w:color="auto"/>
            <w:right w:val="none" w:sz="0" w:space="0" w:color="auto"/>
          </w:divBdr>
          <w:divsChild>
            <w:div w:id="1525745493">
              <w:marLeft w:val="0"/>
              <w:marRight w:val="0"/>
              <w:marTop w:val="0"/>
              <w:marBottom w:val="0"/>
              <w:divBdr>
                <w:top w:val="none" w:sz="0" w:space="0" w:color="auto"/>
                <w:left w:val="none" w:sz="0" w:space="0" w:color="auto"/>
                <w:bottom w:val="none" w:sz="0" w:space="0" w:color="auto"/>
                <w:right w:val="none" w:sz="0" w:space="0" w:color="auto"/>
              </w:divBdr>
            </w:div>
            <w:div w:id="1525745505">
              <w:marLeft w:val="0"/>
              <w:marRight w:val="0"/>
              <w:marTop w:val="0"/>
              <w:marBottom w:val="0"/>
              <w:divBdr>
                <w:top w:val="none" w:sz="0" w:space="0" w:color="auto"/>
                <w:left w:val="none" w:sz="0" w:space="0" w:color="auto"/>
                <w:bottom w:val="none" w:sz="0" w:space="0" w:color="auto"/>
                <w:right w:val="none" w:sz="0" w:space="0" w:color="auto"/>
              </w:divBdr>
              <w:divsChild>
                <w:div w:id="15257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64">
          <w:marLeft w:val="0"/>
          <w:marRight w:val="0"/>
          <w:marTop w:val="0"/>
          <w:marBottom w:val="0"/>
          <w:divBdr>
            <w:top w:val="none" w:sz="0" w:space="0" w:color="auto"/>
            <w:left w:val="none" w:sz="0" w:space="0" w:color="auto"/>
            <w:bottom w:val="none" w:sz="0" w:space="0" w:color="auto"/>
            <w:right w:val="none" w:sz="0" w:space="0" w:color="auto"/>
          </w:divBdr>
          <w:divsChild>
            <w:div w:id="1525745455">
              <w:marLeft w:val="0"/>
              <w:marRight w:val="0"/>
              <w:marTop w:val="0"/>
              <w:marBottom w:val="0"/>
              <w:divBdr>
                <w:top w:val="none" w:sz="0" w:space="0" w:color="auto"/>
                <w:left w:val="none" w:sz="0" w:space="0" w:color="auto"/>
                <w:bottom w:val="none" w:sz="0" w:space="0" w:color="auto"/>
                <w:right w:val="none" w:sz="0" w:space="0" w:color="auto"/>
              </w:divBdr>
              <w:divsChild>
                <w:div w:id="1525745319">
                  <w:marLeft w:val="0"/>
                  <w:marRight w:val="0"/>
                  <w:marTop w:val="0"/>
                  <w:marBottom w:val="0"/>
                  <w:divBdr>
                    <w:top w:val="none" w:sz="0" w:space="0" w:color="auto"/>
                    <w:left w:val="none" w:sz="0" w:space="0" w:color="auto"/>
                    <w:bottom w:val="none" w:sz="0" w:space="0" w:color="auto"/>
                    <w:right w:val="none" w:sz="0" w:space="0" w:color="auto"/>
                  </w:divBdr>
                  <w:divsChild>
                    <w:div w:id="1525745423">
                      <w:marLeft w:val="0"/>
                      <w:marRight w:val="0"/>
                      <w:marTop w:val="0"/>
                      <w:marBottom w:val="0"/>
                      <w:divBdr>
                        <w:top w:val="none" w:sz="0" w:space="0" w:color="auto"/>
                        <w:left w:val="none" w:sz="0" w:space="0" w:color="auto"/>
                        <w:bottom w:val="none" w:sz="0" w:space="0" w:color="auto"/>
                        <w:right w:val="none" w:sz="0" w:space="0" w:color="auto"/>
                      </w:divBdr>
                      <w:divsChild>
                        <w:div w:id="1525745351">
                          <w:marLeft w:val="0"/>
                          <w:marRight w:val="0"/>
                          <w:marTop w:val="0"/>
                          <w:marBottom w:val="0"/>
                          <w:divBdr>
                            <w:top w:val="none" w:sz="0" w:space="0" w:color="auto"/>
                            <w:left w:val="none" w:sz="0" w:space="0" w:color="auto"/>
                            <w:bottom w:val="none" w:sz="0" w:space="0" w:color="auto"/>
                            <w:right w:val="none" w:sz="0" w:space="0" w:color="auto"/>
                          </w:divBdr>
                          <w:divsChild>
                            <w:div w:id="15257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45478">
          <w:marLeft w:val="0"/>
          <w:marRight w:val="0"/>
          <w:marTop w:val="0"/>
          <w:marBottom w:val="0"/>
          <w:divBdr>
            <w:top w:val="none" w:sz="0" w:space="0" w:color="auto"/>
            <w:left w:val="none" w:sz="0" w:space="0" w:color="auto"/>
            <w:bottom w:val="none" w:sz="0" w:space="0" w:color="auto"/>
            <w:right w:val="none" w:sz="0" w:space="0" w:color="auto"/>
          </w:divBdr>
          <w:divsChild>
            <w:div w:id="1525745467">
              <w:marLeft w:val="0"/>
              <w:marRight w:val="0"/>
              <w:marTop w:val="0"/>
              <w:marBottom w:val="0"/>
              <w:divBdr>
                <w:top w:val="none" w:sz="0" w:space="0" w:color="auto"/>
                <w:left w:val="none" w:sz="0" w:space="0" w:color="auto"/>
                <w:bottom w:val="none" w:sz="0" w:space="0" w:color="auto"/>
                <w:right w:val="none" w:sz="0" w:space="0" w:color="auto"/>
              </w:divBdr>
              <w:divsChild>
                <w:div w:id="1525745338">
                  <w:marLeft w:val="0"/>
                  <w:marRight w:val="0"/>
                  <w:marTop w:val="0"/>
                  <w:marBottom w:val="0"/>
                  <w:divBdr>
                    <w:top w:val="none" w:sz="0" w:space="0" w:color="auto"/>
                    <w:left w:val="none" w:sz="0" w:space="0" w:color="auto"/>
                    <w:bottom w:val="none" w:sz="0" w:space="0" w:color="auto"/>
                    <w:right w:val="none" w:sz="0" w:space="0" w:color="auto"/>
                  </w:divBdr>
                </w:div>
              </w:divsChild>
            </w:div>
            <w:div w:id="1525745596">
              <w:marLeft w:val="0"/>
              <w:marRight w:val="0"/>
              <w:marTop w:val="0"/>
              <w:marBottom w:val="0"/>
              <w:divBdr>
                <w:top w:val="none" w:sz="0" w:space="0" w:color="auto"/>
                <w:left w:val="none" w:sz="0" w:space="0" w:color="auto"/>
                <w:bottom w:val="none" w:sz="0" w:space="0" w:color="auto"/>
                <w:right w:val="none" w:sz="0" w:space="0" w:color="auto"/>
              </w:divBdr>
            </w:div>
          </w:divsChild>
        </w:div>
        <w:div w:id="1525745480">
          <w:marLeft w:val="0"/>
          <w:marRight w:val="0"/>
          <w:marTop w:val="0"/>
          <w:marBottom w:val="0"/>
          <w:divBdr>
            <w:top w:val="none" w:sz="0" w:space="0" w:color="auto"/>
            <w:left w:val="none" w:sz="0" w:space="0" w:color="auto"/>
            <w:bottom w:val="none" w:sz="0" w:space="0" w:color="auto"/>
            <w:right w:val="none" w:sz="0" w:space="0" w:color="auto"/>
          </w:divBdr>
          <w:divsChild>
            <w:div w:id="1525745395">
              <w:marLeft w:val="0"/>
              <w:marRight w:val="0"/>
              <w:marTop w:val="0"/>
              <w:marBottom w:val="0"/>
              <w:divBdr>
                <w:top w:val="none" w:sz="0" w:space="0" w:color="auto"/>
                <w:left w:val="none" w:sz="0" w:space="0" w:color="auto"/>
                <w:bottom w:val="none" w:sz="0" w:space="0" w:color="auto"/>
                <w:right w:val="none" w:sz="0" w:space="0" w:color="auto"/>
              </w:divBdr>
              <w:divsChild>
                <w:div w:id="15257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81">
          <w:marLeft w:val="0"/>
          <w:marRight w:val="0"/>
          <w:marTop w:val="0"/>
          <w:marBottom w:val="0"/>
          <w:divBdr>
            <w:top w:val="none" w:sz="0" w:space="0" w:color="auto"/>
            <w:left w:val="none" w:sz="0" w:space="0" w:color="auto"/>
            <w:bottom w:val="none" w:sz="0" w:space="0" w:color="auto"/>
            <w:right w:val="none" w:sz="0" w:space="0" w:color="auto"/>
          </w:divBdr>
        </w:div>
        <w:div w:id="1525745490">
          <w:marLeft w:val="0"/>
          <w:marRight w:val="0"/>
          <w:marTop w:val="0"/>
          <w:marBottom w:val="0"/>
          <w:divBdr>
            <w:top w:val="none" w:sz="0" w:space="0" w:color="auto"/>
            <w:left w:val="none" w:sz="0" w:space="0" w:color="auto"/>
            <w:bottom w:val="none" w:sz="0" w:space="0" w:color="auto"/>
            <w:right w:val="none" w:sz="0" w:space="0" w:color="auto"/>
          </w:divBdr>
          <w:divsChild>
            <w:div w:id="1525745371">
              <w:marLeft w:val="0"/>
              <w:marRight w:val="0"/>
              <w:marTop w:val="0"/>
              <w:marBottom w:val="0"/>
              <w:divBdr>
                <w:top w:val="none" w:sz="0" w:space="0" w:color="auto"/>
                <w:left w:val="none" w:sz="0" w:space="0" w:color="auto"/>
                <w:bottom w:val="none" w:sz="0" w:space="0" w:color="auto"/>
                <w:right w:val="none" w:sz="0" w:space="0" w:color="auto"/>
              </w:divBdr>
              <w:divsChild>
                <w:div w:id="15257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492">
          <w:marLeft w:val="0"/>
          <w:marRight w:val="0"/>
          <w:marTop w:val="0"/>
          <w:marBottom w:val="0"/>
          <w:divBdr>
            <w:top w:val="none" w:sz="0" w:space="0" w:color="auto"/>
            <w:left w:val="none" w:sz="0" w:space="0" w:color="auto"/>
            <w:bottom w:val="none" w:sz="0" w:space="0" w:color="auto"/>
            <w:right w:val="none" w:sz="0" w:space="0" w:color="auto"/>
          </w:divBdr>
          <w:divsChild>
            <w:div w:id="1525745408">
              <w:marLeft w:val="0"/>
              <w:marRight w:val="0"/>
              <w:marTop w:val="0"/>
              <w:marBottom w:val="0"/>
              <w:divBdr>
                <w:top w:val="none" w:sz="0" w:space="0" w:color="auto"/>
                <w:left w:val="none" w:sz="0" w:space="0" w:color="auto"/>
                <w:bottom w:val="none" w:sz="0" w:space="0" w:color="auto"/>
                <w:right w:val="none" w:sz="0" w:space="0" w:color="auto"/>
              </w:divBdr>
              <w:divsChild>
                <w:div w:id="15257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07">
          <w:marLeft w:val="0"/>
          <w:marRight w:val="0"/>
          <w:marTop w:val="0"/>
          <w:marBottom w:val="0"/>
          <w:divBdr>
            <w:top w:val="none" w:sz="0" w:space="0" w:color="auto"/>
            <w:left w:val="none" w:sz="0" w:space="0" w:color="auto"/>
            <w:bottom w:val="none" w:sz="0" w:space="0" w:color="auto"/>
            <w:right w:val="none" w:sz="0" w:space="0" w:color="auto"/>
          </w:divBdr>
        </w:div>
        <w:div w:id="1525745513">
          <w:marLeft w:val="0"/>
          <w:marRight w:val="0"/>
          <w:marTop w:val="0"/>
          <w:marBottom w:val="0"/>
          <w:divBdr>
            <w:top w:val="none" w:sz="0" w:space="0" w:color="auto"/>
            <w:left w:val="none" w:sz="0" w:space="0" w:color="auto"/>
            <w:bottom w:val="none" w:sz="0" w:space="0" w:color="auto"/>
            <w:right w:val="none" w:sz="0" w:space="0" w:color="auto"/>
          </w:divBdr>
          <w:divsChild>
            <w:div w:id="1525745324">
              <w:marLeft w:val="0"/>
              <w:marRight w:val="0"/>
              <w:marTop w:val="0"/>
              <w:marBottom w:val="0"/>
              <w:divBdr>
                <w:top w:val="none" w:sz="0" w:space="0" w:color="auto"/>
                <w:left w:val="none" w:sz="0" w:space="0" w:color="auto"/>
                <w:bottom w:val="none" w:sz="0" w:space="0" w:color="auto"/>
                <w:right w:val="none" w:sz="0" w:space="0" w:color="auto"/>
              </w:divBdr>
              <w:divsChild>
                <w:div w:id="15257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15">
          <w:marLeft w:val="0"/>
          <w:marRight w:val="0"/>
          <w:marTop w:val="0"/>
          <w:marBottom w:val="0"/>
          <w:divBdr>
            <w:top w:val="none" w:sz="0" w:space="0" w:color="auto"/>
            <w:left w:val="none" w:sz="0" w:space="0" w:color="auto"/>
            <w:bottom w:val="none" w:sz="0" w:space="0" w:color="auto"/>
            <w:right w:val="none" w:sz="0" w:space="0" w:color="auto"/>
          </w:divBdr>
          <w:divsChild>
            <w:div w:id="1525745470">
              <w:marLeft w:val="0"/>
              <w:marRight w:val="0"/>
              <w:marTop w:val="0"/>
              <w:marBottom w:val="0"/>
              <w:divBdr>
                <w:top w:val="none" w:sz="0" w:space="0" w:color="auto"/>
                <w:left w:val="none" w:sz="0" w:space="0" w:color="auto"/>
                <w:bottom w:val="none" w:sz="0" w:space="0" w:color="auto"/>
                <w:right w:val="none" w:sz="0" w:space="0" w:color="auto"/>
              </w:divBdr>
              <w:divsChild>
                <w:div w:id="1525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42">
          <w:marLeft w:val="0"/>
          <w:marRight w:val="0"/>
          <w:marTop w:val="0"/>
          <w:marBottom w:val="0"/>
          <w:divBdr>
            <w:top w:val="none" w:sz="0" w:space="0" w:color="auto"/>
            <w:left w:val="none" w:sz="0" w:space="0" w:color="auto"/>
            <w:bottom w:val="none" w:sz="0" w:space="0" w:color="auto"/>
            <w:right w:val="none" w:sz="0" w:space="0" w:color="auto"/>
          </w:divBdr>
          <w:divsChild>
            <w:div w:id="1525745369">
              <w:marLeft w:val="0"/>
              <w:marRight w:val="0"/>
              <w:marTop w:val="0"/>
              <w:marBottom w:val="0"/>
              <w:divBdr>
                <w:top w:val="none" w:sz="0" w:space="0" w:color="auto"/>
                <w:left w:val="none" w:sz="0" w:space="0" w:color="auto"/>
                <w:bottom w:val="none" w:sz="0" w:space="0" w:color="auto"/>
                <w:right w:val="none" w:sz="0" w:space="0" w:color="auto"/>
              </w:divBdr>
              <w:divsChild>
                <w:div w:id="15257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44">
          <w:marLeft w:val="0"/>
          <w:marRight w:val="0"/>
          <w:marTop w:val="0"/>
          <w:marBottom w:val="0"/>
          <w:divBdr>
            <w:top w:val="none" w:sz="0" w:space="0" w:color="auto"/>
            <w:left w:val="none" w:sz="0" w:space="0" w:color="auto"/>
            <w:bottom w:val="none" w:sz="0" w:space="0" w:color="auto"/>
            <w:right w:val="none" w:sz="0" w:space="0" w:color="auto"/>
          </w:divBdr>
          <w:divsChild>
            <w:div w:id="1525745410">
              <w:marLeft w:val="0"/>
              <w:marRight w:val="0"/>
              <w:marTop w:val="0"/>
              <w:marBottom w:val="0"/>
              <w:divBdr>
                <w:top w:val="none" w:sz="0" w:space="0" w:color="auto"/>
                <w:left w:val="none" w:sz="0" w:space="0" w:color="auto"/>
                <w:bottom w:val="none" w:sz="0" w:space="0" w:color="auto"/>
                <w:right w:val="none" w:sz="0" w:space="0" w:color="auto"/>
              </w:divBdr>
              <w:divsChild>
                <w:div w:id="15257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47">
          <w:marLeft w:val="0"/>
          <w:marRight w:val="0"/>
          <w:marTop w:val="0"/>
          <w:marBottom w:val="0"/>
          <w:divBdr>
            <w:top w:val="none" w:sz="0" w:space="0" w:color="auto"/>
            <w:left w:val="none" w:sz="0" w:space="0" w:color="auto"/>
            <w:bottom w:val="none" w:sz="0" w:space="0" w:color="auto"/>
            <w:right w:val="none" w:sz="0" w:space="0" w:color="auto"/>
          </w:divBdr>
        </w:div>
        <w:div w:id="1525745554">
          <w:marLeft w:val="0"/>
          <w:marRight w:val="0"/>
          <w:marTop w:val="0"/>
          <w:marBottom w:val="0"/>
          <w:divBdr>
            <w:top w:val="none" w:sz="0" w:space="0" w:color="auto"/>
            <w:left w:val="none" w:sz="0" w:space="0" w:color="auto"/>
            <w:bottom w:val="none" w:sz="0" w:space="0" w:color="auto"/>
            <w:right w:val="none" w:sz="0" w:space="0" w:color="auto"/>
          </w:divBdr>
          <w:divsChild>
            <w:div w:id="1525745489">
              <w:marLeft w:val="0"/>
              <w:marRight w:val="0"/>
              <w:marTop w:val="0"/>
              <w:marBottom w:val="0"/>
              <w:divBdr>
                <w:top w:val="none" w:sz="0" w:space="0" w:color="auto"/>
                <w:left w:val="none" w:sz="0" w:space="0" w:color="auto"/>
                <w:bottom w:val="none" w:sz="0" w:space="0" w:color="auto"/>
                <w:right w:val="none" w:sz="0" w:space="0" w:color="auto"/>
              </w:divBdr>
            </w:div>
            <w:div w:id="1525745495">
              <w:marLeft w:val="0"/>
              <w:marRight w:val="0"/>
              <w:marTop w:val="0"/>
              <w:marBottom w:val="0"/>
              <w:divBdr>
                <w:top w:val="none" w:sz="0" w:space="0" w:color="auto"/>
                <w:left w:val="none" w:sz="0" w:space="0" w:color="auto"/>
                <w:bottom w:val="none" w:sz="0" w:space="0" w:color="auto"/>
                <w:right w:val="none" w:sz="0" w:space="0" w:color="auto"/>
              </w:divBdr>
              <w:divsChild>
                <w:div w:id="15257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58">
          <w:marLeft w:val="0"/>
          <w:marRight w:val="0"/>
          <w:marTop w:val="0"/>
          <w:marBottom w:val="0"/>
          <w:divBdr>
            <w:top w:val="none" w:sz="0" w:space="0" w:color="auto"/>
            <w:left w:val="none" w:sz="0" w:space="0" w:color="auto"/>
            <w:bottom w:val="none" w:sz="0" w:space="0" w:color="auto"/>
            <w:right w:val="none" w:sz="0" w:space="0" w:color="auto"/>
          </w:divBdr>
          <w:divsChild>
            <w:div w:id="1525745348">
              <w:marLeft w:val="0"/>
              <w:marRight w:val="0"/>
              <w:marTop w:val="0"/>
              <w:marBottom w:val="0"/>
              <w:divBdr>
                <w:top w:val="none" w:sz="0" w:space="0" w:color="auto"/>
                <w:left w:val="none" w:sz="0" w:space="0" w:color="auto"/>
                <w:bottom w:val="none" w:sz="0" w:space="0" w:color="auto"/>
                <w:right w:val="none" w:sz="0" w:space="0" w:color="auto"/>
              </w:divBdr>
              <w:divsChild>
                <w:div w:id="152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67">
          <w:marLeft w:val="0"/>
          <w:marRight w:val="0"/>
          <w:marTop w:val="0"/>
          <w:marBottom w:val="0"/>
          <w:divBdr>
            <w:top w:val="none" w:sz="0" w:space="0" w:color="auto"/>
            <w:left w:val="none" w:sz="0" w:space="0" w:color="auto"/>
            <w:bottom w:val="none" w:sz="0" w:space="0" w:color="auto"/>
            <w:right w:val="none" w:sz="0" w:space="0" w:color="auto"/>
          </w:divBdr>
          <w:divsChild>
            <w:div w:id="1525745511">
              <w:marLeft w:val="0"/>
              <w:marRight w:val="0"/>
              <w:marTop w:val="0"/>
              <w:marBottom w:val="0"/>
              <w:divBdr>
                <w:top w:val="none" w:sz="0" w:space="0" w:color="auto"/>
                <w:left w:val="none" w:sz="0" w:space="0" w:color="auto"/>
                <w:bottom w:val="none" w:sz="0" w:space="0" w:color="auto"/>
                <w:right w:val="none" w:sz="0" w:space="0" w:color="auto"/>
              </w:divBdr>
              <w:divsChild>
                <w:div w:id="1525745332">
                  <w:marLeft w:val="0"/>
                  <w:marRight w:val="0"/>
                  <w:marTop w:val="0"/>
                  <w:marBottom w:val="0"/>
                  <w:divBdr>
                    <w:top w:val="none" w:sz="0" w:space="0" w:color="auto"/>
                    <w:left w:val="none" w:sz="0" w:space="0" w:color="auto"/>
                    <w:bottom w:val="none" w:sz="0" w:space="0" w:color="auto"/>
                    <w:right w:val="none" w:sz="0" w:space="0" w:color="auto"/>
                  </w:divBdr>
                  <w:divsChild>
                    <w:div w:id="1525745323">
                      <w:marLeft w:val="0"/>
                      <w:marRight w:val="0"/>
                      <w:marTop w:val="0"/>
                      <w:marBottom w:val="0"/>
                      <w:divBdr>
                        <w:top w:val="none" w:sz="0" w:space="0" w:color="auto"/>
                        <w:left w:val="none" w:sz="0" w:space="0" w:color="auto"/>
                        <w:bottom w:val="none" w:sz="0" w:space="0" w:color="auto"/>
                        <w:right w:val="none" w:sz="0" w:space="0" w:color="auto"/>
                      </w:divBdr>
                    </w:div>
                    <w:div w:id="1525745413">
                      <w:marLeft w:val="0"/>
                      <w:marRight w:val="0"/>
                      <w:marTop w:val="0"/>
                      <w:marBottom w:val="0"/>
                      <w:divBdr>
                        <w:top w:val="none" w:sz="0" w:space="0" w:color="auto"/>
                        <w:left w:val="none" w:sz="0" w:space="0" w:color="auto"/>
                        <w:bottom w:val="none" w:sz="0" w:space="0" w:color="auto"/>
                        <w:right w:val="none" w:sz="0" w:space="0" w:color="auto"/>
                      </w:divBdr>
                    </w:div>
                    <w:div w:id="1525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572">
          <w:marLeft w:val="0"/>
          <w:marRight w:val="0"/>
          <w:marTop w:val="0"/>
          <w:marBottom w:val="0"/>
          <w:divBdr>
            <w:top w:val="none" w:sz="0" w:space="0" w:color="auto"/>
            <w:left w:val="none" w:sz="0" w:space="0" w:color="auto"/>
            <w:bottom w:val="none" w:sz="0" w:space="0" w:color="auto"/>
            <w:right w:val="none" w:sz="0" w:space="0" w:color="auto"/>
          </w:divBdr>
          <w:divsChild>
            <w:div w:id="1525745341">
              <w:marLeft w:val="0"/>
              <w:marRight w:val="0"/>
              <w:marTop w:val="0"/>
              <w:marBottom w:val="0"/>
              <w:divBdr>
                <w:top w:val="none" w:sz="0" w:space="0" w:color="auto"/>
                <w:left w:val="none" w:sz="0" w:space="0" w:color="auto"/>
                <w:bottom w:val="none" w:sz="0" w:space="0" w:color="auto"/>
                <w:right w:val="none" w:sz="0" w:space="0" w:color="auto"/>
              </w:divBdr>
              <w:divsChild>
                <w:div w:id="15257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85">
          <w:marLeft w:val="0"/>
          <w:marRight w:val="0"/>
          <w:marTop w:val="0"/>
          <w:marBottom w:val="0"/>
          <w:divBdr>
            <w:top w:val="none" w:sz="0" w:space="0" w:color="auto"/>
            <w:left w:val="none" w:sz="0" w:space="0" w:color="auto"/>
            <w:bottom w:val="none" w:sz="0" w:space="0" w:color="auto"/>
            <w:right w:val="none" w:sz="0" w:space="0" w:color="auto"/>
          </w:divBdr>
          <w:divsChild>
            <w:div w:id="1525745498">
              <w:marLeft w:val="0"/>
              <w:marRight w:val="0"/>
              <w:marTop w:val="0"/>
              <w:marBottom w:val="0"/>
              <w:divBdr>
                <w:top w:val="none" w:sz="0" w:space="0" w:color="auto"/>
                <w:left w:val="none" w:sz="0" w:space="0" w:color="auto"/>
                <w:bottom w:val="none" w:sz="0" w:space="0" w:color="auto"/>
                <w:right w:val="none" w:sz="0" w:space="0" w:color="auto"/>
              </w:divBdr>
              <w:divsChild>
                <w:div w:id="15257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598">
          <w:marLeft w:val="0"/>
          <w:marRight w:val="0"/>
          <w:marTop w:val="0"/>
          <w:marBottom w:val="0"/>
          <w:divBdr>
            <w:top w:val="none" w:sz="0" w:space="0" w:color="auto"/>
            <w:left w:val="none" w:sz="0" w:space="0" w:color="auto"/>
            <w:bottom w:val="none" w:sz="0" w:space="0" w:color="auto"/>
            <w:right w:val="none" w:sz="0" w:space="0" w:color="auto"/>
          </w:divBdr>
          <w:divsChild>
            <w:div w:id="1525745477">
              <w:marLeft w:val="0"/>
              <w:marRight w:val="0"/>
              <w:marTop w:val="0"/>
              <w:marBottom w:val="0"/>
              <w:divBdr>
                <w:top w:val="none" w:sz="0" w:space="0" w:color="auto"/>
                <w:left w:val="none" w:sz="0" w:space="0" w:color="auto"/>
                <w:bottom w:val="none" w:sz="0" w:space="0" w:color="auto"/>
                <w:right w:val="none" w:sz="0" w:space="0" w:color="auto"/>
              </w:divBdr>
              <w:divsChild>
                <w:div w:id="1525745574">
                  <w:marLeft w:val="0"/>
                  <w:marRight w:val="0"/>
                  <w:marTop w:val="0"/>
                  <w:marBottom w:val="0"/>
                  <w:divBdr>
                    <w:top w:val="none" w:sz="0" w:space="0" w:color="auto"/>
                    <w:left w:val="none" w:sz="0" w:space="0" w:color="auto"/>
                    <w:bottom w:val="none" w:sz="0" w:space="0" w:color="auto"/>
                    <w:right w:val="none" w:sz="0" w:space="0" w:color="auto"/>
                  </w:divBdr>
                  <w:divsChild>
                    <w:div w:id="1525745377">
                      <w:marLeft w:val="0"/>
                      <w:marRight w:val="0"/>
                      <w:marTop w:val="0"/>
                      <w:marBottom w:val="0"/>
                      <w:divBdr>
                        <w:top w:val="none" w:sz="0" w:space="0" w:color="auto"/>
                        <w:left w:val="none" w:sz="0" w:space="0" w:color="auto"/>
                        <w:bottom w:val="none" w:sz="0" w:space="0" w:color="auto"/>
                        <w:right w:val="none" w:sz="0" w:space="0" w:color="auto"/>
                      </w:divBdr>
                    </w:div>
                    <w:div w:id="1525745466">
                      <w:marLeft w:val="0"/>
                      <w:marRight w:val="0"/>
                      <w:marTop w:val="0"/>
                      <w:marBottom w:val="0"/>
                      <w:divBdr>
                        <w:top w:val="none" w:sz="0" w:space="0" w:color="auto"/>
                        <w:left w:val="none" w:sz="0" w:space="0" w:color="auto"/>
                        <w:bottom w:val="none" w:sz="0" w:space="0" w:color="auto"/>
                        <w:right w:val="none" w:sz="0" w:space="0" w:color="auto"/>
                      </w:divBdr>
                    </w:div>
                    <w:div w:id="1525745473">
                      <w:marLeft w:val="0"/>
                      <w:marRight w:val="0"/>
                      <w:marTop w:val="0"/>
                      <w:marBottom w:val="0"/>
                      <w:divBdr>
                        <w:top w:val="none" w:sz="0" w:space="0" w:color="auto"/>
                        <w:left w:val="none" w:sz="0" w:space="0" w:color="auto"/>
                        <w:bottom w:val="none" w:sz="0" w:space="0" w:color="auto"/>
                        <w:right w:val="none" w:sz="0" w:space="0" w:color="auto"/>
                      </w:divBdr>
                    </w:div>
                    <w:div w:id="15257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603">
          <w:marLeft w:val="0"/>
          <w:marRight w:val="0"/>
          <w:marTop w:val="0"/>
          <w:marBottom w:val="0"/>
          <w:divBdr>
            <w:top w:val="none" w:sz="0" w:space="0" w:color="auto"/>
            <w:left w:val="none" w:sz="0" w:space="0" w:color="auto"/>
            <w:bottom w:val="none" w:sz="0" w:space="0" w:color="auto"/>
            <w:right w:val="none" w:sz="0" w:space="0" w:color="auto"/>
          </w:divBdr>
          <w:divsChild>
            <w:div w:id="1525745468">
              <w:marLeft w:val="0"/>
              <w:marRight w:val="0"/>
              <w:marTop w:val="0"/>
              <w:marBottom w:val="0"/>
              <w:divBdr>
                <w:top w:val="none" w:sz="0" w:space="0" w:color="auto"/>
                <w:left w:val="none" w:sz="0" w:space="0" w:color="auto"/>
                <w:bottom w:val="none" w:sz="0" w:space="0" w:color="auto"/>
                <w:right w:val="none" w:sz="0" w:space="0" w:color="auto"/>
              </w:divBdr>
              <w:divsChild>
                <w:div w:id="1525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604">
          <w:marLeft w:val="0"/>
          <w:marRight w:val="0"/>
          <w:marTop w:val="0"/>
          <w:marBottom w:val="0"/>
          <w:divBdr>
            <w:top w:val="none" w:sz="0" w:space="0" w:color="auto"/>
            <w:left w:val="none" w:sz="0" w:space="0" w:color="auto"/>
            <w:bottom w:val="none" w:sz="0" w:space="0" w:color="auto"/>
            <w:right w:val="none" w:sz="0" w:space="0" w:color="auto"/>
          </w:divBdr>
          <w:divsChild>
            <w:div w:id="1525745523">
              <w:marLeft w:val="0"/>
              <w:marRight w:val="0"/>
              <w:marTop w:val="0"/>
              <w:marBottom w:val="0"/>
              <w:divBdr>
                <w:top w:val="none" w:sz="0" w:space="0" w:color="auto"/>
                <w:left w:val="none" w:sz="0" w:space="0" w:color="auto"/>
                <w:bottom w:val="none" w:sz="0" w:space="0" w:color="auto"/>
                <w:right w:val="none" w:sz="0" w:space="0" w:color="auto"/>
              </w:divBdr>
              <w:divsChild>
                <w:div w:id="1525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606">
          <w:marLeft w:val="0"/>
          <w:marRight w:val="0"/>
          <w:marTop w:val="0"/>
          <w:marBottom w:val="0"/>
          <w:divBdr>
            <w:top w:val="none" w:sz="0" w:space="0" w:color="auto"/>
            <w:left w:val="none" w:sz="0" w:space="0" w:color="auto"/>
            <w:bottom w:val="none" w:sz="0" w:space="0" w:color="auto"/>
            <w:right w:val="none" w:sz="0" w:space="0" w:color="auto"/>
          </w:divBdr>
          <w:divsChild>
            <w:div w:id="1525745315">
              <w:marLeft w:val="0"/>
              <w:marRight w:val="0"/>
              <w:marTop w:val="0"/>
              <w:marBottom w:val="0"/>
              <w:divBdr>
                <w:top w:val="none" w:sz="0" w:space="0" w:color="auto"/>
                <w:left w:val="none" w:sz="0" w:space="0" w:color="auto"/>
                <w:bottom w:val="none" w:sz="0" w:space="0" w:color="auto"/>
                <w:right w:val="none" w:sz="0" w:space="0" w:color="auto"/>
              </w:divBdr>
              <w:divsChild>
                <w:div w:id="15257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609">
          <w:marLeft w:val="0"/>
          <w:marRight w:val="0"/>
          <w:marTop w:val="0"/>
          <w:marBottom w:val="0"/>
          <w:divBdr>
            <w:top w:val="none" w:sz="0" w:space="0" w:color="auto"/>
            <w:left w:val="none" w:sz="0" w:space="0" w:color="auto"/>
            <w:bottom w:val="none" w:sz="0" w:space="0" w:color="auto"/>
            <w:right w:val="none" w:sz="0" w:space="0" w:color="auto"/>
          </w:divBdr>
        </w:div>
      </w:divsChild>
    </w:div>
    <w:div w:id="1525745436">
      <w:marLeft w:val="0"/>
      <w:marRight w:val="0"/>
      <w:marTop w:val="0"/>
      <w:marBottom w:val="0"/>
      <w:divBdr>
        <w:top w:val="none" w:sz="0" w:space="0" w:color="auto"/>
        <w:left w:val="none" w:sz="0" w:space="0" w:color="auto"/>
        <w:bottom w:val="none" w:sz="0" w:space="0" w:color="auto"/>
        <w:right w:val="none" w:sz="0" w:space="0" w:color="auto"/>
      </w:divBdr>
      <w:divsChild>
        <w:div w:id="1525745533">
          <w:marLeft w:val="0"/>
          <w:marRight w:val="0"/>
          <w:marTop w:val="0"/>
          <w:marBottom w:val="0"/>
          <w:divBdr>
            <w:top w:val="none" w:sz="0" w:space="0" w:color="auto"/>
            <w:left w:val="none" w:sz="0" w:space="0" w:color="auto"/>
            <w:bottom w:val="none" w:sz="0" w:space="0" w:color="auto"/>
            <w:right w:val="none" w:sz="0" w:space="0" w:color="auto"/>
          </w:divBdr>
          <w:divsChild>
            <w:div w:id="1525745397">
              <w:marLeft w:val="0"/>
              <w:marRight w:val="0"/>
              <w:marTop w:val="0"/>
              <w:marBottom w:val="0"/>
              <w:divBdr>
                <w:top w:val="none" w:sz="0" w:space="0" w:color="auto"/>
                <w:left w:val="none" w:sz="0" w:space="0" w:color="auto"/>
                <w:bottom w:val="none" w:sz="0" w:space="0" w:color="auto"/>
                <w:right w:val="none" w:sz="0" w:space="0" w:color="auto"/>
              </w:divBdr>
              <w:divsChild>
                <w:div w:id="15257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522">
      <w:marLeft w:val="0"/>
      <w:marRight w:val="0"/>
      <w:marTop w:val="0"/>
      <w:marBottom w:val="0"/>
      <w:divBdr>
        <w:top w:val="none" w:sz="0" w:space="0" w:color="auto"/>
        <w:left w:val="none" w:sz="0" w:space="0" w:color="auto"/>
        <w:bottom w:val="none" w:sz="0" w:space="0" w:color="auto"/>
        <w:right w:val="none" w:sz="0" w:space="0" w:color="auto"/>
      </w:divBdr>
      <w:divsChild>
        <w:div w:id="1525745326">
          <w:marLeft w:val="0"/>
          <w:marRight w:val="0"/>
          <w:marTop w:val="0"/>
          <w:marBottom w:val="0"/>
          <w:divBdr>
            <w:top w:val="none" w:sz="0" w:space="0" w:color="auto"/>
            <w:left w:val="none" w:sz="0" w:space="0" w:color="auto"/>
            <w:bottom w:val="none" w:sz="0" w:space="0" w:color="auto"/>
            <w:right w:val="none" w:sz="0" w:space="0" w:color="auto"/>
          </w:divBdr>
          <w:divsChild>
            <w:div w:id="1525745530">
              <w:marLeft w:val="0"/>
              <w:marRight w:val="0"/>
              <w:marTop w:val="0"/>
              <w:marBottom w:val="0"/>
              <w:divBdr>
                <w:top w:val="none" w:sz="0" w:space="0" w:color="auto"/>
                <w:left w:val="none" w:sz="0" w:space="0" w:color="auto"/>
                <w:bottom w:val="none" w:sz="0" w:space="0" w:color="auto"/>
                <w:right w:val="none" w:sz="0" w:space="0" w:color="auto"/>
              </w:divBdr>
              <w:divsChild>
                <w:div w:id="15257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nfpa.org/publications/59A/2023/chapters/18" TargetMode="External"/><Relationship Id="rId13" Type="http://schemas.openxmlformats.org/officeDocument/2006/relationships/hyperlink" Target="https://link.nfpa.org/publications/59A/2023/chapters/6" TargetMode="External"/><Relationship Id="rId18" Type="http://schemas.openxmlformats.org/officeDocument/2006/relationships/hyperlink" Target="https://link.nfpa.org/publications/59A/2023/annexes/A/groups/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ink.nfpa.org/publications/59A/2023/chapters/12" TargetMode="External"/><Relationship Id="rId7" Type="http://schemas.openxmlformats.org/officeDocument/2006/relationships/hyperlink" Target="https://link.nfpa.org/publications/59A/2023/chapters/16" TargetMode="External"/><Relationship Id="rId12" Type="http://schemas.openxmlformats.org/officeDocument/2006/relationships/hyperlink" Target="https://link.nfpa.org/publications/59A/2023/annexes/A/groups/6" TargetMode="External"/><Relationship Id="rId17" Type="http://schemas.openxmlformats.org/officeDocument/2006/relationships/hyperlink" Target="https://link.nfpa.org/publications/59A/2023/chapters/12" TargetMode="External"/><Relationship Id="rId25" Type="http://schemas.openxmlformats.org/officeDocument/2006/relationships/hyperlink" Target="https://link.nfpa.org/publications/59A/2023/chapters/6" TargetMode="External"/><Relationship Id="rId2" Type="http://schemas.openxmlformats.org/officeDocument/2006/relationships/styles" Target="styles.xml"/><Relationship Id="rId16" Type="http://schemas.openxmlformats.org/officeDocument/2006/relationships/hyperlink" Target="https://link.nfpa.org/publications/59A/2023/chapters/6" TargetMode="External"/><Relationship Id="rId20" Type="http://schemas.openxmlformats.org/officeDocument/2006/relationships/hyperlink" Target="https://link.nfpa.org/publications/59A/2023/chapters/12" TargetMode="External"/><Relationship Id="rId1" Type="http://schemas.openxmlformats.org/officeDocument/2006/relationships/numbering" Target="numbering.xml"/><Relationship Id="rId6" Type="http://schemas.openxmlformats.org/officeDocument/2006/relationships/hyperlink" Target="https://link.nfpa.org/publications/59A/2023/annexes/A/groups/6" TargetMode="External"/><Relationship Id="rId11" Type="http://schemas.openxmlformats.org/officeDocument/2006/relationships/hyperlink" Target="https://link.nfpa.org/publications/59A/2023/chapters/5" TargetMode="External"/><Relationship Id="rId24" Type="http://schemas.openxmlformats.org/officeDocument/2006/relationships/hyperlink" Target="https://link.nfpa.org/publications/59A/2023/chapters/6" TargetMode="External"/><Relationship Id="rId5" Type="http://schemas.openxmlformats.org/officeDocument/2006/relationships/hyperlink" Target="https://link.nfpa.org/publications/59A/2023/annexes/A/groups/6" TargetMode="External"/><Relationship Id="rId15" Type="http://schemas.openxmlformats.org/officeDocument/2006/relationships/hyperlink" Target="https://link.nfpa.org/publications/59A/2023/chapters/6" TargetMode="External"/><Relationship Id="rId23" Type="http://schemas.openxmlformats.org/officeDocument/2006/relationships/hyperlink" Target="https://link.nfpa.org/publications/59A/2023/chapters/5" TargetMode="External"/><Relationship Id="rId10" Type="http://schemas.openxmlformats.org/officeDocument/2006/relationships/hyperlink" Target="https://link.nfpa.org/publications/59A/2023/chapters/13" TargetMode="External"/><Relationship Id="rId19" Type="http://schemas.openxmlformats.org/officeDocument/2006/relationships/hyperlink" Target="https://link.nfpa.org/publications/59A/2023/chapters/12" TargetMode="External"/><Relationship Id="rId4" Type="http://schemas.openxmlformats.org/officeDocument/2006/relationships/webSettings" Target="webSettings.xml"/><Relationship Id="rId9" Type="http://schemas.openxmlformats.org/officeDocument/2006/relationships/hyperlink" Target="https://link.nfpa.org/publications/59A/2023/chapters/6" TargetMode="External"/><Relationship Id="rId14" Type="http://schemas.openxmlformats.org/officeDocument/2006/relationships/hyperlink" Target="https://link.nfpa.org/publications/59A/2023/chapters/6" TargetMode="External"/><Relationship Id="rId22" Type="http://schemas.openxmlformats.org/officeDocument/2006/relationships/hyperlink" Target="https://link.nfpa.org/publications/59A/2023/chapters/12"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2252</Words>
  <Characters>12387</Characters>
  <Application>Microsoft Office Word</Application>
  <DocSecurity>0</DocSecurity>
  <Lines>103</Lines>
  <Paragraphs>29</Paragraphs>
  <ScaleCrop>false</ScaleCrop>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2</cp:revision>
  <dcterms:created xsi:type="dcterms:W3CDTF">2025-05-07T21:45:00Z</dcterms:created>
  <dcterms:modified xsi:type="dcterms:W3CDTF">2025-05-07T21:45:00Z</dcterms:modified>
</cp:coreProperties>
</file>