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0F44F" w14:textId="77777777" w:rsidR="00A4121C" w:rsidRPr="00A4121C" w:rsidRDefault="00A4121C" w:rsidP="00A4121C">
      <w:r w:rsidRPr="00A4121C">
        <w:t>Equipos de proceso</w:t>
      </w:r>
    </w:p>
    <w:p w14:paraId="5A996C97" w14:textId="77777777" w:rsidR="00A4121C" w:rsidRPr="00A4121C" w:rsidRDefault="00A4121C" w:rsidP="00A4121C">
      <w:r w:rsidRPr="00A4121C">
        <w:t>7.1 Alcance.</w:t>
      </w:r>
    </w:p>
    <w:p w14:paraId="4AE7BA4A" w14:textId="77777777" w:rsidR="00A4121C" w:rsidRPr="00A4121C" w:rsidRDefault="00A4121C" w:rsidP="00A4121C">
      <w:r w:rsidRPr="00A4121C">
        <w:t>Este capítulo se aplica a los requisitos para el diseño e instalación de equipos de proceso.</w:t>
      </w:r>
    </w:p>
    <w:p w14:paraId="36E29621" w14:textId="77777777" w:rsidR="00A4121C" w:rsidRPr="00A4121C" w:rsidRDefault="00A4121C" w:rsidP="00A4121C">
      <w:r w:rsidRPr="00A4121C">
        <w:pict w14:anchorId="747B2FF2">
          <v:rect id="_x0000_i1025" style="width:0;height:1.5pt" o:hralign="center" o:hrstd="t" o:hr="t" fillcolor="#a0a0a0" stroked="f"/>
        </w:pict>
      </w:r>
    </w:p>
    <w:p w14:paraId="2DA64363" w14:textId="77777777" w:rsidR="00A4121C" w:rsidRPr="00A4121C" w:rsidRDefault="00A4121C" w:rsidP="00A4121C">
      <w:r w:rsidRPr="00A4121C">
        <w:t>7.2 Requisito general.</w:t>
      </w:r>
    </w:p>
    <w:p w14:paraId="5E73E6CF" w14:textId="77777777" w:rsidR="00A4121C" w:rsidRPr="00A4121C" w:rsidRDefault="00A4121C" w:rsidP="00A4121C">
      <w:r w:rsidRPr="00A4121C">
        <w:t>El equipo , incluidas las cimentaciones asociadas , se deberá diseñar de acuerdo con los criterios sísmicos, de viento, hielo, inundaciones y nieve de la Sección  </w:t>
      </w:r>
      <w:hyperlink r:id="rId7" w:anchor="ID00059A000252" w:history="1">
        <w:r w:rsidRPr="00A4121C">
          <w:rPr>
            <w:rStyle w:val="Hipervnculo"/>
            <w:b/>
            <w:bCs/>
          </w:rPr>
          <w:t>12.2</w:t>
        </w:r>
      </w:hyperlink>
      <w:r w:rsidRPr="00A4121C">
        <w:t> .</w:t>
      </w:r>
    </w:p>
    <w:p w14:paraId="1F6A75BB" w14:textId="77777777" w:rsidR="00A4121C" w:rsidRPr="00A4121C" w:rsidRDefault="00A4121C" w:rsidP="00A4121C">
      <w:r w:rsidRPr="00A4121C">
        <w:pict w14:anchorId="34EB4223">
          <v:rect id="_x0000_i1026" style="width:0;height:1.5pt" o:hralign="center" o:hrstd="t" o:hr="t" fillcolor="#a0a0a0" stroked="f"/>
        </w:pict>
      </w:r>
    </w:p>
    <w:p w14:paraId="52335B4D" w14:textId="77777777" w:rsidR="00A4121C" w:rsidRPr="00A4121C" w:rsidRDefault="00A4121C" w:rsidP="00A4121C">
      <w:r w:rsidRPr="00A4121C">
        <w:t>7.3 Instalación de equipos de proceso.</w:t>
      </w:r>
    </w:p>
    <w:p w14:paraId="1742870C" w14:textId="77777777" w:rsidR="00A4121C" w:rsidRPr="00A4121C" w:rsidRDefault="00A4121C" w:rsidP="00A4121C">
      <w:pPr>
        <w:rPr>
          <w:b/>
          <w:bCs/>
        </w:rPr>
      </w:pPr>
      <w:r w:rsidRPr="00A4121C">
        <w:rPr>
          <w:b/>
          <w:bCs/>
        </w:rPr>
        <w:t>7.3.1 </w:t>
      </w:r>
    </w:p>
    <w:p w14:paraId="6E438450" w14:textId="77777777" w:rsidR="00A4121C" w:rsidRPr="00A4121C" w:rsidRDefault="00A4121C" w:rsidP="00A4121C">
      <w:r w:rsidRPr="00A4121C">
        <w:t>Los equipos del sistema de proceso que contengan fluidos inflamables se deberán instalar de acuerdo con una de las siguientes condiciones:</w:t>
      </w:r>
    </w:p>
    <w:p w14:paraId="2F37F0AB" w14:textId="77777777" w:rsidR="00A4121C" w:rsidRPr="00A4121C" w:rsidRDefault="00A4121C" w:rsidP="00A4121C">
      <w:pPr>
        <w:numPr>
          <w:ilvl w:val="0"/>
          <w:numId w:val="1"/>
        </w:numPr>
      </w:pPr>
      <w:r w:rsidRPr="00A4121C">
        <w:t>(1)</w:t>
      </w:r>
    </w:p>
    <w:p w14:paraId="1018907D" w14:textId="77777777" w:rsidR="00A4121C" w:rsidRPr="00A4121C" w:rsidRDefault="00A4121C" w:rsidP="00A4121C">
      <w:r w:rsidRPr="00A4121C">
        <w:t>En exteriores, para facilitar su operación, facilitar la extinción manual de incendios y facilitar la dispersión de líquidos y gases liberados accidentalmente.</w:t>
      </w:r>
    </w:p>
    <w:p w14:paraId="196BC003" w14:textId="77777777" w:rsidR="00A4121C" w:rsidRPr="00A4121C" w:rsidRDefault="00A4121C" w:rsidP="00A4121C">
      <w:pPr>
        <w:numPr>
          <w:ilvl w:val="0"/>
          <w:numId w:val="1"/>
        </w:numPr>
      </w:pPr>
      <w:r w:rsidRPr="00A4121C">
        <w:t>(2)</w:t>
      </w:r>
    </w:p>
    <w:p w14:paraId="55B1FA32" w14:textId="77777777" w:rsidR="00A4121C" w:rsidRPr="00A4121C" w:rsidRDefault="00A4121C" w:rsidP="00A4121C">
      <w:r w:rsidRPr="00A4121C">
        <w:t>En interiores, en estructuras de cerramiento que cumplan con las Secciones </w:t>
      </w:r>
      <w:hyperlink r:id="rId8" w:anchor="ID00059A000256" w:history="1">
        <w:r w:rsidRPr="00A4121C">
          <w:rPr>
            <w:rStyle w:val="Hipervnculo"/>
            <w:b/>
            <w:bCs/>
          </w:rPr>
          <w:t>12.5</w:t>
        </w:r>
      </w:hyperlink>
      <w:r w:rsidRPr="00A4121C">
        <w:t> a </w:t>
      </w:r>
      <w:hyperlink r:id="rId9" w:anchor="ID00059A000258" w:history="1">
        <w:r w:rsidRPr="00A4121C">
          <w:rPr>
            <w:rStyle w:val="Hipervnculo"/>
            <w:b/>
            <w:bCs/>
          </w:rPr>
          <w:t>12.7</w:t>
        </w:r>
      </w:hyperlink>
    </w:p>
    <w:p w14:paraId="27D83877" w14:textId="77777777" w:rsidR="00A4121C" w:rsidRPr="00A4121C" w:rsidRDefault="00A4121C" w:rsidP="00A4121C">
      <w:pPr>
        <w:rPr>
          <w:b/>
          <w:bCs/>
        </w:rPr>
      </w:pPr>
      <w:r w:rsidRPr="00A4121C">
        <w:rPr>
          <w:b/>
          <w:bCs/>
        </w:rPr>
        <w:t>7.3.2 </w:t>
      </w:r>
    </w:p>
    <w:p w14:paraId="2CFB0114" w14:textId="77777777" w:rsidR="00A4121C" w:rsidRPr="00A4121C" w:rsidRDefault="00A4121C" w:rsidP="00A4121C">
      <w:r w:rsidRPr="00A4121C">
        <w:t>La soldadura y soldadura fuerte de equipos de proceso deberán cumplir con lo siguiente:</w:t>
      </w:r>
    </w:p>
    <w:p w14:paraId="3465198F" w14:textId="77777777" w:rsidR="00A4121C" w:rsidRPr="00A4121C" w:rsidRDefault="00A4121C" w:rsidP="00A4121C">
      <w:pPr>
        <w:numPr>
          <w:ilvl w:val="0"/>
          <w:numId w:val="2"/>
        </w:numPr>
      </w:pPr>
      <w:r w:rsidRPr="00A4121C">
        <w:t>(1)</w:t>
      </w:r>
    </w:p>
    <w:p w14:paraId="25924CC1" w14:textId="77777777" w:rsidR="00A4121C" w:rsidRPr="00A4121C" w:rsidRDefault="00A4121C" w:rsidP="00A4121C">
      <w:r w:rsidRPr="00A4121C">
        <w:t>La soldadura y la soldadura fuerte de equipos de proceso deberán cumplir con los requisitos de la norma según la cual está diseñado y construido el equipo </w:t>
      </w:r>
      <w:r w:rsidRPr="00A4121C">
        <w:rPr>
          <w:i/>
          <w:iCs/>
        </w:rPr>
        <w:t>(ver </w:t>
      </w:r>
      <w:hyperlink r:id="rId10" w:anchor="ID00059A000329" w:history="1">
        <w:r w:rsidRPr="00A4121C">
          <w:rPr>
            <w:rStyle w:val="Hipervnculo"/>
            <w:b/>
            <w:bCs/>
            <w:i/>
            <w:iCs/>
          </w:rPr>
          <w:t>7.6.2</w:t>
        </w:r>
      </w:hyperlink>
      <w:r w:rsidRPr="00A4121C">
        <w:rPr>
          <w:i/>
          <w:iCs/>
        </w:rPr>
        <w:t> a </w:t>
      </w:r>
      <w:hyperlink r:id="rId11" w:anchor="ID00059A000332" w:history="1">
        <w:r w:rsidRPr="00A4121C">
          <w:rPr>
            <w:rStyle w:val="Hipervnculo"/>
            <w:b/>
            <w:bCs/>
            <w:i/>
            <w:iCs/>
          </w:rPr>
          <w:t>7.6.6.2</w:t>
        </w:r>
      </w:hyperlink>
      <w:r w:rsidRPr="00A4121C">
        <w:rPr>
          <w:i/>
          <w:iCs/>
        </w:rPr>
        <w:t> )</w:t>
      </w:r>
      <w:r w:rsidRPr="00A4121C">
        <w:t> .</w:t>
      </w:r>
    </w:p>
    <w:p w14:paraId="78975EBA" w14:textId="77777777" w:rsidR="00A4121C" w:rsidRPr="00A4121C" w:rsidRDefault="00A4121C" w:rsidP="00A4121C">
      <w:pPr>
        <w:numPr>
          <w:ilvl w:val="0"/>
          <w:numId w:val="2"/>
        </w:numPr>
      </w:pPr>
      <w:r w:rsidRPr="00A4121C">
        <w:t>(2)</w:t>
      </w:r>
    </w:p>
    <w:p w14:paraId="621A04DF" w14:textId="77777777" w:rsidR="00A4121C" w:rsidRPr="00A4121C" w:rsidRDefault="00A4121C" w:rsidP="00A4121C">
      <w:r w:rsidRPr="00A4121C">
        <w:lastRenderedPageBreak/>
        <w:t>Todas las operaciones de soldadura o soldadura fuerte se realizarán con procedimientos calificados según la Sección IX del </w:t>
      </w:r>
      <w:r w:rsidRPr="00A4121C">
        <w:rPr>
          <w:i/>
          <w:iCs/>
        </w:rPr>
        <w:t>Código de calderas y recipientes a presión ASME.</w:t>
      </w:r>
    </w:p>
    <w:p w14:paraId="1B39D03B" w14:textId="77777777" w:rsidR="00A4121C" w:rsidRPr="00A4121C" w:rsidRDefault="00A4121C" w:rsidP="00A4121C">
      <w:pPr>
        <w:numPr>
          <w:ilvl w:val="0"/>
          <w:numId w:val="2"/>
        </w:numPr>
      </w:pPr>
      <w:r w:rsidRPr="00A4121C">
        <w:t>(3)</w:t>
      </w:r>
    </w:p>
    <w:p w14:paraId="13F62C85" w14:textId="77777777" w:rsidR="00A4121C" w:rsidRPr="00A4121C" w:rsidRDefault="00A4121C" w:rsidP="00A4121C">
      <w:r w:rsidRPr="00A4121C">
        <w:t>Toda soldadura o soldadura fuerte deberá ser realizada por personal calificado según los requisitos de la Sección IX del </w:t>
      </w:r>
      <w:r w:rsidRPr="00A4121C">
        <w:rPr>
          <w:i/>
          <w:iCs/>
        </w:rPr>
        <w:t>Código de Calderas y Recipientes a Presión</w:t>
      </w:r>
      <w:r w:rsidRPr="00A4121C">
        <w:t> ASME .</w:t>
      </w:r>
    </w:p>
    <w:p w14:paraId="6616AFEC" w14:textId="77777777" w:rsidR="00A4121C" w:rsidRPr="00A4121C" w:rsidRDefault="00A4121C" w:rsidP="00A4121C">
      <w:r w:rsidRPr="00A4121C">
        <w:pict w14:anchorId="40550FDB">
          <v:rect id="_x0000_i1027" style="width:0;height:1.5pt" o:hralign="center" o:hrstd="t" o:hr="t" fillcolor="#a0a0a0" stroked="f"/>
        </w:pict>
      </w:r>
    </w:p>
    <w:p w14:paraId="0F67E720" w14:textId="77777777" w:rsidR="00A4121C" w:rsidRPr="00A4121C" w:rsidRDefault="00A4121C" w:rsidP="00A4121C">
      <w:hyperlink r:id="rId12" w:anchor="ID00059A001741" w:history="1">
        <w:r w:rsidRPr="00A4121C">
          <w:rPr>
            <w:rStyle w:val="Hipervnculo"/>
          </w:rPr>
          <w:t>7.4*</w:t>
        </w:r>
      </w:hyperlink>
      <w:r w:rsidRPr="00A4121C">
        <w:t>  Bombas y compresores.</w:t>
      </w:r>
    </w:p>
    <w:p w14:paraId="201A69CE" w14:textId="77777777" w:rsidR="00A4121C" w:rsidRPr="00A4121C" w:rsidRDefault="00A4121C" w:rsidP="00A4121C">
      <w:pPr>
        <w:rPr>
          <w:b/>
          <w:bCs/>
        </w:rPr>
      </w:pPr>
      <w:hyperlink r:id="rId13" w:anchor="ID00059A001910" w:history="1">
        <w:r w:rsidRPr="00A4121C">
          <w:rPr>
            <w:rStyle w:val="Hipervnculo"/>
            <w:b/>
            <w:bCs/>
          </w:rPr>
          <w:t>7.4.1*</w:t>
        </w:r>
      </w:hyperlink>
      <w:r w:rsidRPr="00A4121C">
        <w:rPr>
          <w:b/>
          <w:bCs/>
        </w:rPr>
        <w:t> </w:t>
      </w:r>
    </w:p>
    <w:p w14:paraId="3059B9A3" w14:textId="77777777" w:rsidR="00A4121C" w:rsidRPr="00A4121C" w:rsidRDefault="00A4121C" w:rsidP="00A4121C">
      <w:r w:rsidRPr="00A4121C">
        <w:t>Las bombas y compresores deberán diseñarse y fabricarse de acuerdo con normas reconocidas.</w:t>
      </w:r>
    </w:p>
    <w:p w14:paraId="7D3365B9" w14:textId="77777777" w:rsidR="00A4121C" w:rsidRPr="00A4121C" w:rsidRDefault="00A4121C" w:rsidP="00A4121C">
      <w:pPr>
        <w:rPr>
          <w:b/>
          <w:bCs/>
        </w:rPr>
      </w:pPr>
      <w:hyperlink r:id="rId14" w:anchor="ID00059A001911" w:history="1">
        <w:r w:rsidRPr="00A4121C">
          <w:rPr>
            <w:rStyle w:val="Hipervnculo"/>
            <w:b/>
            <w:bCs/>
          </w:rPr>
          <w:t>7.4.2*</w:t>
        </w:r>
      </w:hyperlink>
      <w:r w:rsidRPr="00A4121C">
        <w:rPr>
          <w:b/>
          <w:bCs/>
        </w:rPr>
        <w:t> </w:t>
      </w:r>
    </w:p>
    <w:p w14:paraId="37D25D4C" w14:textId="77777777" w:rsidR="00A4121C" w:rsidRPr="00A4121C" w:rsidRDefault="00A4121C" w:rsidP="00A4121C">
      <w:r w:rsidRPr="00A4121C">
        <w:t>Los sellos deberán diseñarse de acuerdo con normas reconocidas.</w:t>
      </w:r>
    </w:p>
    <w:p w14:paraId="1C520673" w14:textId="77777777" w:rsidR="00A4121C" w:rsidRPr="00A4121C" w:rsidRDefault="00A4121C" w:rsidP="00A4121C">
      <w:pPr>
        <w:rPr>
          <w:b/>
          <w:bCs/>
        </w:rPr>
      </w:pPr>
      <w:r w:rsidRPr="00A4121C">
        <w:rPr>
          <w:b/>
          <w:bCs/>
        </w:rPr>
        <w:t>7.4.3 </w:t>
      </w:r>
    </w:p>
    <w:p w14:paraId="11CE3B74" w14:textId="77777777" w:rsidR="00A4121C" w:rsidRPr="00A4121C" w:rsidRDefault="00A4121C" w:rsidP="00A4121C">
      <w:r w:rsidRPr="00A4121C">
        <w:t>Las bombas y compresores deberán construirse con materiales seleccionados para ser compatibles con las condiciones de temperatura y presión de diseño.</w:t>
      </w:r>
    </w:p>
    <w:p w14:paraId="2FCB842B" w14:textId="77777777" w:rsidR="00A4121C" w:rsidRPr="00A4121C" w:rsidRDefault="00A4121C" w:rsidP="00A4121C">
      <w:pPr>
        <w:rPr>
          <w:b/>
          <w:bCs/>
        </w:rPr>
      </w:pPr>
      <w:hyperlink r:id="rId15" w:anchor="ID00059A001914" w:history="1">
        <w:r w:rsidRPr="00A4121C">
          <w:rPr>
            <w:rStyle w:val="Hipervnculo"/>
            <w:b/>
            <w:bCs/>
          </w:rPr>
          <w:t>7.4.4*</w:t>
        </w:r>
      </w:hyperlink>
      <w:r w:rsidRPr="00A4121C">
        <w:rPr>
          <w:b/>
          <w:bCs/>
        </w:rPr>
        <w:t> </w:t>
      </w:r>
    </w:p>
    <w:p w14:paraId="2D9A33D9" w14:textId="77777777" w:rsidR="00A4121C" w:rsidRPr="00A4121C" w:rsidRDefault="00A4121C" w:rsidP="00A4121C">
      <w:r w:rsidRPr="00A4121C">
        <w:t>Se deberán instalar válvulas de manera que cada bomba o compresor pueda aislarse para mantenimiento.</w:t>
      </w:r>
    </w:p>
    <w:p w14:paraId="0FC3D796" w14:textId="77777777" w:rsidR="00A4121C" w:rsidRPr="00A4121C" w:rsidRDefault="00A4121C" w:rsidP="00A4121C">
      <w:pPr>
        <w:rPr>
          <w:b/>
          <w:bCs/>
        </w:rPr>
      </w:pPr>
      <w:r w:rsidRPr="00A4121C">
        <w:rPr>
          <w:b/>
          <w:bCs/>
        </w:rPr>
        <w:t>7.4.5 </w:t>
      </w:r>
    </w:p>
    <w:p w14:paraId="67326178" w14:textId="77777777" w:rsidR="00A4121C" w:rsidRPr="00A4121C" w:rsidRDefault="00A4121C" w:rsidP="00A4121C">
      <w:r w:rsidRPr="00A4121C">
        <w:t>Cuando se instalen bombas o compresores centrífugos para funcionar en paralelo, cada línea de descarga deberá estar equipada con una válvula de retención.</w:t>
      </w:r>
    </w:p>
    <w:p w14:paraId="12D2197B" w14:textId="77777777" w:rsidR="00A4121C" w:rsidRPr="00A4121C" w:rsidRDefault="00A4121C" w:rsidP="00A4121C">
      <w:pPr>
        <w:rPr>
          <w:b/>
          <w:bCs/>
        </w:rPr>
      </w:pPr>
      <w:r w:rsidRPr="00A4121C">
        <w:rPr>
          <w:b/>
          <w:bCs/>
        </w:rPr>
        <w:t>7.4.6 </w:t>
      </w:r>
    </w:p>
    <w:p w14:paraId="212831D7" w14:textId="77777777" w:rsidR="00A4121C" w:rsidRPr="00A4121C" w:rsidRDefault="00A4121C" w:rsidP="00A4121C">
      <w:r w:rsidRPr="00A4121C">
        <w:t>Las bombas y compresores deberán estar provistos de un dispositivo de alivio de presión en la descarga para limitar la presión a la presión máxima de diseño de la carcasa y las tuberías y equipos aguas abajo, a menos que estén diseñados para la presión máxima de descarga de las bombas y compresores.</w:t>
      </w:r>
    </w:p>
    <w:p w14:paraId="1E0CDAC0" w14:textId="77777777" w:rsidR="00A4121C" w:rsidRPr="00A4121C" w:rsidRDefault="00A4121C" w:rsidP="00A4121C">
      <w:pPr>
        <w:rPr>
          <w:b/>
          <w:bCs/>
        </w:rPr>
      </w:pPr>
      <w:r w:rsidRPr="00A4121C">
        <w:rPr>
          <w:b/>
          <w:bCs/>
        </w:rPr>
        <w:t>7.4.7 </w:t>
      </w:r>
    </w:p>
    <w:p w14:paraId="6E30C2D3" w14:textId="77777777" w:rsidR="00A4121C" w:rsidRPr="00A4121C" w:rsidRDefault="00A4121C" w:rsidP="00A4121C">
      <w:r w:rsidRPr="00A4121C">
        <w:lastRenderedPageBreak/>
        <w:t>Cada bomba deberá estar provista de un respiradero, una válvula de alivio o ambos que evitarán la sobrepresión de la carcasa de la bomba durante la velocidad máxima posible de enfriamiento.</w:t>
      </w:r>
    </w:p>
    <w:p w14:paraId="5FAF1901" w14:textId="77777777" w:rsidR="00A4121C" w:rsidRPr="00A4121C" w:rsidRDefault="00A4121C" w:rsidP="00A4121C">
      <w:pPr>
        <w:rPr>
          <w:b/>
          <w:bCs/>
        </w:rPr>
      </w:pPr>
      <w:r w:rsidRPr="00A4121C">
        <w:rPr>
          <w:b/>
          <w:bCs/>
        </w:rPr>
        <w:t>7.4.8 </w:t>
      </w:r>
    </w:p>
    <w:p w14:paraId="5B5F1B0C" w14:textId="77777777" w:rsidR="00A4121C" w:rsidRPr="00A4121C" w:rsidRDefault="00A4121C" w:rsidP="00A4121C">
      <w:r w:rsidRPr="00A4121C">
        <w:t>Los equipos de compresión que manejan gases inflamables deberán estar provistos de respiraderos en todos los puntos por donde normalmente pueden escapar los gases.</w:t>
      </w:r>
    </w:p>
    <w:p w14:paraId="6A9D7379" w14:textId="77777777" w:rsidR="00A4121C" w:rsidRPr="00A4121C" w:rsidRDefault="00A4121C" w:rsidP="00A4121C">
      <w:pPr>
        <w:rPr>
          <w:b/>
          <w:bCs/>
        </w:rPr>
      </w:pPr>
      <w:r w:rsidRPr="00A4121C">
        <w:rPr>
          <w:b/>
          <w:bCs/>
        </w:rPr>
        <w:t>7.4.9 </w:t>
      </w:r>
    </w:p>
    <w:p w14:paraId="3563DA2D" w14:textId="77777777" w:rsidR="00A4121C" w:rsidRPr="00A4121C" w:rsidRDefault="00A4121C" w:rsidP="00A4121C">
      <w:r w:rsidRPr="00A4121C">
        <w:t>Las tuberías de ventilación se deben canalizar hacia el exterior de los edificios hasta un punto de eliminación seguro.</w:t>
      </w:r>
    </w:p>
    <w:p w14:paraId="52B5B56E" w14:textId="77777777" w:rsidR="00A4121C" w:rsidRPr="00A4121C" w:rsidRDefault="00A4121C" w:rsidP="00A4121C">
      <w:pPr>
        <w:rPr>
          <w:b/>
          <w:bCs/>
        </w:rPr>
      </w:pPr>
      <w:hyperlink r:id="rId16" w:anchor="ID00059A001918" w:history="1">
        <w:r w:rsidRPr="00A4121C">
          <w:rPr>
            <w:rStyle w:val="Hipervnculo"/>
            <w:b/>
            <w:bCs/>
          </w:rPr>
          <w:t>7.4.10*</w:t>
        </w:r>
      </w:hyperlink>
      <w:r w:rsidRPr="00A4121C">
        <w:rPr>
          <w:b/>
          <w:bCs/>
        </w:rPr>
        <w:t> </w:t>
      </w:r>
    </w:p>
    <w:p w14:paraId="1FFE28EF" w14:textId="77777777" w:rsidR="00A4121C" w:rsidRPr="00A4121C" w:rsidRDefault="00A4121C" w:rsidP="00A4121C">
      <w:r w:rsidRPr="00A4121C">
        <w:t>Los sopladores y ventiladores deberán diseñarse de acuerdo con normas reconocidas.</w:t>
      </w:r>
    </w:p>
    <w:p w14:paraId="747528D8" w14:textId="77777777" w:rsidR="00A4121C" w:rsidRPr="00A4121C" w:rsidRDefault="00A4121C" w:rsidP="00A4121C">
      <w:pPr>
        <w:rPr>
          <w:b/>
          <w:bCs/>
        </w:rPr>
      </w:pPr>
      <w:hyperlink r:id="rId17" w:anchor="ID00059A001919" w:history="1">
        <w:r w:rsidRPr="00A4121C">
          <w:rPr>
            <w:rStyle w:val="Hipervnculo"/>
            <w:b/>
            <w:bCs/>
          </w:rPr>
          <w:t>7.4.11*</w:t>
        </w:r>
      </w:hyperlink>
      <w:r w:rsidRPr="00A4121C">
        <w:rPr>
          <w:b/>
          <w:bCs/>
        </w:rPr>
        <w:t> </w:t>
      </w:r>
    </w:p>
    <w:p w14:paraId="4DACE65F" w14:textId="77777777" w:rsidR="00A4121C" w:rsidRPr="00A4121C" w:rsidRDefault="00A4121C" w:rsidP="00A4121C">
      <w:r w:rsidRPr="00A4121C">
        <w:t>Las turbinas se diseñarán de acuerdo con normas reconocidas.</w:t>
      </w:r>
    </w:p>
    <w:p w14:paraId="7D0EA6BF" w14:textId="77777777" w:rsidR="00A4121C" w:rsidRPr="00A4121C" w:rsidRDefault="00A4121C" w:rsidP="00A4121C">
      <w:pPr>
        <w:rPr>
          <w:b/>
          <w:bCs/>
        </w:rPr>
      </w:pPr>
      <w:hyperlink r:id="rId18" w:anchor="ID00059A001920" w:history="1">
        <w:r w:rsidRPr="00A4121C">
          <w:rPr>
            <w:rStyle w:val="Hipervnculo"/>
            <w:b/>
            <w:bCs/>
          </w:rPr>
          <w:t>7.4.12*</w:t>
        </w:r>
      </w:hyperlink>
      <w:r w:rsidRPr="00A4121C">
        <w:rPr>
          <w:b/>
          <w:bCs/>
        </w:rPr>
        <w:t> </w:t>
      </w:r>
    </w:p>
    <w:p w14:paraId="361FDE3B" w14:textId="77777777" w:rsidR="00A4121C" w:rsidRPr="00A4121C" w:rsidRDefault="00A4121C" w:rsidP="00A4121C">
      <w:r w:rsidRPr="00A4121C">
        <w:t>Los motores deberán diseñarse de acuerdo con normas reconocidas.</w:t>
      </w:r>
    </w:p>
    <w:p w14:paraId="7F9D462F" w14:textId="77777777" w:rsidR="00A4121C" w:rsidRPr="00A4121C" w:rsidRDefault="00A4121C" w:rsidP="00A4121C">
      <w:r w:rsidRPr="00A4121C">
        <w:pict w14:anchorId="1A4E27EB">
          <v:rect id="_x0000_i1028" style="width:0;height:1.5pt" o:hralign="center" o:hrstd="t" o:hr="t" fillcolor="#a0a0a0" stroked="f"/>
        </w:pict>
      </w:r>
    </w:p>
    <w:p w14:paraId="4F9A8796" w14:textId="77777777" w:rsidR="00A4121C" w:rsidRPr="00A4121C" w:rsidRDefault="00A4121C" w:rsidP="00A4121C">
      <w:r w:rsidRPr="00A4121C">
        <w:t>7.5  Almacenamiento de líquidos peligrosos .</w:t>
      </w:r>
    </w:p>
    <w:p w14:paraId="765071E9" w14:textId="77777777" w:rsidR="00A4121C" w:rsidRPr="00A4121C" w:rsidRDefault="00A4121C" w:rsidP="00A4121C">
      <w:pPr>
        <w:rPr>
          <w:b/>
          <w:bCs/>
        </w:rPr>
      </w:pPr>
      <w:r w:rsidRPr="00A4121C">
        <w:rPr>
          <w:b/>
          <w:bCs/>
        </w:rPr>
        <w:t>7.5.1 </w:t>
      </w:r>
    </w:p>
    <w:p w14:paraId="072EF17B" w14:textId="77777777" w:rsidR="00A4121C" w:rsidRPr="00A4121C" w:rsidRDefault="00A4121C" w:rsidP="00A4121C">
      <w:r w:rsidRPr="00A4121C">
        <w:t>Los contenedores y equipos de almacenamiento para líquidos peligrosos distintos de GNL deberán cumplir con las normas NFPA 30; NFPA 58; NFPA 59; API Std 2510, </w:t>
      </w:r>
      <w:r w:rsidRPr="00A4121C">
        <w:rPr>
          <w:i/>
          <w:iCs/>
        </w:rPr>
        <w:t>Diseño y construcción de instalaciones de gas licuado de petróleo (GLP)</w:t>
      </w:r>
      <w:r w:rsidRPr="00A4121C">
        <w:t> , según corresponda; o la Sección  </w:t>
      </w:r>
      <w:hyperlink r:id="rId19" w:anchor="ID00059A000135" w:history="1">
        <w:r w:rsidRPr="00A4121C">
          <w:rPr>
            <w:rStyle w:val="Hipervnculo"/>
            <w:b/>
            <w:bCs/>
          </w:rPr>
          <w:t>5.3</w:t>
        </w:r>
      </w:hyperlink>
      <w:r w:rsidRPr="00A4121C">
        <w:t> de esta norma.</w:t>
      </w:r>
    </w:p>
    <w:p w14:paraId="2EF2BCA6" w14:textId="77777777" w:rsidR="00A4121C" w:rsidRPr="00A4121C" w:rsidRDefault="00A4121C" w:rsidP="00A4121C">
      <w:pPr>
        <w:rPr>
          <w:b/>
          <w:bCs/>
        </w:rPr>
      </w:pPr>
      <w:hyperlink r:id="rId20" w:anchor="ID00059A001924" w:history="1">
        <w:r w:rsidRPr="00A4121C">
          <w:rPr>
            <w:rStyle w:val="Hipervnculo"/>
            <w:b/>
            <w:bCs/>
          </w:rPr>
          <w:t>7.5.2*</w:t>
        </w:r>
      </w:hyperlink>
      <w:r w:rsidRPr="00A4121C">
        <w:rPr>
          <w:b/>
          <w:bCs/>
        </w:rPr>
        <w:t> </w:t>
      </w:r>
    </w:p>
    <w:p w14:paraId="313BF24A" w14:textId="77777777" w:rsidR="00A4121C" w:rsidRPr="00A4121C" w:rsidRDefault="00A4121C" w:rsidP="00A4121C">
      <w:r w:rsidRPr="00A4121C">
        <w:t>El diseño y la especificación de los tanques de almacenamiento de líquidos peligrosos deberán realizarse de acuerdo con las normas reconocidas.</w:t>
      </w:r>
    </w:p>
    <w:p w14:paraId="63CACD62" w14:textId="77777777" w:rsidR="00A4121C" w:rsidRPr="00A4121C" w:rsidRDefault="00A4121C" w:rsidP="00A4121C">
      <w:pPr>
        <w:rPr>
          <w:b/>
          <w:bCs/>
        </w:rPr>
      </w:pPr>
      <w:hyperlink r:id="rId21" w:anchor="ID00059A001925" w:history="1">
        <w:r w:rsidRPr="00A4121C">
          <w:rPr>
            <w:rStyle w:val="Hipervnculo"/>
            <w:b/>
            <w:bCs/>
          </w:rPr>
          <w:t>7.5.3*</w:t>
        </w:r>
      </w:hyperlink>
      <w:r w:rsidRPr="00A4121C">
        <w:rPr>
          <w:b/>
          <w:bCs/>
        </w:rPr>
        <w:t> </w:t>
      </w:r>
    </w:p>
    <w:p w14:paraId="763613E5" w14:textId="77777777" w:rsidR="00A4121C" w:rsidRPr="00A4121C" w:rsidRDefault="00A4121C" w:rsidP="00A4121C">
      <w:r w:rsidRPr="00A4121C">
        <w:lastRenderedPageBreak/>
        <w:t>La ventilación de tanques de líquidos peligrosos atmosféricos y de baja presión deberá realizarse de acuerdo con normas reconocidas.</w:t>
      </w:r>
    </w:p>
    <w:p w14:paraId="13A63C98" w14:textId="77777777" w:rsidR="00A4121C" w:rsidRPr="00A4121C" w:rsidRDefault="00A4121C" w:rsidP="00A4121C">
      <w:r w:rsidRPr="00A4121C">
        <w:pict w14:anchorId="435E104D">
          <v:rect id="_x0000_i1029" style="width:0;height:1.5pt" o:hralign="center" o:hrstd="t" o:hr="t" fillcolor="#a0a0a0" stroked="f"/>
        </w:pict>
      </w:r>
    </w:p>
    <w:p w14:paraId="6B6F4532" w14:textId="77777777" w:rsidR="00A4121C" w:rsidRPr="00A4121C" w:rsidRDefault="00A4121C" w:rsidP="00A4121C">
      <w:r w:rsidRPr="00A4121C">
        <w:t>7.6 Equipos de Proceso.</w:t>
      </w:r>
    </w:p>
    <w:p w14:paraId="26BE6EED" w14:textId="77777777" w:rsidR="00A4121C" w:rsidRPr="00A4121C" w:rsidRDefault="00A4121C" w:rsidP="00A4121C">
      <w:pPr>
        <w:rPr>
          <w:b/>
          <w:bCs/>
        </w:rPr>
      </w:pPr>
      <w:r w:rsidRPr="00A4121C">
        <w:rPr>
          <w:b/>
          <w:bCs/>
        </w:rPr>
        <w:t>7.6.1 </w:t>
      </w:r>
    </w:p>
    <w:p w14:paraId="72B232F7" w14:textId="77777777" w:rsidR="00A4121C" w:rsidRPr="00A4121C" w:rsidRDefault="00A4121C" w:rsidP="00A4121C">
      <w:r w:rsidRPr="00A4121C">
        <w:t>Se deberá documentar la presión de trabajo máxima permitida para el equipo de proceso.</w:t>
      </w:r>
    </w:p>
    <w:p w14:paraId="395A28C3" w14:textId="77777777" w:rsidR="00A4121C" w:rsidRPr="00A4121C" w:rsidRDefault="00A4121C" w:rsidP="00A4121C">
      <w:pPr>
        <w:rPr>
          <w:b/>
          <w:bCs/>
        </w:rPr>
      </w:pPr>
      <w:r w:rsidRPr="00A4121C">
        <w:rPr>
          <w:b/>
          <w:bCs/>
        </w:rPr>
        <w:t>7.6.2 </w:t>
      </w:r>
    </w:p>
    <w:p w14:paraId="52DAA492" w14:textId="77777777" w:rsidR="00A4121C" w:rsidRPr="00A4121C" w:rsidRDefault="00A4121C" w:rsidP="00A4121C">
      <w:r w:rsidRPr="00A4121C">
        <w:t>Las calderas deberán diseñarse y fabricarse de acuerdo con el </w:t>
      </w:r>
      <w:r w:rsidRPr="00A4121C">
        <w:rPr>
          <w:i/>
          <w:iCs/>
        </w:rPr>
        <w:t>Código de calderas y recipientes a presión ASME, Sección I, o con el Código de calderas, recipientes a presión y tuberías a presión</w:t>
      </w:r>
      <w:r w:rsidRPr="00A4121C">
        <w:t> CSA B51 .</w:t>
      </w:r>
    </w:p>
    <w:p w14:paraId="28E845D0" w14:textId="77777777" w:rsidR="00A4121C" w:rsidRPr="00A4121C" w:rsidRDefault="00A4121C" w:rsidP="00A4121C">
      <w:pPr>
        <w:rPr>
          <w:b/>
          <w:bCs/>
        </w:rPr>
      </w:pPr>
      <w:hyperlink r:id="rId22" w:anchor="ID00059A001927" w:history="1">
        <w:r w:rsidRPr="00A4121C">
          <w:rPr>
            <w:rStyle w:val="Hipervnculo"/>
            <w:b/>
            <w:bCs/>
          </w:rPr>
          <w:t>7.6.3*</w:t>
        </w:r>
      </w:hyperlink>
      <w:r w:rsidRPr="00A4121C">
        <w:rPr>
          <w:b/>
          <w:bCs/>
        </w:rPr>
        <w:t> </w:t>
      </w:r>
    </w:p>
    <w:p w14:paraId="71CB0F0E" w14:textId="77777777" w:rsidR="00A4121C" w:rsidRPr="00A4121C" w:rsidRDefault="00A4121C" w:rsidP="00A4121C">
      <w:r w:rsidRPr="00A4121C">
        <w:t>Los calentadores de fuego deberán diseñarse de acuerdo con normas reconocidas.</w:t>
      </w:r>
    </w:p>
    <w:p w14:paraId="160D8BC4" w14:textId="77777777" w:rsidR="00A4121C" w:rsidRPr="00A4121C" w:rsidRDefault="00A4121C" w:rsidP="00A4121C">
      <w:pPr>
        <w:rPr>
          <w:b/>
          <w:bCs/>
        </w:rPr>
      </w:pPr>
      <w:hyperlink r:id="rId23" w:anchor="ID00059A001929" w:history="1">
        <w:r w:rsidRPr="00A4121C">
          <w:rPr>
            <w:rStyle w:val="Hipervnculo"/>
            <w:b/>
            <w:bCs/>
          </w:rPr>
          <w:t>7.6.4*</w:t>
        </w:r>
      </w:hyperlink>
      <w:r w:rsidRPr="00A4121C">
        <w:rPr>
          <w:b/>
          <w:bCs/>
        </w:rPr>
        <w:t> </w:t>
      </w:r>
    </w:p>
    <w:p w14:paraId="20B7A576" w14:textId="77777777" w:rsidR="00A4121C" w:rsidRPr="00A4121C" w:rsidRDefault="00A4121C" w:rsidP="00A4121C">
      <w:r w:rsidRPr="00A4121C">
        <w:t>Los sistemas de gestión de quemadores deberán diseñarse de acuerdo con normas reconocidas.</w:t>
      </w:r>
    </w:p>
    <w:p w14:paraId="40536FBE" w14:textId="77777777" w:rsidR="00A4121C" w:rsidRPr="00A4121C" w:rsidRDefault="00A4121C" w:rsidP="00A4121C">
      <w:pPr>
        <w:rPr>
          <w:b/>
          <w:bCs/>
        </w:rPr>
      </w:pPr>
      <w:hyperlink r:id="rId24" w:anchor="ID00059A001930" w:history="1">
        <w:r w:rsidRPr="00A4121C">
          <w:rPr>
            <w:rStyle w:val="Hipervnculo"/>
            <w:b/>
            <w:bCs/>
          </w:rPr>
          <w:t>7.6.5*</w:t>
        </w:r>
      </w:hyperlink>
      <w:r w:rsidRPr="00A4121C">
        <w:rPr>
          <w:b/>
          <w:bCs/>
        </w:rPr>
        <w:t> </w:t>
      </w:r>
    </w:p>
    <w:p w14:paraId="5BF297A0" w14:textId="77777777" w:rsidR="00A4121C" w:rsidRPr="00A4121C" w:rsidRDefault="00A4121C" w:rsidP="00A4121C">
      <w:r w:rsidRPr="00A4121C">
        <w:t>Los recipientes a presión deberán diseñarse y fabricarse de acuerdo con la Sección VIII, División 1 o División 2, del </w:t>
      </w:r>
      <w:r w:rsidRPr="00A4121C">
        <w:rPr>
          <w:i/>
          <w:iCs/>
        </w:rPr>
        <w:t>Código de calderas y recipientes a presión</w:t>
      </w:r>
      <w:r w:rsidRPr="00A4121C">
        <w:t> de ASME o con CSA B51, </w:t>
      </w:r>
      <w:r w:rsidRPr="00A4121C">
        <w:rPr>
          <w:i/>
          <w:iCs/>
        </w:rPr>
        <w:t>Código de calderas, recipientes a presión y tuberías a presión</w:t>
      </w:r>
      <w:r w:rsidRPr="00A4121C">
        <w:t> , y deberán estar sellados con el código.</w:t>
      </w:r>
    </w:p>
    <w:p w14:paraId="04AFB988" w14:textId="77777777" w:rsidR="00A4121C" w:rsidRPr="00A4121C" w:rsidRDefault="00A4121C" w:rsidP="00A4121C">
      <w:pPr>
        <w:rPr>
          <w:b/>
          <w:bCs/>
        </w:rPr>
      </w:pPr>
      <w:r w:rsidRPr="00A4121C">
        <w:rPr>
          <w:b/>
          <w:bCs/>
        </w:rPr>
        <w:t>7.6.5.1 </w:t>
      </w:r>
    </w:p>
    <w:p w14:paraId="646D592A" w14:textId="77777777" w:rsidR="00A4121C" w:rsidRPr="00A4121C" w:rsidRDefault="00A4121C" w:rsidP="00A4121C">
      <w:r w:rsidRPr="00A4121C">
        <w:t>Los recipientes a presión (acero inoxidable austenítico) diseñados y fabricados utilizando técnicas de estiramiento en frío deberán ser aprobados para su uso por la AHJ.</w:t>
      </w:r>
    </w:p>
    <w:p w14:paraId="52029A64" w14:textId="77777777" w:rsidR="00A4121C" w:rsidRPr="00A4121C" w:rsidRDefault="00A4121C" w:rsidP="00A4121C">
      <w:pPr>
        <w:rPr>
          <w:b/>
          <w:bCs/>
        </w:rPr>
      </w:pPr>
      <w:hyperlink r:id="rId25" w:anchor="ID00059A001933" w:history="1">
        <w:r w:rsidRPr="00A4121C">
          <w:rPr>
            <w:rStyle w:val="Hipervnculo"/>
            <w:b/>
            <w:bCs/>
          </w:rPr>
          <w:t>7.6.6*</w:t>
        </w:r>
      </w:hyperlink>
      <w:r w:rsidRPr="00A4121C">
        <w:rPr>
          <w:b/>
          <w:bCs/>
        </w:rPr>
        <w:t> </w:t>
      </w:r>
    </w:p>
    <w:p w14:paraId="48E9CB04" w14:textId="77777777" w:rsidR="00A4121C" w:rsidRPr="00A4121C" w:rsidRDefault="00A4121C" w:rsidP="00A4121C">
      <w:r w:rsidRPr="00A4121C">
        <w:t>Los intercambiadores de calor deberán diseñarse y fabricarse de acuerdo con normas reconocidas.</w:t>
      </w:r>
    </w:p>
    <w:p w14:paraId="4C1E2661" w14:textId="77777777" w:rsidR="00A4121C" w:rsidRPr="00A4121C" w:rsidRDefault="00A4121C" w:rsidP="00A4121C">
      <w:pPr>
        <w:rPr>
          <w:b/>
          <w:bCs/>
        </w:rPr>
      </w:pPr>
      <w:r w:rsidRPr="00A4121C">
        <w:rPr>
          <w:b/>
          <w:bCs/>
        </w:rPr>
        <w:t>7.6.6.1 </w:t>
      </w:r>
    </w:p>
    <w:p w14:paraId="3BB32D7B" w14:textId="77777777" w:rsidR="00A4121C" w:rsidRPr="00A4121C" w:rsidRDefault="00A4121C" w:rsidP="00A4121C">
      <w:r w:rsidRPr="00A4121C">
        <w:lastRenderedPageBreak/>
        <w:t>Los intercambiadores de calor de carcasa y tubos se diseñarán y fabricarán de acuerdo con la Sección VIII, División 1 o División 2, del </w:t>
      </w:r>
      <w:r w:rsidRPr="00A4121C">
        <w:rPr>
          <w:i/>
          <w:iCs/>
        </w:rPr>
        <w:t>Código de recipientes a presión de calderas</w:t>
      </w:r>
      <w:r w:rsidRPr="00A4121C">
        <w:t> ASME o con CSA B51, </w:t>
      </w:r>
      <w:r w:rsidRPr="00A4121C">
        <w:rPr>
          <w:i/>
          <w:iCs/>
        </w:rPr>
        <w:t>Código de calderas, recipientes a presión y tuberías a presión</w:t>
      </w:r>
      <w:r w:rsidRPr="00A4121C">
        <w:t> , cuando dichos componentes estén dentro de la jurisdicción del código de recipientes a presión.</w:t>
      </w:r>
    </w:p>
    <w:p w14:paraId="63E4A425" w14:textId="77777777" w:rsidR="00A4121C" w:rsidRPr="00A4121C" w:rsidRDefault="00A4121C" w:rsidP="00A4121C">
      <w:pPr>
        <w:rPr>
          <w:b/>
          <w:bCs/>
        </w:rPr>
      </w:pPr>
      <w:r w:rsidRPr="00A4121C">
        <w:rPr>
          <w:b/>
          <w:bCs/>
        </w:rPr>
        <w:t>7.6.6.2 </w:t>
      </w:r>
    </w:p>
    <w:p w14:paraId="5579FED3" w14:textId="77777777" w:rsidR="00A4121C" w:rsidRPr="00A4121C" w:rsidRDefault="00A4121C" w:rsidP="00A4121C">
      <w:r w:rsidRPr="00A4121C">
        <w:t>Los intercambiadores de calor de placas y aletas de aluminio soldado se deben diseñar y fabricar de acuerdo con la Sección VIII, División 1 o División 2, del </w:t>
      </w:r>
      <w:r w:rsidRPr="00A4121C">
        <w:rPr>
          <w:i/>
          <w:iCs/>
        </w:rPr>
        <w:t>Código de calderas y recipientes a presión</w:t>
      </w:r>
      <w:r w:rsidRPr="00A4121C">
        <w:t> ASME y las Normas ALPEMA </w:t>
      </w:r>
      <w:r w:rsidRPr="00A4121C">
        <w:rPr>
          <w:i/>
          <w:iCs/>
        </w:rPr>
        <w:t>de la Asociación de fabricantes de intercambiadores de calor de placas y aletas de aluminio soldado</w:t>
      </w:r>
      <w:r w:rsidRPr="00A4121C">
        <w:t> .</w:t>
      </w:r>
    </w:p>
    <w:p w14:paraId="4431C742" w14:textId="77777777" w:rsidR="00A4121C" w:rsidRPr="00A4121C" w:rsidRDefault="00A4121C" w:rsidP="00A4121C">
      <w:pPr>
        <w:rPr>
          <w:b/>
          <w:bCs/>
        </w:rPr>
      </w:pPr>
      <w:hyperlink r:id="rId26" w:anchor="ID00059A001615" w:history="1">
        <w:r w:rsidRPr="00A4121C">
          <w:rPr>
            <w:rStyle w:val="Hipervnculo"/>
            <w:b/>
            <w:bCs/>
          </w:rPr>
          <w:t>7.6.7*</w:t>
        </w:r>
      </w:hyperlink>
      <w:r w:rsidRPr="00A4121C">
        <w:rPr>
          <w:b/>
          <w:bCs/>
        </w:rPr>
        <w:t> </w:t>
      </w:r>
    </w:p>
    <w:p w14:paraId="44B60A50" w14:textId="77777777" w:rsidR="00A4121C" w:rsidRPr="00A4121C" w:rsidRDefault="00A4121C" w:rsidP="00A4121C">
      <w:r w:rsidRPr="00A4121C">
        <w:t>La instalación de motores de combustión interna o turbinas de gas que no excedan los 7500 caballos de fuerza por unidad deberá cumplir con la norma NFPA 37.</w:t>
      </w:r>
    </w:p>
    <w:p w14:paraId="16B68904" w14:textId="77777777" w:rsidR="00A4121C" w:rsidRPr="00A4121C" w:rsidRDefault="00A4121C" w:rsidP="00A4121C">
      <w:pPr>
        <w:rPr>
          <w:b/>
          <w:bCs/>
        </w:rPr>
      </w:pPr>
      <w:hyperlink r:id="rId27" w:anchor="ID00059A001935" w:history="1">
        <w:r w:rsidRPr="00A4121C">
          <w:rPr>
            <w:rStyle w:val="Hipervnculo"/>
            <w:b/>
            <w:bCs/>
          </w:rPr>
          <w:t>7.6.8*</w:t>
        </w:r>
      </w:hyperlink>
      <w:r w:rsidRPr="00A4121C">
        <w:rPr>
          <w:b/>
          <w:bCs/>
        </w:rPr>
        <w:t> </w:t>
      </w:r>
    </w:p>
    <w:p w14:paraId="73B30BC8" w14:textId="77777777" w:rsidR="00A4121C" w:rsidRPr="00A4121C" w:rsidRDefault="00A4121C" w:rsidP="00A4121C">
      <w:r w:rsidRPr="00A4121C">
        <w:t>Las antorchas instaladas para servir como parte de un sistema de despresurización de emergencia u otros propósitos del proceso deberán cumplir con normas reconocidas.</w:t>
      </w:r>
    </w:p>
    <w:p w14:paraId="36D7F3BD" w14:textId="77777777" w:rsidR="00A4121C" w:rsidRPr="00A4121C" w:rsidRDefault="00A4121C" w:rsidP="00A4121C">
      <w:pPr>
        <w:rPr>
          <w:b/>
          <w:bCs/>
        </w:rPr>
      </w:pPr>
      <w:r w:rsidRPr="00A4121C">
        <w:rPr>
          <w:b/>
          <w:bCs/>
        </w:rPr>
        <w:t>7.6.9 </w:t>
      </w:r>
    </w:p>
    <w:p w14:paraId="15AE6BB6" w14:textId="77777777" w:rsidR="00A4121C" w:rsidRPr="00A4121C" w:rsidRDefault="00A4121C" w:rsidP="00A4121C">
      <w:r w:rsidRPr="00A4121C">
        <w:t>Se deberá instalar un sistema de manejo de gases de ebullición y de evaporación instantánea separado de las válvulas de alivio de los contenedores para la eliminación segura de los vapores generados en los equipos de proceso y en los contenedores de GNL.</w:t>
      </w:r>
    </w:p>
    <w:p w14:paraId="5F66D49F" w14:textId="77777777" w:rsidR="00A4121C" w:rsidRPr="00A4121C" w:rsidRDefault="00A4121C" w:rsidP="00A4121C">
      <w:pPr>
        <w:rPr>
          <w:b/>
          <w:bCs/>
        </w:rPr>
      </w:pPr>
      <w:r w:rsidRPr="00A4121C">
        <w:rPr>
          <w:b/>
          <w:bCs/>
        </w:rPr>
        <w:t>7.6.9.1 </w:t>
      </w:r>
    </w:p>
    <w:p w14:paraId="06F7B7C0" w14:textId="77777777" w:rsidR="00A4121C" w:rsidRPr="00A4121C" w:rsidRDefault="00A4121C" w:rsidP="00A4121C">
      <w:r w:rsidRPr="00A4121C">
        <w:t>Los gases de ebullición y de evaporación instantánea se deben descargar en un sistema cerrado o en la atmósfera de manera que no creen un peligro para las personas, los equipos o las propiedades adyacentes.</w:t>
      </w:r>
    </w:p>
    <w:p w14:paraId="6850E803" w14:textId="77777777" w:rsidR="00A4121C" w:rsidRPr="00A4121C" w:rsidRDefault="00A4121C" w:rsidP="00A4121C">
      <w:pPr>
        <w:rPr>
          <w:b/>
          <w:bCs/>
        </w:rPr>
      </w:pPr>
      <w:r w:rsidRPr="00A4121C">
        <w:rPr>
          <w:b/>
          <w:bCs/>
        </w:rPr>
        <w:t>7.6.9.2 </w:t>
      </w:r>
    </w:p>
    <w:p w14:paraId="02E19BD4" w14:textId="77777777" w:rsidR="00A4121C" w:rsidRPr="00A4121C" w:rsidRDefault="00A4121C" w:rsidP="00A4121C">
      <w:r w:rsidRPr="00A4121C">
        <w:t>El sistema de ventilación de evaporación deberá estar diseñado de manera que no pueda inspirar aire durante el funcionamiento normal.</w:t>
      </w:r>
    </w:p>
    <w:p w14:paraId="2423B43D" w14:textId="77777777" w:rsidR="00A4121C" w:rsidRPr="00A4121C" w:rsidRDefault="00A4121C" w:rsidP="00A4121C">
      <w:pPr>
        <w:rPr>
          <w:b/>
          <w:bCs/>
        </w:rPr>
      </w:pPr>
      <w:r w:rsidRPr="00A4121C">
        <w:rPr>
          <w:b/>
          <w:bCs/>
        </w:rPr>
        <w:t>7.6.10 </w:t>
      </w:r>
    </w:p>
    <w:p w14:paraId="08C63FB0" w14:textId="77777777" w:rsidR="00A4121C" w:rsidRPr="00A4121C" w:rsidRDefault="00A4121C" w:rsidP="00A4121C">
      <w:r w:rsidRPr="00A4121C">
        <w:lastRenderedPageBreak/>
        <w:t>Si pueden ocurrir condiciones de vacío interno en cualquier tubería, recipientes de proceso, cajas frías u otro equipo, las tuberías y el equipo sujetos al vacío deberán estar diseñados para soportar las condiciones de vacío o se deberán tomar medidas para evitar el vacío.</w:t>
      </w:r>
    </w:p>
    <w:p w14:paraId="3885FDE8" w14:textId="77777777" w:rsidR="00A4121C" w:rsidRPr="00A4121C" w:rsidRDefault="00A4121C" w:rsidP="00A4121C">
      <w:pPr>
        <w:rPr>
          <w:b/>
          <w:bCs/>
        </w:rPr>
      </w:pPr>
      <w:r w:rsidRPr="00A4121C">
        <w:rPr>
          <w:b/>
          <w:bCs/>
        </w:rPr>
        <w:t>7.6.11 </w:t>
      </w:r>
    </w:p>
    <w:p w14:paraId="076A8540" w14:textId="77777777" w:rsidR="00A4121C" w:rsidRPr="00A4121C" w:rsidRDefault="00A4121C" w:rsidP="00A4121C">
      <w:r w:rsidRPr="00A4121C">
        <w:t>Si se introduce gas con el fin de evitar una condición de vacío, no deberá crear una mezcla inflamable dentro del sistema.</w:t>
      </w:r>
    </w:p>
    <w:p w14:paraId="1C86A52B" w14:textId="77777777" w:rsidR="000A5E3D" w:rsidRDefault="000A5E3D"/>
    <w:sectPr w:rsidR="000A5E3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B8245D" w14:textId="77777777" w:rsidR="004E7AF0" w:rsidRDefault="004E7AF0" w:rsidP="00A4121C">
      <w:pPr>
        <w:spacing w:after="0" w:line="240" w:lineRule="auto"/>
      </w:pPr>
      <w:r>
        <w:separator/>
      </w:r>
    </w:p>
  </w:endnote>
  <w:endnote w:type="continuationSeparator" w:id="0">
    <w:p w14:paraId="788F47CA" w14:textId="77777777" w:rsidR="004E7AF0" w:rsidRDefault="004E7AF0" w:rsidP="00A41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03EE4" w14:textId="77777777" w:rsidR="004E7AF0" w:rsidRDefault="004E7AF0" w:rsidP="00A4121C">
      <w:pPr>
        <w:spacing w:after="0" w:line="240" w:lineRule="auto"/>
      </w:pPr>
      <w:r>
        <w:separator/>
      </w:r>
    </w:p>
  </w:footnote>
  <w:footnote w:type="continuationSeparator" w:id="0">
    <w:p w14:paraId="43F7D3F0" w14:textId="77777777" w:rsidR="004E7AF0" w:rsidRDefault="004E7AF0" w:rsidP="00A412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9A264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F3606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9900569">
    <w:abstractNumId w:val="0"/>
  </w:num>
  <w:num w:numId="2" w16cid:durableId="1884561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121C"/>
    <w:rsid w:val="000A5E3D"/>
    <w:rsid w:val="004E7AF0"/>
    <w:rsid w:val="00670AB8"/>
    <w:rsid w:val="00A4121C"/>
    <w:rsid w:val="00A6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515B1DF"/>
  <w14:defaultImageDpi w14:val="0"/>
  <w15:docId w15:val="{AEF57DB4-F029-4668-8723-97A47C715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A4121C"/>
    <w:rPr>
      <w:rFonts w:cs="Times New Roman"/>
      <w:color w:val="467886"/>
      <w:u w:val="single"/>
    </w:rPr>
  </w:style>
  <w:style w:type="character" w:styleId="Mencinsinresolver">
    <w:name w:val="Unresolved Mention"/>
    <w:uiPriority w:val="99"/>
    <w:semiHidden/>
    <w:unhideWhenUsed/>
    <w:rsid w:val="00A4121C"/>
    <w:rPr>
      <w:rFonts w:cs="Times New Roman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121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A4121C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A4121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4121C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836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8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3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83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8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3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83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8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8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836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3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83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8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8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3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83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83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8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8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nfpa.org/publications/59A/2023/chapters/12" TargetMode="External"/><Relationship Id="rId13" Type="http://schemas.openxmlformats.org/officeDocument/2006/relationships/hyperlink" Target="https://link.nfpa.org/publications/59A/2023/annexes/A/groups/7" TargetMode="External"/><Relationship Id="rId18" Type="http://schemas.openxmlformats.org/officeDocument/2006/relationships/hyperlink" Target="https://link.nfpa.org/publications/59A/2023/annexes/A/groups/7" TargetMode="External"/><Relationship Id="rId26" Type="http://schemas.openxmlformats.org/officeDocument/2006/relationships/hyperlink" Target="https://link.nfpa.org/publications/59A/2023/annexes/A/groups/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ink.nfpa.org/publications/59A/2023/annexes/A/groups/7" TargetMode="External"/><Relationship Id="rId7" Type="http://schemas.openxmlformats.org/officeDocument/2006/relationships/hyperlink" Target="https://link.nfpa.org/publications/59A/2023/chapters/12" TargetMode="External"/><Relationship Id="rId12" Type="http://schemas.openxmlformats.org/officeDocument/2006/relationships/hyperlink" Target="https://link.nfpa.org/publications/59A/2023/annexes/A/groups/7" TargetMode="External"/><Relationship Id="rId17" Type="http://schemas.openxmlformats.org/officeDocument/2006/relationships/hyperlink" Target="https://link.nfpa.org/publications/59A/2023/annexes/A/groups/7" TargetMode="External"/><Relationship Id="rId25" Type="http://schemas.openxmlformats.org/officeDocument/2006/relationships/hyperlink" Target="https://link.nfpa.org/publications/59A/2023/annexes/A/groups/7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nfpa.org/publications/59A/2023/annexes/A/groups/7" TargetMode="External"/><Relationship Id="rId20" Type="http://schemas.openxmlformats.org/officeDocument/2006/relationships/hyperlink" Target="https://link.nfpa.org/publications/59A/2023/annexes/A/groups/7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.nfpa.org/publications/59A/2023/chapters/7" TargetMode="External"/><Relationship Id="rId24" Type="http://schemas.openxmlformats.org/officeDocument/2006/relationships/hyperlink" Target="https://link.nfpa.org/publications/59A/2023/annexes/A/groups/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ink.nfpa.org/publications/59A/2023/annexes/A/groups/7" TargetMode="External"/><Relationship Id="rId23" Type="http://schemas.openxmlformats.org/officeDocument/2006/relationships/hyperlink" Target="https://link.nfpa.org/publications/59A/2023/annexes/A/groups/7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link.nfpa.org/publications/59A/2023/chapters/7" TargetMode="External"/><Relationship Id="rId19" Type="http://schemas.openxmlformats.org/officeDocument/2006/relationships/hyperlink" Target="https://link.nfpa.org/publications/59A/2023/chapters/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nfpa.org/publications/59A/2023/chapters/12" TargetMode="External"/><Relationship Id="rId14" Type="http://schemas.openxmlformats.org/officeDocument/2006/relationships/hyperlink" Target="https://link.nfpa.org/publications/59A/2023/annexes/A/groups/7" TargetMode="External"/><Relationship Id="rId22" Type="http://schemas.openxmlformats.org/officeDocument/2006/relationships/hyperlink" Target="https://link.nfpa.org/publications/59A/2023/annexes/A/groups/7" TargetMode="External"/><Relationship Id="rId27" Type="http://schemas.openxmlformats.org/officeDocument/2006/relationships/hyperlink" Target="https://link.nfpa.org/publications/59A/2023/annexes/A/groups/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1366</Words>
  <Characters>7518</Characters>
  <Application>Microsoft Office Word</Application>
  <DocSecurity>0</DocSecurity>
  <Lines>62</Lines>
  <Paragraphs>17</Paragraphs>
  <ScaleCrop>false</ScaleCrop>
  <Company/>
  <LinksUpToDate>false</LinksUpToDate>
  <CharactersWithSpaces>8867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I202403378 (Arias LEDESMA,LUIS ALBERTO)</dc:creator>
  <cp:keywords/>
  <dc:description/>
  <cp:lastModifiedBy>I202403378 (Arias LEDESMA,LUIS ALBERTO)</cp:lastModifiedBy>
  <cp:revision>2</cp:revision>
  <dcterms:created xsi:type="dcterms:W3CDTF">2025-05-07T21:44:00Z</dcterms:created>
  <dcterms:modified xsi:type="dcterms:W3CDTF">2025-05-07T21:44:00Z</dcterms:modified>
</cp:coreProperties>
</file>