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0089E" w14:textId="77777777" w:rsidR="00923186" w:rsidRPr="00923186" w:rsidRDefault="00923186" w:rsidP="00923186">
      <w:r w:rsidRPr="00923186">
        <w:t>Instrumentación y Servicios Eléctricos</w:t>
      </w:r>
    </w:p>
    <w:p w14:paraId="2FA73F5C" w14:textId="77777777" w:rsidR="00923186" w:rsidRPr="00923186" w:rsidRDefault="00923186" w:rsidP="00923186">
      <w:r w:rsidRPr="00923186">
        <w:t>11.1 Alcance.</w:t>
      </w:r>
    </w:p>
    <w:p w14:paraId="3E367B79" w14:textId="77777777" w:rsidR="00923186" w:rsidRPr="00923186" w:rsidRDefault="00923186" w:rsidP="00923186">
      <w:r w:rsidRPr="00923186">
        <w:t>Este capítulo cubre los requisitos de instrumentación, controles y sistemas eléctricos para la instalación de GNL.</w:t>
      </w:r>
    </w:p>
    <w:p w14:paraId="4B2B9CA2" w14:textId="77777777" w:rsidR="00923186" w:rsidRPr="00923186" w:rsidRDefault="00923186" w:rsidP="00923186">
      <w:r w:rsidRPr="00923186">
        <w:pict w14:anchorId="67B9A213">
          <v:rect id="_x0000_i1110" style="width:0;height:1.5pt" o:hralign="center" o:hrstd="t" o:hr="t" fillcolor="#a0a0a0" stroked="f"/>
        </w:pict>
      </w:r>
    </w:p>
    <w:p w14:paraId="6324DE39" w14:textId="77777777" w:rsidR="00923186" w:rsidRPr="00923186" w:rsidRDefault="00923186" w:rsidP="00923186">
      <w:hyperlink r:id="rId5" w:anchor="ID00059A001971" w:history="1">
        <w:r w:rsidRPr="00923186">
          <w:rPr>
            <w:rStyle w:val="Hipervnculo"/>
          </w:rPr>
          <w:t>11.2*</w:t>
        </w:r>
      </w:hyperlink>
      <w:r w:rsidRPr="00923186">
        <w:t>  Generalidades.</w:t>
      </w:r>
    </w:p>
    <w:p w14:paraId="186E15B7" w14:textId="77777777" w:rsidR="00923186" w:rsidRPr="00923186" w:rsidRDefault="00923186" w:rsidP="00923186">
      <w:r w:rsidRPr="00923186">
        <w:t>Se incluirá instrumentación para controlar el proceso dentro del rango de operación seguro, así como dispositivos de alarma o parada en caso de desviaciones fuera del rango de operación seguro. La instrumentación se especificará y proporcionará de acuerdo con las normas reconocidas.</w:t>
      </w:r>
    </w:p>
    <w:p w14:paraId="5243BB43" w14:textId="77777777" w:rsidR="00923186" w:rsidRPr="00923186" w:rsidRDefault="00923186" w:rsidP="00923186">
      <w:r w:rsidRPr="00923186">
        <w:pict w14:anchorId="578BAFE2">
          <v:rect id="_x0000_i1111" style="width:0;height:1.5pt" o:hralign="center" o:hrstd="t" o:hr="t" fillcolor="#a0a0a0" stroked="f"/>
        </w:pict>
      </w:r>
    </w:p>
    <w:p w14:paraId="0B73D282" w14:textId="77777777" w:rsidR="00923186" w:rsidRPr="00923186" w:rsidRDefault="00923186" w:rsidP="00923186">
      <w:r w:rsidRPr="00923186">
        <w:t>11.3 Medición del nivel de líquido.</w:t>
      </w:r>
    </w:p>
    <w:p w14:paraId="755F7E8B" w14:textId="77777777" w:rsidR="00923186" w:rsidRPr="00923186" w:rsidRDefault="00923186" w:rsidP="00923186">
      <w:pPr>
        <w:rPr>
          <w:b/>
          <w:bCs/>
        </w:rPr>
      </w:pPr>
      <w:r w:rsidRPr="00923186">
        <w:rPr>
          <w:b/>
          <w:bCs/>
        </w:rPr>
        <w:t>11.3.1 Contenedores de GNL.</w:t>
      </w:r>
    </w:p>
    <w:p w14:paraId="6B8698F9" w14:textId="77777777" w:rsidR="00923186" w:rsidRPr="00923186" w:rsidRDefault="00923186" w:rsidP="00923186">
      <w:r w:rsidRPr="00923186">
        <w:rPr>
          <w:b/>
          <w:bCs/>
        </w:rPr>
        <w:t>11.3.1.1 </w:t>
      </w:r>
    </w:p>
    <w:p w14:paraId="25A779AD" w14:textId="77777777" w:rsidR="00923186" w:rsidRPr="00923186" w:rsidRDefault="00923186" w:rsidP="00923186">
      <w:r w:rsidRPr="00923186">
        <w:t>Los contenedores de GNL deberán estar equipados con dispositivos de medición del nivel de líquido como se indica a continuación:</w:t>
      </w:r>
    </w:p>
    <w:p w14:paraId="24F3A702" w14:textId="77777777" w:rsidR="00923186" w:rsidRPr="00923186" w:rsidRDefault="00923186" w:rsidP="00923186">
      <w:pPr>
        <w:numPr>
          <w:ilvl w:val="0"/>
          <w:numId w:val="1"/>
        </w:numPr>
      </w:pPr>
      <w:r w:rsidRPr="00923186">
        <w:t>(1)</w:t>
      </w:r>
    </w:p>
    <w:p w14:paraId="325AC44E" w14:textId="77777777" w:rsidR="00923186" w:rsidRPr="00923186" w:rsidRDefault="00923186" w:rsidP="00923186">
      <w:r w:rsidRPr="00923186">
        <w:t>Los contenedores de menos de 1000 gal (3,8 m </w:t>
      </w:r>
      <w:r w:rsidRPr="00923186">
        <w:rPr>
          <w:vertAlign w:val="superscript"/>
        </w:rPr>
        <w:t>3</w:t>
      </w:r>
      <w:r w:rsidRPr="00923186">
        <w:t> ) deberán estar equipados con un tubo de inmersión de longitud fija u otros dispositivos de nivel.</w:t>
      </w:r>
    </w:p>
    <w:p w14:paraId="5F29B03D" w14:textId="77777777" w:rsidR="00923186" w:rsidRPr="00923186" w:rsidRDefault="00923186" w:rsidP="00923186">
      <w:pPr>
        <w:numPr>
          <w:ilvl w:val="0"/>
          <w:numId w:val="1"/>
        </w:numPr>
      </w:pPr>
      <w:r w:rsidRPr="00923186">
        <w:t>(2)</w:t>
      </w:r>
    </w:p>
    <w:p w14:paraId="5D5AEE13" w14:textId="77777777" w:rsidR="00923186" w:rsidRPr="00923186" w:rsidRDefault="00923186" w:rsidP="00923186">
      <w:r w:rsidRPr="00923186">
        <w:lastRenderedPageBreak/>
        <w:t>Los contenedores de 1000 gal (3,8 m </w:t>
      </w:r>
      <w:r w:rsidRPr="00923186">
        <w:rPr>
          <w:vertAlign w:val="superscript"/>
        </w:rPr>
        <w:t>3</w:t>
      </w:r>
      <w:r w:rsidRPr="00923186">
        <w:t> ) a 30 000 gal (113,5 m </w:t>
      </w:r>
      <w:r w:rsidRPr="00923186">
        <w:rPr>
          <w:vertAlign w:val="superscript"/>
        </w:rPr>
        <w:t>3</w:t>
      </w:r>
      <w:r w:rsidRPr="00923186">
        <w:t> ) deberán tener como mínimo un dispositivo de nivel de líquido que proporcione una indicación de nivel continua desde lleno hasta vacío.</w:t>
      </w:r>
    </w:p>
    <w:p w14:paraId="046C278C" w14:textId="77777777" w:rsidR="00923186" w:rsidRPr="00923186" w:rsidRDefault="00923186" w:rsidP="00923186">
      <w:pPr>
        <w:numPr>
          <w:ilvl w:val="0"/>
          <w:numId w:val="1"/>
        </w:numPr>
      </w:pPr>
      <w:r w:rsidRPr="00923186">
        <w:t>(3)</w:t>
      </w:r>
    </w:p>
    <w:p w14:paraId="4435D4C4" w14:textId="77777777" w:rsidR="00923186" w:rsidRPr="00923186" w:rsidRDefault="00923186" w:rsidP="00923186">
      <w:r w:rsidRPr="00923186">
        <w:t>Los contenedores de más de 30.000 gal (113,5 m </w:t>
      </w:r>
      <w:r w:rsidRPr="00923186">
        <w:rPr>
          <w:vertAlign w:val="superscript"/>
        </w:rPr>
        <w:t>3</w:t>
      </w:r>
      <w:r w:rsidRPr="00923186">
        <w:t> ) deberán tener dos dispositivos independientes que compensen las variaciones en la densidad del líquido.</w:t>
      </w:r>
    </w:p>
    <w:p w14:paraId="603031CD" w14:textId="77777777" w:rsidR="00923186" w:rsidRPr="00923186" w:rsidRDefault="00923186" w:rsidP="00923186">
      <w:pPr>
        <w:rPr>
          <w:b/>
          <w:bCs/>
        </w:rPr>
      </w:pPr>
      <w:r w:rsidRPr="00923186">
        <w:rPr>
          <w:b/>
          <w:bCs/>
        </w:rPr>
        <w:t>11.3.1.2 </w:t>
      </w:r>
    </w:p>
    <w:p w14:paraId="33F37411" w14:textId="77777777" w:rsidR="00923186" w:rsidRPr="00923186" w:rsidRDefault="00923186" w:rsidP="00923186">
      <w:r w:rsidRPr="00923186">
        <w:t>Los dispositivos de medición en contenedores de 1000 gal (3,8 m3 </w:t>
      </w:r>
      <w:r w:rsidRPr="00923186">
        <w:rPr>
          <w:vertAlign w:val="superscript"/>
        </w:rPr>
        <w:t>)</w:t>
      </w:r>
      <w:r w:rsidRPr="00923186">
        <w:t> o más grandes deberán diseñarse e instalarse de manera que puedan reemplazarse sin necesidad de dejar el contenedor fuera de funcionamiento.</w:t>
      </w:r>
    </w:p>
    <w:p w14:paraId="1DB88DEA" w14:textId="77777777" w:rsidR="00923186" w:rsidRPr="00923186" w:rsidRDefault="00923186" w:rsidP="00923186">
      <w:pPr>
        <w:rPr>
          <w:b/>
          <w:bCs/>
        </w:rPr>
      </w:pPr>
      <w:r w:rsidRPr="00923186">
        <w:rPr>
          <w:b/>
          <w:bCs/>
        </w:rPr>
        <w:t>11.3.1.3 </w:t>
      </w:r>
    </w:p>
    <w:p w14:paraId="4C290666" w14:textId="77777777" w:rsidR="00923186" w:rsidRPr="00923186" w:rsidRDefault="00923186" w:rsidP="00923186">
      <w:r w:rsidRPr="00923186">
        <w:t>Cada contenedor de más de 30.000 gal (113,5 m3 </w:t>
      </w:r>
      <w:r w:rsidRPr="00923186">
        <w:rPr>
          <w:vertAlign w:val="superscript"/>
        </w:rPr>
        <w:t>)</w:t>
      </w:r>
      <w:r w:rsidRPr="00923186">
        <w:t> deberá estar provisto de dos alarmas independientes de nivel alto de líquido para contenedores, que podrán formar parte de los dispositivos de medición del nivel de líquido.</w:t>
      </w:r>
    </w:p>
    <w:p w14:paraId="5CE76054" w14:textId="77777777" w:rsidR="00923186" w:rsidRPr="00923186" w:rsidRDefault="00923186" w:rsidP="00923186">
      <w:pPr>
        <w:rPr>
          <w:b/>
          <w:bCs/>
        </w:rPr>
      </w:pPr>
      <w:hyperlink r:id="rId6" w:anchor="ID00059A001972" w:history="1">
        <w:r w:rsidRPr="00923186">
          <w:rPr>
            <w:rStyle w:val="Hipervnculo"/>
            <w:b/>
            <w:bCs/>
          </w:rPr>
          <w:t>11.3.1.3.1*</w:t>
        </w:r>
      </w:hyperlink>
      <w:r w:rsidRPr="00923186">
        <w:rPr>
          <w:b/>
          <w:bCs/>
        </w:rPr>
        <w:t> </w:t>
      </w:r>
    </w:p>
    <w:p w14:paraId="33675839" w14:textId="77777777" w:rsidR="00923186" w:rsidRPr="00923186" w:rsidRDefault="00923186" w:rsidP="00923186">
      <w:r w:rsidRPr="00923186">
        <w:t>La alarma deberá estar configurada de manera que el operador pueda detener el flujo sin exceder la altura máxima de llenado permitida y deberá estar ubicada de manera que sea audible y visible para el personal que controla el llenado.</w:t>
      </w:r>
    </w:p>
    <w:p w14:paraId="1EB05727" w14:textId="77777777" w:rsidR="00923186" w:rsidRPr="00923186" w:rsidRDefault="00923186" w:rsidP="00923186">
      <w:pPr>
        <w:rPr>
          <w:b/>
          <w:bCs/>
        </w:rPr>
      </w:pPr>
      <w:r w:rsidRPr="00923186">
        <w:rPr>
          <w:b/>
          <w:bCs/>
        </w:rPr>
        <w:t>11.3.1.3.2 </w:t>
      </w:r>
    </w:p>
    <w:p w14:paraId="6E0C41D7" w14:textId="77777777" w:rsidR="00923186" w:rsidRPr="00923186" w:rsidRDefault="00923186" w:rsidP="00923186">
      <w:r w:rsidRPr="00923186">
        <w:t>El dispositivo de corte de flujo por alto nivel de líquido requerido en </w:t>
      </w:r>
      <w:hyperlink r:id="rId7" w:anchor="ID00059A000779" w:history="1">
        <w:r w:rsidRPr="00923186">
          <w:rPr>
            <w:rStyle w:val="Hipervnculo"/>
            <w:b/>
            <w:bCs/>
          </w:rPr>
          <w:t>11.3.1.4</w:t>
        </w:r>
      </w:hyperlink>
      <w:r w:rsidRPr="00923186">
        <w:t> no se considerará un sustituto de la alarma.</w:t>
      </w:r>
    </w:p>
    <w:p w14:paraId="6746CAAA" w14:textId="77777777" w:rsidR="00923186" w:rsidRPr="00923186" w:rsidRDefault="00923186" w:rsidP="00923186">
      <w:pPr>
        <w:rPr>
          <w:b/>
          <w:bCs/>
        </w:rPr>
      </w:pPr>
      <w:r w:rsidRPr="00923186">
        <w:rPr>
          <w:b/>
          <w:bCs/>
        </w:rPr>
        <w:t>11.3.1.4 </w:t>
      </w:r>
    </w:p>
    <w:p w14:paraId="21D9DBD0" w14:textId="77777777" w:rsidR="00923186" w:rsidRPr="00923186" w:rsidRDefault="00923186" w:rsidP="00923186">
      <w:r w:rsidRPr="00923186">
        <w:t>El contenedor de GNL deberá estar equipado con un dispositivo de corte de flujo por alto nivel de líquido, que deberá estar separado de todos los medidores.</w:t>
      </w:r>
    </w:p>
    <w:p w14:paraId="3DD27E4C" w14:textId="77777777" w:rsidR="00923186" w:rsidRPr="00923186" w:rsidRDefault="00923186" w:rsidP="00923186">
      <w:pPr>
        <w:rPr>
          <w:b/>
          <w:bCs/>
        </w:rPr>
      </w:pPr>
      <w:r w:rsidRPr="00923186">
        <w:rPr>
          <w:b/>
          <w:bCs/>
        </w:rPr>
        <w:lastRenderedPageBreak/>
        <w:t>11.3.2 Tanques para refrigerantes o líquidos inflamables .</w:t>
      </w:r>
    </w:p>
    <w:p w14:paraId="4F440B3E" w14:textId="77777777" w:rsidR="00923186" w:rsidRPr="00923186" w:rsidRDefault="00923186" w:rsidP="00923186">
      <w:r w:rsidRPr="00923186">
        <w:rPr>
          <w:b/>
          <w:bCs/>
        </w:rPr>
        <w:t>11.3.2.1 </w:t>
      </w:r>
    </w:p>
    <w:p w14:paraId="00701701" w14:textId="77777777" w:rsidR="00923186" w:rsidRPr="00923186" w:rsidRDefault="00923186" w:rsidP="00923186">
      <w:r w:rsidRPr="00923186">
        <w:t>Cada tanque de almacenamiento deberá estar equipado con dos dispositivos independientes de medición del nivel de líquido.</w:t>
      </w:r>
    </w:p>
    <w:p w14:paraId="672F2DCB" w14:textId="77777777" w:rsidR="00923186" w:rsidRPr="00923186" w:rsidRDefault="00923186" w:rsidP="00923186">
      <w:pPr>
        <w:rPr>
          <w:b/>
          <w:bCs/>
        </w:rPr>
      </w:pPr>
      <w:r w:rsidRPr="00923186">
        <w:rPr>
          <w:b/>
          <w:bCs/>
        </w:rPr>
        <w:t>11.3.2.2 </w:t>
      </w:r>
    </w:p>
    <w:p w14:paraId="17FCB9F0" w14:textId="77777777" w:rsidR="00923186" w:rsidRPr="00923186" w:rsidRDefault="00923186" w:rsidP="00923186">
      <w:r w:rsidRPr="00923186">
        <w:t>Si es posible llenar demasiado el tanque, se deberá instalar una alarma de alto nivel de líquido de acuerdo con </w:t>
      </w:r>
      <w:hyperlink r:id="rId8" w:anchor="ID00059A000776" w:history="1">
        <w:r w:rsidRPr="00923186">
          <w:rPr>
            <w:rStyle w:val="Hipervnculo"/>
            <w:b/>
            <w:bCs/>
          </w:rPr>
          <w:t>11.3.1.3</w:t>
        </w:r>
      </w:hyperlink>
      <w:r w:rsidRPr="00923186">
        <w:t> .</w:t>
      </w:r>
    </w:p>
    <w:p w14:paraId="5575EE6C" w14:textId="77777777" w:rsidR="00923186" w:rsidRPr="00923186" w:rsidRDefault="00923186" w:rsidP="00923186">
      <w:pPr>
        <w:rPr>
          <w:b/>
          <w:bCs/>
        </w:rPr>
      </w:pPr>
      <w:r w:rsidRPr="00923186">
        <w:rPr>
          <w:b/>
          <w:bCs/>
        </w:rPr>
        <w:t>11.3.2.3 </w:t>
      </w:r>
    </w:p>
    <w:p w14:paraId="284894F4" w14:textId="77777777" w:rsidR="00923186" w:rsidRPr="00923186" w:rsidRDefault="00923186" w:rsidP="00923186">
      <w:r w:rsidRPr="00923186">
        <w:t>Los requisitos del </w:t>
      </w:r>
      <w:hyperlink r:id="rId9" w:anchor="ID00059A000779" w:history="1">
        <w:r w:rsidRPr="00923186">
          <w:rPr>
            <w:rStyle w:val="Hipervnculo"/>
            <w:b/>
            <w:bCs/>
          </w:rPr>
          <w:t>11.3.1.4</w:t>
        </w:r>
      </w:hyperlink>
      <w:r w:rsidRPr="00923186">
        <w:t> se aplicarán a las instalaciones de refrigerantes o líquidos inflamables .</w:t>
      </w:r>
    </w:p>
    <w:p w14:paraId="038727D1" w14:textId="77777777" w:rsidR="00923186" w:rsidRPr="00923186" w:rsidRDefault="00923186" w:rsidP="00923186">
      <w:r w:rsidRPr="00923186">
        <w:pict w14:anchorId="24E74A0B">
          <v:rect id="_x0000_i1112" style="width:0;height:1.5pt" o:hralign="center" o:hrstd="t" o:hr="t" fillcolor="#a0a0a0" stroked="f"/>
        </w:pict>
      </w:r>
    </w:p>
    <w:p w14:paraId="730F21DD" w14:textId="77777777" w:rsidR="00923186" w:rsidRPr="00923186" w:rsidRDefault="00923186" w:rsidP="00923186">
      <w:r w:rsidRPr="00923186">
        <w:t>11.4 Medición de presión.</w:t>
      </w:r>
    </w:p>
    <w:p w14:paraId="26930A2E" w14:textId="77777777" w:rsidR="00923186" w:rsidRPr="00923186" w:rsidRDefault="00923186" w:rsidP="00923186">
      <w:pPr>
        <w:rPr>
          <w:b/>
          <w:bCs/>
        </w:rPr>
      </w:pPr>
      <w:r w:rsidRPr="00923186">
        <w:rPr>
          <w:b/>
          <w:bCs/>
        </w:rPr>
        <w:t>11.4.1 </w:t>
      </w:r>
    </w:p>
    <w:p w14:paraId="71FA59F4" w14:textId="77777777" w:rsidR="00923186" w:rsidRPr="00923186" w:rsidRDefault="00923186" w:rsidP="00923186">
      <w:r w:rsidRPr="00923186">
        <w:t>Cada contenedor de GNL deberá estar equipado con un mínimo de dos dispositivos de medición de presión independientes conectados al contenedor en un punto por encima del nivel máximo de líquido previsto para monitoreo continuo y alarmas de alta y baja presión.</w:t>
      </w:r>
    </w:p>
    <w:p w14:paraId="2C59DE47" w14:textId="77777777" w:rsidR="00923186" w:rsidRPr="00923186" w:rsidRDefault="00923186" w:rsidP="00923186">
      <w:pPr>
        <w:rPr>
          <w:b/>
          <w:bCs/>
        </w:rPr>
      </w:pPr>
      <w:r w:rsidRPr="00923186">
        <w:rPr>
          <w:b/>
          <w:bCs/>
        </w:rPr>
        <w:t>11.4.2 </w:t>
      </w:r>
    </w:p>
    <w:p w14:paraId="0EB10E5B" w14:textId="77777777" w:rsidR="00923186" w:rsidRPr="00923186" w:rsidRDefault="00923186" w:rsidP="00923186">
      <w:r w:rsidRPr="00923186">
        <w:t>Cada contenedor de fluido peligroso que no sea GNL deberá estar equipado con un manómetro conectado al contenedor en un punto por encima del nivel máximo previsto de líquido para monitoreo continuo y alarmas de alta y baja presión.</w:t>
      </w:r>
    </w:p>
    <w:p w14:paraId="39807441" w14:textId="77777777" w:rsidR="00923186" w:rsidRPr="00923186" w:rsidRDefault="00923186" w:rsidP="00923186">
      <w:r w:rsidRPr="00923186">
        <w:pict w14:anchorId="581052C6">
          <v:rect id="_x0000_i1113" style="width:0;height:1.5pt" o:hralign="center" o:hrstd="t" o:hr="t" fillcolor="#a0a0a0" stroked="f"/>
        </w:pict>
      </w:r>
    </w:p>
    <w:p w14:paraId="0FF8A820" w14:textId="77777777" w:rsidR="00923186" w:rsidRPr="00923186" w:rsidRDefault="00923186" w:rsidP="00923186">
      <w:r w:rsidRPr="00923186">
        <w:t>11.5 Medición de vacío.</w:t>
      </w:r>
    </w:p>
    <w:p w14:paraId="5156842E" w14:textId="77777777" w:rsidR="00923186" w:rsidRPr="00923186" w:rsidRDefault="00923186" w:rsidP="00923186">
      <w:r w:rsidRPr="00923186">
        <w:lastRenderedPageBreak/>
        <w:t>Los componentes con camisa de vacío deberán estar equipados con instrumentos o conexiones para comprobar la presión absoluta en el espacio anular.</w:t>
      </w:r>
    </w:p>
    <w:p w14:paraId="7F19A728" w14:textId="77777777" w:rsidR="00923186" w:rsidRPr="00923186" w:rsidRDefault="00923186" w:rsidP="00923186">
      <w:r w:rsidRPr="00923186">
        <w:pict w14:anchorId="05445A6A">
          <v:rect id="_x0000_i1114" style="width:0;height:1.5pt" o:hralign="center" o:hrstd="t" o:hr="t" fillcolor="#a0a0a0" stroked="f"/>
        </w:pict>
      </w:r>
    </w:p>
    <w:p w14:paraId="162EB08E" w14:textId="77777777" w:rsidR="00923186" w:rsidRPr="00923186" w:rsidRDefault="00923186" w:rsidP="00923186">
      <w:r w:rsidRPr="00923186">
        <w:t>11.6 Indicadores de temperatura.</w:t>
      </w:r>
    </w:p>
    <w:p w14:paraId="1837F75A" w14:textId="77777777" w:rsidR="00923186" w:rsidRPr="00923186" w:rsidRDefault="00923186" w:rsidP="00923186">
      <w:r w:rsidRPr="00923186">
        <w:t>Se deben proporcionar dispositivos de monitoreo de temperatura en contenedores montados en campo para ayudar a controlar las temperaturas cuando el contenedor se pone en servicio o como un método para verificar y calibrar indicadores de nivel de líquido.</w:t>
      </w:r>
    </w:p>
    <w:p w14:paraId="36190147" w14:textId="77777777" w:rsidR="00923186" w:rsidRPr="00923186" w:rsidRDefault="00923186" w:rsidP="00923186">
      <w:pPr>
        <w:rPr>
          <w:b/>
          <w:bCs/>
        </w:rPr>
      </w:pPr>
      <w:r w:rsidRPr="00923186">
        <w:rPr>
          <w:b/>
          <w:bCs/>
        </w:rPr>
        <w:t>11.6.1 </w:t>
      </w:r>
    </w:p>
    <w:p w14:paraId="7852C281" w14:textId="77777777" w:rsidR="00923186" w:rsidRPr="00923186" w:rsidRDefault="00923186" w:rsidP="00923186">
      <w:r w:rsidRPr="00923186">
        <w:t>Cuando exista un riesgo potencial de daño a las tuberías y componentes aguas abajo de los intercambiadores de calor debido a limitaciones de temperatura, se deberá proporcionar una indicación para monitorear las temperaturas de salida.</w:t>
      </w:r>
    </w:p>
    <w:p w14:paraId="19FCB42B" w14:textId="77777777" w:rsidR="00923186" w:rsidRPr="00923186" w:rsidRDefault="00923186" w:rsidP="00923186">
      <w:pPr>
        <w:rPr>
          <w:b/>
          <w:bCs/>
        </w:rPr>
      </w:pPr>
      <w:r w:rsidRPr="00923186">
        <w:rPr>
          <w:b/>
          <w:bCs/>
        </w:rPr>
        <w:t>11.6.2 </w:t>
      </w:r>
    </w:p>
    <w:p w14:paraId="0E989F47" w14:textId="77777777" w:rsidR="00923186" w:rsidRPr="00923186" w:rsidRDefault="00923186" w:rsidP="00923186">
      <w:r w:rsidRPr="00923186">
        <w:t>Se deberán instalar sistemas de monitoreo de temperatura y de alarma donde los cimientos que sostienen contenedores y equipos criogénicos podrían verse afectados negativamente por la congelación o el levantamiento del suelo por congelación.</w:t>
      </w:r>
    </w:p>
    <w:p w14:paraId="10232F7A" w14:textId="77777777" w:rsidR="00923186" w:rsidRPr="00923186" w:rsidRDefault="00923186" w:rsidP="00923186">
      <w:pPr>
        <w:rPr>
          <w:b/>
          <w:bCs/>
        </w:rPr>
      </w:pPr>
      <w:r w:rsidRPr="00923186">
        <w:rPr>
          <w:b/>
          <w:bCs/>
        </w:rPr>
        <w:t>11.6.3 </w:t>
      </w:r>
    </w:p>
    <w:p w14:paraId="30E11624" w14:textId="77777777" w:rsidR="00923186" w:rsidRPr="00923186" w:rsidRDefault="00923186" w:rsidP="00923186">
      <w:r w:rsidRPr="00923186">
        <w:t>Se deberán instalar sistemas de monitoreo de temperatura y de alarma donde las tuberías criogénicas subterráneas puedan causar congelamiento o levantamiento del suelo por congelación y verse afectadas negativamente por ello.</w:t>
      </w:r>
    </w:p>
    <w:p w14:paraId="461B2D1B" w14:textId="77777777" w:rsidR="00923186" w:rsidRPr="00923186" w:rsidRDefault="00923186" w:rsidP="00923186">
      <w:r w:rsidRPr="00923186">
        <w:pict w14:anchorId="2A4D37E0">
          <v:rect id="_x0000_i1115" style="width:0;height:1.5pt" o:hralign="center" o:hrstd="t" o:hr="t" fillcolor="#a0a0a0" stroked="f"/>
        </w:pict>
      </w:r>
    </w:p>
    <w:p w14:paraId="1B9E5055" w14:textId="77777777" w:rsidR="00923186" w:rsidRPr="00923186" w:rsidRDefault="00923186" w:rsidP="00923186">
      <w:r w:rsidRPr="00923186">
        <w:t>11.7 Sistemas de control.</w:t>
      </w:r>
    </w:p>
    <w:p w14:paraId="237C9975" w14:textId="77777777" w:rsidR="00923186" w:rsidRPr="00923186" w:rsidRDefault="00923186" w:rsidP="00923186">
      <w:pPr>
        <w:rPr>
          <w:b/>
          <w:bCs/>
        </w:rPr>
      </w:pPr>
      <w:hyperlink r:id="rId10" w:anchor="ID00059A001979" w:history="1">
        <w:r w:rsidRPr="00923186">
          <w:rPr>
            <w:rStyle w:val="Hipervnculo"/>
            <w:b/>
            <w:bCs/>
          </w:rPr>
          <w:t>11.7.1*</w:t>
        </w:r>
      </w:hyperlink>
      <w:r w:rsidRPr="00923186">
        <w:rPr>
          <w:b/>
          <w:bCs/>
        </w:rPr>
        <w:t> </w:t>
      </w:r>
    </w:p>
    <w:p w14:paraId="7E17E967" w14:textId="77777777" w:rsidR="00923186" w:rsidRPr="00923186" w:rsidRDefault="00923186" w:rsidP="00923186">
      <w:r w:rsidRPr="00923186">
        <w:lastRenderedPageBreak/>
        <w:t>Los centros de control requeridos por </w:t>
      </w:r>
      <w:hyperlink r:id="rId11" w:anchor="ID00059A001293" w:history="1">
        <w:r w:rsidRPr="00923186">
          <w:rPr>
            <w:rStyle w:val="Hipervnculo"/>
            <w:b/>
            <w:bCs/>
          </w:rPr>
          <w:t>18.6.1</w:t>
        </w:r>
      </w:hyperlink>
      <w:r w:rsidRPr="00923186">
        <w:t> , los sistemas de control de procesos y los sistemas instrumentados de seguridad deberán diseñarse, fabricarse, instalarse y documentarse de acuerdo con normas reconocidas.</w:t>
      </w:r>
    </w:p>
    <w:p w14:paraId="766214B1" w14:textId="77777777" w:rsidR="00923186" w:rsidRPr="00923186" w:rsidRDefault="00923186" w:rsidP="00923186">
      <w:pPr>
        <w:rPr>
          <w:b/>
          <w:bCs/>
        </w:rPr>
      </w:pPr>
      <w:hyperlink r:id="rId12" w:anchor="ID00059A001981" w:history="1">
        <w:r w:rsidRPr="00923186">
          <w:rPr>
            <w:rStyle w:val="Hipervnculo"/>
            <w:b/>
            <w:bCs/>
          </w:rPr>
          <w:t>11.7.2*</w:t>
        </w:r>
      </w:hyperlink>
      <w:r w:rsidRPr="00923186">
        <w:rPr>
          <w:b/>
          <w:bCs/>
        </w:rPr>
        <w:t> </w:t>
      </w:r>
    </w:p>
    <w:p w14:paraId="2BC0C94E" w14:textId="77777777" w:rsidR="00923186" w:rsidRPr="00923186" w:rsidRDefault="00923186" w:rsidP="00923186">
      <w:r w:rsidRPr="00923186">
        <w:t>Se deberá realizar una evaluación de vulnerabilidad de ciberseguridad de los sistemas de control de procesos y de los sistemas instrumentados de seguridad y revisarla cada 2 años, sin exceder los 27 meses, o en intervalos determinados por la Autoridad competente, y revisarse según sea necesario.</w:t>
      </w:r>
    </w:p>
    <w:p w14:paraId="1DF78AAF" w14:textId="77777777" w:rsidR="00923186" w:rsidRPr="00923186" w:rsidRDefault="00923186" w:rsidP="00923186">
      <w:r w:rsidRPr="00923186">
        <w:pict w14:anchorId="6F655C05">
          <v:rect id="_x0000_i1116" style="width:0;height:1.5pt" o:hralign="center" o:hrstd="t" o:hr="t" fillcolor="#a0a0a0" stroked="f"/>
        </w:pict>
      </w:r>
    </w:p>
    <w:p w14:paraId="3C900AC8" w14:textId="77777777" w:rsidR="00923186" w:rsidRPr="00923186" w:rsidRDefault="00923186" w:rsidP="00923186">
      <w:r w:rsidRPr="00923186">
        <w:t>11.8 Diseño a prueba de fallos.</w:t>
      </w:r>
    </w:p>
    <w:p w14:paraId="7CFA5EC3" w14:textId="77777777" w:rsidR="00923186" w:rsidRPr="00923186" w:rsidRDefault="00923186" w:rsidP="00923186">
      <w:r w:rsidRPr="00923186">
        <w:t>Los dispositivos de instrumentación y control deberán estar diseñados de manera que, en caso de que ocurra una falla de energía o de aire de instrumentación, el sistema pase a una condición a prueba de fallas que se mantenga hasta que los operadores puedan tomar medidas para reactivarlo o asegurar el sistema.</w:t>
      </w:r>
    </w:p>
    <w:p w14:paraId="2C126351" w14:textId="77777777" w:rsidR="00923186" w:rsidRPr="00923186" w:rsidRDefault="00923186" w:rsidP="00923186">
      <w:r w:rsidRPr="00923186">
        <w:pict w14:anchorId="1E882F3E">
          <v:rect id="_x0000_i1117" style="width:0;height:1.5pt" o:hralign="center" o:hrstd="t" o:hr="t" fillcolor="#a0a0a0" stroked="f"/>
        </w:pict>
      </w:r>
    </w:p>
    <w:p w14:paraId="5878D34C" w14:textId="77777777" w:rsidR="00923186" w:rsidRPr="00923186" w:rsidRDefault="00923186" w:rsidP="00923186">
      <w:r w:rsidRPr="00923186">
        <w:t>11.9 Equipo eléctrico.</w:t>
      </w:r>
    </w:p>
    <w:p w14:paraId="2E4EDF48" w14:textId="77777777" w:rsidR="00923186" w:rsidRPr="00923186" w:rsidRDefault="00923186" w:rsidP="00923186">
      <w:pPr>
        <w:rPr>
          <w:b/>
          <w:bCs/>
        </w:rPr>
      </w:pPr>
      <w:hyperlink r:id="rId13" w:anchor="ID00059A001983" w:history="1">
        <w:r w:rsidRPr="00923186">
          <w:rPr>
            <w:rStyle w:val="Hipervnculo"/>
            <w:b/>
            <w:bCs/>
          </w:rPr>
          <w:t>11.9.1*</w:t>
        </w:r>
      </w:hyperlink>
      <w:r w:rsidRPr="00923186">
        <w:rPr>
          <w:b/>
          <w:bCs/>
        </w:rPr>
        <w:t> </w:t>
      </w:r>
    </w:p>
    <w:p w14:paraId="22D88A60" w14:textId="77777777" w:rsidR="00923186" w:rsidRPr="00923186" w:rsidRDefault="00923186" w:rsidP="00923186">
      <w:r w:rsidRPr="00923186">
        <w:t>Los equipos eléctricos y el cableado deberán cumplir con </w:t>
      </w:r>
      <w:r w:rsidRPr="00923186">
        <w:rPr>
          <w:i/>
          <w:iCs/>
        </w:rPr>
        <w:t>la norma NFPA 70</w:t>
      </w:r>
      <w:r w:rsidRPr="00923186">
        <w:t> o CSA C22.1, </w:t>
      </w:r>
      <w:r w:rsidRPr="00923186">
        <w:rPr>
          <w:i/>
          <w:iCs/>
        </w:rPr>
        <w:t>Código Eléctrico Canadiense</w:t>
      </w:r>
      <w:r w:rsidRPr="00923186">
        <w:t> .</w:t>
      </w:r>
    </w:p>
    <w:p w14:paraId="684147B5" w14:textId="77777777" w:rsidR="00923186" w:rsidRPr="00923186" w:rsidRDefault="00923186" w:rsidP="00923186">
      <w:pPr>
        <w:rPr>
          <w:b/>
          <w:bCs/>
        </w:rPr>
      </w:pPr>
      <w:hyperlink r:id="rId14" w:anchor="ID00059A001642" w:history="1">
        <w:r w:rsidRPr="00923186">
          <w:rPr>
            <w:rStyle w:val="Hipervnculo"/>
            <w:b/>
            <w:bCs/>
          </w:rPr>
          <w:t>11.9.2*</w:t>
        </w:r>
      </w:hyperlink>
      <w:r w:rsidRPr="00923186">
        <w:rPr>
          <w:b/>
          <w:bCs/>
        </w:rPr>
        <w:t> </w:t>
      </w:r>
    </w:p>
    <w:p w14:paraId="2B68EBDB" w14:textId="77777777" w:rsidR="00923186" w:rsidRPr="00923186" w:rsidRDefault="00923186" w:rsidP="00923186">
      <w:r w:rsidRPr="00923186">
        <w:t>Los equipos eléctricos fijos y el cableado instalado dentro de las áreas clasificadas especificadas en </w:t>
      </w:r>
      <w:hyperlink r:id="rId15" w:anchor="ID00059A000793" w:history="1">
        <w:r w:rsidRPr="00923186">
          <w:rPr>
            <w:rStyle w:val="Hipervnculo"/>
            <w:b/>
            <w:bCs/>
          </w:rPr>
          <w:t>la Tabla 11.9.2</w:t>
        </w:r>
      </w:hyperlink>
      <w:r w:rsidRPr="00923186">
        <w:t> deberán cumplir con </w:t>
      </w:r>
      <w:hyperlink r:id="rId16" w:anchor="ID00059A000793" w:history="1">
        <w:r w:rsidRPr="00923186">
          <w:rPr>
            <w:rStyle w:val="Hipervnculo"/>
            <w:b/>
            <w:bCs/>
          </w:rPr>
          <w:t>la Tabla 11.9.2</w:t>
        </w:r>
      </w:hyperlink>
      <w:r w:rsidRPr="00923186">
        <w:t> y </w:t>
      </w:r>
      <w:hyperlink r:id="rId17" w:anchor="ID00059A000795" w:history="1">
        <w:r w:rsidRPr="00923186">
          <w:rPr>
            <w:rStyle w:val="Hipervnculo"/>
            <w:b/>
            <w:bCs/>
          </w:rPr>
          <w:t>la Figura 11.9.2(a)</w:t>
        </w:r>
      </w:hyperlink>
      <w:r w:rsidRPr="00923186">
        <w:t> a </w:t>
      </w:r>
      <w:hyperlink r:id="rId18" w:anchor="ID00059A000799" w:history="1">
        <w:r w:rsidRPr="00923186">
          <w:rPr>
            <w:rStyle w:val="Hipervnculo"/>
            <w:b/>
            <w:bCs/>
          </w:rPr>
          <w:t>la Figura 11.9.2(e)</w:t>
        </w:r>
      </w:hyperlink>
      <w:r w:rsidRPr="00923186">
        <w:t> y deberán instalarse de acuerdo con </w:t>
      </w:r>
      <w:r w:rsidRPr="00923186">
        <w:rPr>
          <w:i/>
          <w:iCs/>
        </w:rPr>
        <w:t>la NFPA 70</w:t>
      </w:r>
      <w:r w:rsidRPr="00923186">
        <w:t> .</w:t>
      </w:r>
    </w:p>
    <w:tbl>
      <w:tblPr>
        <w:tblStyle w:val="Tablaconcuadrcula"/>
        <w:tblW w:w="15730" w:type="dxa"/>
        <w:jc w:val="center"/>
        <w:tblLook w:val="04A0" w:firstRow="1" w:lastRow="0" w:firstColumn="1" w:lastColumn="0" w:noHBand="0" w:noVBand="1"/>
      </w:tblPr>
      <w:tblGrid>
        <w:gridCol w:w="4070"/>
        <w:gridCol w:w="5886"/>
        <w:gridCol w:w="3874"/>
        <w:gridCol w:w="1900"/>
      </w:tblGrid>
      <w:tr w:rsidR="00923186" w:rsidRPr="00923186" w14:paraId="21C3DEED" w14:textId="77777777" w:rsidTr="00923186">
        <w:trPr>
          <w:jc w:val="center"/>
        </w:trPr>
        <w:tc>
          <w:tcPr>
            <w:tcW w:w="15730" w:type="dxa"/>
            <w:gridSpan w:val="4"/>
            <w:hideMark/>
          </w:tcPr>
          <w:p w14:paraId="732D091F" w14:textId="77777777" w:rsidR="00923186" w:rsidRPr="00923186" w:rsidRDefault="00923186" w:rsidP="00923186">
            <w:pPr>
              <w:spacing w:after="160" w:line="278" w:lineRule="auto"/>
              <w:rPr>
                <w:b/>
                <w:bCs/>
              </w:rPr>
            </w:pPr>
            <w:r w:rsidRPr="00923186">
              <w:rPr>
                <w:b/>
                <w:bCs/>
              </w:rPr>
              <w:t>Tabla 11.9.2 Clasificación del área eléctrica</w:t>
            </w:r>
            <w:r w:rsidRPr="00923186">
              <w:rPr>
                <w:b/>
                <w:bCs/>
              </w:rPr>
              <w:br/>
            </w:r>
          </w:p>
        </w:tc>
      </w:tr>
      <w:tr w:rsidR="00923186" w:rsidRPr="00923186" w14:paraId="0CEA00F4" w14:textId="77777777" w:rsidTr="00923186">
        <w:trPr>
          <w:jc w:val="center"/>
        </w:trPr>
        <w:tc>
          <w:tcPr>
            <w:tcW w:w="4125" w:type="dxa"/>
            <w:hideMark/>
          </w:tcPr>
          <w:p w14:paraId="724BFCE4" w14:textId="77777777" w:rsidR="00923186" w:rsidRPr="00923186" w:rsidRDefault="00923186" w:rsidP="00923186">
            <w:pPr>
              <w:spacing w:after="160" w:line="278" w:lineRule="auto"/>
              <w:rPr>
                <w:b/>
                <w:bCs/>
              </w:rPr>
            </w:pPr>
            <w:r w:rsidRPr="00923186">
              <w:rPr>
                <w:b/>
                <w:bCs/>
              </w:rPr>
              <w:lastRenderedPageBreak/>
              <w:t>Parte</w:t>
            </w:r>
          </w:p>
        </w:tc>
        <w:tc>
          <w:tcPr>
            <w:tcW w:w="5944" w:type="dxa"/>
            <w:hideMark/>
          </w:tcPr>
          <w:p w14:paraId="6831AC04" w14:textId="77777777" w:rsidR="00923186" w:rsidRPr="00923186" w:rsidRDefault="00923186" w:rsidP="00923186">
            <w:pPr>
              <w:spacing w:after="160" w:line="278" w:lineRule="auto"/>
              <w:rPr>
                <w:b/>
                <w:bCs/>
              </w:rPr>
            </w:pPr>
            <w:r w:rsidRPr="00923186">
              <w:rPr>
                <w:b/>
                <w:bCs/>
              </w:rPr>
              <w:t>Ubicación</w:t>
            </w:r>
          </w:p>
        </w:tc>
        <w:tc>
          <w:tcPr>
            <w:tcW w:w="3919" w:type="dxa"/>
            <w:hideMark/>
          </w:tcPr>
          <w:p w14:paraId="54A0F297" w14:textId="77777777" w:rsidR="00923186" w:rsidRPr="00923186" w:rsidRDefault="00923186" w:rsidP="00923186">
            <w:pPr>
              <w:spacing w:after="160" w:line="278" w:lineRule="auto"/>
              <w:rPr>
                <w:b/>
                <w:bCs/>
              </w:rPr>
            </w:pPr>
            <w:r w:rsidRPr="00923186">
              <w:rPr>
                <w:b/>
                <w:bCs/>
              </w:rPr>
              <w:t>Grupo D, División </w:t>
            </w:r>
            <w:r w:rsidRPr="00923186">
              <w:rPr>
                <w:b/>
                <w:bCs/>
                <w:vertAlign w:val="superscript"/>
              </w:rPr>
              <w:t>A</w:t>
            </w:r>
          </w:p>
        </w:tc>
        <w:tc>
          <w:tcPr>
            <w:tcW w:w="1742" w:type="dxa"/>
            <w:hideMark/>
          </w:tcPr>
          <w:p w14:paraId="3D875C3A" w14:textId="77777777" w:rsidR="00923186" w:rsidRPr="00923186" w:rsidRDefault="00923186" w:rsidP="00923186">
            <w:pPr>
              <w:spacing w:after="160" w:line="278" w:lineRule="auto"/>
              <w:rPr>
                <w:b/>
                <w:bCs/>
              </w:rPr>
            </w:pPr>
            <w:r w:rsidRPr="00923186">
              <w:rPr>
                <w:b/>
                <w:bCs/>
              </w:rPr>
              <w:t>Extensión del área clasificada</w:t>
            </w:r>
          </w:p>
        </w:tc>
      </w:tr>
      <w:tr w:rsidR="00923186" w:rsidRPr="00923186" w14:paraId="042DAC2E" w14:textId="77777777" w:rsidTr="00923186">
        <w:trPr>
          <w:jc w:val="center"/>
        </w:trPr>
        <w:tc>
          <w:tcPr>
            <w:tcW w:w="4125" w:type="dxa"/>
            <w:hideMark/>
          </w:tcPr>
          <w:p w14:paraId="083348FE" w14:textId="77777777" w:rsidR="00923186" w:rsidRPr="00923186" w:rsidRDefault="00923186" w:rsidP="00923186">
            <w:pPr>
              <w:spacing w:after="160" w:line="278" w:lineRule="auto"/>
            </w:pPr>
            <w:r w:rsidRPr="00923186">
              <w:rPr>
                <w:b/>
                <w:bCs/>
              </w:rPr>
              <w:t>A</w:t>
            </w:r>
          </w:p>
        </w:tc>
        <w:tc>
          <w:tcPr>
            <w:tcW w:w="5944" w:type="dxa"/>
            <w:hideMark/>
          </w:tcPr>
          <w:p w14:paraId="3283DC2A" w14:textId="77777777" w:rsidR="00923186" w:rsidRPr="00923186" w:rsidRDefault="00923186" w:rsidP="00923186">
            <w:pPr>
              <w:spacing w:after="160" w:line="278" w:lineRule="auto"/>
            </w:pPr>
            <w:r w:rsidRPr="00923186">
              <w:rPr>
                <w:b/>
                <w:bCs/>
              </w:rPr>
              <w:t>Contenedores de almacenamiento de GNL con rompedores de vacío</w:t>
            </w:r>
          </w:p>
        </w:tc>
        <w:tc>
          <w:tcPr>
            <w:tcW w:w="3919" w:type="dxa"/>
            <w:hideMark/>
          </w:tcPr>
          <w:p w14:paraId="07A21153" w14:textId="77777777" w:rsidR="00923186" w:rsidRPr="00923186" w:rsidRDefault="00923186" w:rsidP="00923186">
            <w:pPr>
              <w:spacing w:after="160" w:line="278" w:lineRule="auto"/>
            </w:pPr>
          </w:p>
        </w:tc>
        <w:tc>
          <w:tcPr>
            <w:tcW w:w="1742" w:type="dxa"/>
            <w:hideMark/>
          </w:tcPr>
          <w:p w14:paraId="6F7F5D5D" w14:textId="77777777" w:rsidR="00923186" w:rsidRPr="00923186" w:rsidRDefault="00923186" w:rsidP="00923186">
            <w:pPr>
              <w:spacing w:after="160" w:line="278" w:lineRule="auto"/>
            </w:pPr>
          </w:p>
        </w:tc>
      </w:tr>
      <w:tr w:rsidR="00923186" w:rsidRPr="00923186" w14:paraId="6C315239" w14:textId="77777777" w:rsidTr="00923186">
        <w:trPr>
          <w:jc w:val="center"/>
        </w:trPr>
        <w:tc>
          <w:tcPr>
            <w:tcW w:w="4125" w:type="dxa"/>
            <w:hideMark/>
          </w:tcPr>
          <w:p w14:paraId="673309B2" w14:textId="77777777" w:rsidR="00923186" w:rsidRPr="00923186" w:rsidRDefault="00923186" w:rsidP="00923186">
            <w:pPr>
              <w:spacing w:after="160" w:line="278" w:lineRule="auto"/>
            </w:pPr>
          </w:p>
        </w:tc>
        <w:tc>
          <w:tcPr>
            <w:tcW w:w="5944" w:type="dxa"/>
            <w:hideMark/>
          </w:tcPr>
          <w:p w14:paraId="2C07D937" w14:textId="77777777" w:rsidR="00923186" w:rsidRPr="00923186" w:rsidRDefault="00923186" w:rsidP="00923186">
            <w:pPr>
              <w:spacing w:after="160" w:line="278" w:lineRule="auto"/>
            </w:pPr>
            <w:r w:rsidRPr="00923186">
              <w:t>Dentro de los contenedores</w:t>
            </w:r>
          </w:p>
        </w:tc>
        <w:tc>
          <w:tcPr>
            <w:tcW w:w="3919" w:type="dxa"/>
            <w:hideMark/>
          </w:tcPr>
          <w:p w14:paraId="4424EDDE" w14:textId="77777777" w:rsidR="00923186" w:rsidRPr="00923186" w:rsidRDefault="00923186" w:rsidP="00923186">
            <w:pPr>
              <w:spacing w:after="160" w:line="278" w:lineRule="auto"/>
            </w:pPr>
            <w:r w:rsidRPr="00923186">
              <w:t>2</w:t>
            </w:r>
          </w:p>
        </w:tc>
        <w:tc>
          <w:tcPr>
            <w:tcW w:w="1742" w:type="dxa"/>
            <w:hideMark/>
          </w:tcPr>
          <w:p w14:paraId="57C64426" w14:textId="77777777" w:rsidR="00923186" w:rsidRPr="00923186" w:rsidRDefault="00923186" w:rsidP="00923186">
            <w:pPr>
              <w:spacing w:after="160" w:line="278" w:lineRule="auto"/>
            </w:pPr>
            <w:r w:rsidRPr="00923186">
              <w:t>Todo el interior del contenedor, excepto cuando se aplique el apartado 11.9.5</w:t>
            </w:r>
          </w:p>
        </w:tc>
      </w:tr>
      <w:tr w:rsidR="00923186" w:rsidRPr="00923186" w14:paraId="02807DF7" w14:textId="77777777" w:rsidTr="00923186">
        <w:trPr>
          <w:jc w:val="center"/>
        </w:trPr>
        <w:tc>
          <w:tcPr>
            <w:tcW w:w="4125" w:type="dxa"/>
            <w:hideMark/>
          </w:tcPr>
          <w:p w14:paraId="3B2C4E8B" w14:textId="77777777" w:rsidR="00923186" w:rsidRPr="00923186" w:rsidRDefault="00923186" w:rsidP="00923186">
            <w:pPr>
              <w:spacing w:after="160" w:line="278" w:lineRule="auto"/>
            </w:pPr>
            <w:r w:rsidRPr="00923186">
              <w:rPr>
                <w:b/>
                <w:bCs/>
              </w:rPr>
              <w:t>B</w:t>
            </w:r>
          </w:p>
        </w:tc>
        <w:tc>
          <w:tcPr>
            <w:tcW w:w="5944" w:type="dxa"/>
            <w:hideMark/>
          </w:tcPr>
          <w:p w14:paraId="2DCDEB76" w14:textId="77777777" w:rsidR="00923186" w:rsidRPr="00923186" w:rsidRDefault="00923186" w:rsidP="00923186">
            <w:pPr>
              <w:spacing w:after="160" w:line="278" w:lineRule="auto"/>
            </w:pPr>
            <w:r w:rsidRPr="00923186">
              <w:rPr>
                <w:b/>
                <w:bCs/>
              </w:rPr>
              <w:t>Área de contenedores de almacenamiento de GNL</w:t>
            </w:r>
          </w:p>
        </w:tc>
        <w:tc>
          <w:tcPr>
            <w:tcW w:w="3919" w:type="dxa"/>
            <w:hideMark/>
          </w:tcPr>
          <w:p w14:paraId="4FCED3D9" w14:textId="77777777" w:rsidR="00923186" w:rsidRPr="00923186" w:rsidRDefault="00923186" w:rsidP="00923186">
            <w:pPr>
              <w:spacing w:after="160" w:line="278" w:lineRule="auto"/>
            </w:pPr>
          </w:p>
        </w:tc>
        <w:tc>
          <w:tcPr>
            <w:tcW w:w="1742" w:type="dxa"/>
            <w:hideMark/>
          </w:tcPr>
          <w:p w14:paraId="4CA21EB2" w14:textId="77777777" w:rsidR="00923186" w:rsidRPr="00923186" w:rsidRDefault="00923186" w:rsidP="00923186">
            <w:pPr>
              <w:spacing w:after="160" w:line="278" w:lineRule="auto"/>
            </w:pPr>
          </w:p>
        </w:tc>
      </w:tr>
      <w:tr w:rsidR="00923186" w:rsidRPr="00923186" w14:paraId="22210611" w14:textId="77777777" w:rsidTr="00923186">
        <w:trPr>
          <w:jc w:val="center"/>
        </w:trPr>
        <w:tc>
          <w:tcPr>
            <w:tcW w:w="4125" w:type="dxa"/>
            <w:hideMark/>
          </w:tcPr>
          <w:p w14:paraId="166D2468" w14:textId="77777777" w:rsidR="00923186" w:rsidRPr="00923186" w:rsidRDefault="00923186" w:rsidP="00923186">
            <w:pPr>
              <w:spacing w:after="160" w:line="278" w:lineRule="auto"/>
            </w:pPr>
          </w:p>
        </w:tc>
        <w:tc>
          <w:tcPr>
            <w:tcW w:w="5944" w:type="dxa"/>
            <w:hideMark/>
          </w:tcPr>
          <w:p w14:paraId="741A5BAF" w14:textId="77777777" w:rsidR="00923186" w:rsidRPr="00923186" w:rsidRDefault="00923186" w:rsidP="00923186">
            <w:pPr>
              <w:spacing w:after="160" w:line="278" w:lineRule="auto"/>
            </w:pPr>
            <w:r w:rsidRPr="00923186">
              <w:t>Dentro</w:t>
            </w:r>
          </w:p>
        </w:tc>
        <w:tc>
          <w:tcPr>
            <w:tcW w:w="3919" w:type="dxa"/>
            <w:hideMark/>
          </w:tcPr>
          <w:p w14:paraId="323C385E" w14:textId="77777777" w:rsidR="00923186" w:rsidRPr="00923186" w:rsidRDefault="00923186" w:rsidP="00923186">
            <w:pPr>
              <w:spacing w:after="160" w:line="278" w:lineRule="auto"/>
            </w:pPr>
            <w:r w:rsidRPr="00923186">
              <w:t>1</w:t>
            </w:r>
          </w:p>
        </w:tc>
        <w:tc>
          <w:tcPr>
            <w:tcW w:w="1742" w:type="dxa"/>
            <w:hideMark/>
          </w:tcPr>
          <w:p w14:paraId="4B4B4849" w14:textId="77777777" w:rsidR="00923186" w:rsidRPr="00923186" w:rsidRDefault="00923186" w:rsidP="00923186">
            <w:pPr>
              <w:spacing w:after="160" w:line="278" w:lineRule="auto"/>
            </w:pPr>
            <w:r w:rsidRPr="00923186">
              <w:t>Habitación entera</w:t>
            </w:r>
          </w:p>
        </w:tc>
      </w:tr>
      <w:tr w:rsidR="00923186" w:rsidRPr="00923186" w14:paraId="1F6EA093" w14:textId="77777777" w:rsidTr="00923186">
        <w:trPr>
          <w:jc w:val="center"/>
        </w:trPr>
        <w:tc>
          <w:tcPr>
            <w:tcW w:w="4125" w:type="dxa"/>
            <w:hideMark/>
          </w:tcPr>
          <w:p w14:paraId="67F28314" w14:textId="77777777" w:rsidR="00923186" w:rsidRPr="00923186" w:rsidRDefault="00923186" w:rsidP="00923186">
            <w:pPr>
              <w:spacing w:after="160" w:line="278" w:lineRule="auto"/>
            </w:pPr>
          </w:p>
        </w:tc>
        <w:tc>
          <w:tcPr>
            <w:tcW w:w="5944" w:type="dxa"/>
            <w:hideMark/>
          </w:tcPr>
          <w:p w14:paraId="5D9B8C5A" w14:textId="77777777" w:rsidR="00923186" w:rsidRPr="00923186" w:rsidRDefault="00923186" w:rsidP="00923186">
            <w:pPr>
              <w:spacing w:after="160" w:line="278" w:lineRule="auto"/>
            </w:pPr>
            <w:r w:rsidRPr="00923186">
              <w:t>Contenedores exteriores sobre el suelo (excepto contenedores pequeños) </w:t>
            </w:r>
            <w:r w:rsidRPr="00923186">
              <w:rPr>
                <w:vertAlign w:val="superscript"/>
              </w:rPr>
              <w:t>b</w:t>
            </w:r>
          </w:p>
        </w:tc>
        <w:tc>
          <w:tcPr>
            <w:tcW w:w="3919" w:type="dxa"/>
            <w:hideMark/>
          </w:tcPr>
          <w:p w14:paraId="33643CBA" w14:textId="77777777" w:rsidR="00923186" w:rsidRPr="00923186" w:rsidRDefault="00923186" w:rsidP="00923186">
            <w:pPr>
              <w:spacing w:after="160" w:line="278" w:lineRule="auto"/>
            </w:pPr>
            <w:r w:rsidRPr="00923186">
              <w:t>1</w:t>
            </w:r>
          </w:p>
        </w:tc>
        <w:tc>
          <w:tcPr>
            <w:tcW w:w="1742" w:type="dxa"/>
            <w:hideMark/>
          </w:tcPr>
          <w:p w14:paraId="277A71DB" w14:textId="77777777" w:rsidR="00923186" w:rsidRPr="00923186" w:rsidRDefault="00923186" w:rsidP="00923186">
            <w:pPr>
              <w:spacing w:after="160" w:line="278" w:lineRule="auto"/>
            </w:pPr>
            <w:r w:rsidRPr="00923186">
              <w:t xml:space="preserve">Área abierta entre un dique de tipo alto y la pared del contenedor donde la altura de la pared del dique excede la distancia entre </w:t>
            </w:r>
            <w:r w:rsidRPr="00923186">
              <w:lastRenderedPageBreak/>
              <w:t>el dique y las paredes del contenedor </w:t>
            </w:r>
            <w:r w:rsidRPr="00923186">
              <w:rPr>
                <w:i/>
                <w:iCs/>
              </w:rPr>
              <w:t>[ver Figura 11.9.2(b)]</w:t>
            </w:r>
          </w:p>
        </w:tc>
      </w:tr>
      <w:tr w:rsidR="00923186" w:rsidRPr="00923186" w14:paraId="00DAE115" w14:textId="77777777" w:rsidTr="00923186">
        <w:trPr>
          <w:jc w:val="center"/>
        </w:trPr>
        <w:tc>
          <w:tcPr>
            <w:tcW w:w="4125" w:type="dxa"/>
            <w:hideMark/>
          </w:tcPr>
          <w:p w14:paraId="7212DBD9" w14:textId="77777777" w:rsidR="00923186" w:rsidRPr="00923186" w:rsidRDefault="00923186" w:rsidP="00923186">
            <w:pPr>
              <w:spacing w:after="160" w:line="278" w:lineRule="auto"/>
            </w:pPr>
          </w:p>
        </w:tc>
        <w:tc>
          <w:tcPr>
            <w:tcW w:w="5944" w:type="dxa"/>
            <w:hideMark/>
          </w:tcPr>
          <w:p w14:paraId="588919BA" w14:textId="77777777" w:rsidR="00923186" w:rsidRPr="00923186" w:rsidRDefault="00923186" w:rsidP="00923186">
            <w:pPr>
              <w:spacing w:after="160" w:line="278" w:lineRule="auto"/>
            </w:pPr>
          </w:p>
        </w:tc>
        <w:tc>
          <w:tcPr>
            <w:tcW w:w="3919" w:type="dxa"/>
            <w:hideMark/>
          </w:tcPr>
          <w:p w14:paraId="1EACE531" w14:textId="77777777" w:rsidR="00923186" w:rsidRPr="00923186" w:rsidRDefault="00923186" w:rsidP="00923186">
            <w:pPr>
              <w:spacing w:after="160" w:line="278" w:lineRule="auto"/>
            </w:pPr>
            <w:r w:rsidRPr="00923186">
              <w:t>2</w:t>
            </w:r>
          </w:p>
        </w:tc>
        <w:tc>
          <w:tcPr>
            <w:tcW w:w="1742" w:type="dxa"/>
            <w:hideMark/>
          </w:tcPr>
          <w:p w14:paraId="69E13C80" w14:textId="77777777" w:rsidR="00923186" w:rsidRPr="00923186" w:rsidRDefault="00923186" w:rsidP="00923186">
            <w:pPr>
              <w:spacing w:after="160" w:line="278" w:lineRule="auto"/>
            </w:pPr>
            <w:r w:rsidRPr="00923186">
              <w:t>Dentro de los 15 pies (4,5 m) en todas las direcciones desde las paredes y el techo del contenedor, más el área dentro de un área de embalse o dique de tipo bajo hasta la altura de la pared del embalse </w:t>
            </w:r>
            <w:r w:rsidRPr="00923186">
              <w:rPr>
                <w:i/>
                <w:iCs/>
              </w:rPr>
              <w:t>[ver Figura 11.9.2(a)]</w:t>
            </w:r>
          </w:p>
        </w:tc>
      </w:tr>
      <w:tr w:rsidR="00923186" w:rsidRPr="00923186" w14:paraId="420504C9" w14:textId="77777777" w:rsidTr="00923186">
        <w:trPr>
          <w:jc w:val="center"/>
        </w:trPr>
        <w:tc>
          <w:tcPr>
            <w:tcW w:w="4125" w:type="dxa"/>
            <w:hideMark/>
          </w:tcPr>
          <w:p w14:paraId="67F9894A" w14:textId="77777777" w:rsidR="00923186" w:rsidRPr="00923186" w:rsidRDefault="00923186" w:rsidP="00923186">
            <w:pPr>
              <w:spacing w:after="160" w:line="278" w:lineRule="auto"/>
            </w:pPr>
          </w:p>
        </w:tc>
        <w:tc>
          <w:tcPr>
            <w:tcW w:w="5944" w:type="dxa"/>
            <w:hideMark/>
          </w:tcPr>
          <w:p w14:paraId="6B14D198" w14:textId="77777777" w:rsidR="00923186" w:rsidRPr="00923186" w:rsidRDefault="00923186" w:rsidP="00923186">
            <w:pPr>
              <w:spacing w:after="160" w:line="278" w:lineRule="auto"/>
            </w:pPr>
            <w:r w:rsidRPr="00923186">
              <w:t>Contenedores subterráneos para exteriores</w:t>
            </w:r>
          </w:p>
        </w:tc>
        <w:tc>
          <w:tcPr>
            <w:tcW w:w="3919" w:type="dxa"/>
            <w:hideMark/>
          </w:tcPr>
          <w:p w14:paraId="18B9A73D" w14:textId="77777777" w:rsidR="00923186" w:rsidRPr="00923186" w:rsidRDefault="00923186" w:rsidP="00923186">
            <w:pPr>
              <w:spacing w:after="160" w:line="278" w:lineRule="auto"/>
            </w:pPr>
            <w:r w:rsidRPr="00923186">
              <w:t>1</w:t>
            </w:r>
          </w:p>
        </w:tc>
        <w:tc>
          <w:tcPr>
            <w:tcW w:w="1742" w:type="dxa"/>
            <w:hideMark/>
          </w:tcPr>
          <w:p w14:paraId="25517BBF" w14:textId="77777777" w:rsidR="00923186" w:rsidRPr="00923186" w:rsidRDefault="00923186" w:rsidP="00923186">
            <w:pPr>
              <w:spacing w:after="160" w:line="278" w:lineRule="auto"/>
            </w:pPr>
            <w:r w:rsidRPr="00923186">
              <w:t>Dentro de cualquier espacio abierto entre las paredes del contenedor y el nivel del suelo o dique circundante </w:t>
            </w:r>
            <w:r w:rsidRPr="00923186">
              <w:rPr>
                <w:i/>
                <w:iCs/>
              </w:rPr>
              <w:t>[ver Figura 11.9.2(c)]</w:t>
            </w:r>
          </w:p>
        </w:tc>
      </w:tr>
      <w:tr w:rsidR="00923186" w:rsidRPr="00923186" w14:paraId="12272C1B" w14:textId="77777777" w:rsidTr="00923186">
        <w:trPr>
          <w:jc w:val="center"/>
        </w:trPr>
        <w:tc>
          <w:tcPr>
            <w:tcW w:w="4125" w:type="dxa"/>
            <w:hideMark/>
          </w:tcPr>
          <w:p w14:paraId="559567EA" w14:textId="77777777" w:rsidR="00923186" w:rsidRPr="00923186" w:rsidRDefault="00923186" w:rsidP="00923186">
            <w:pPr>
              <w:spacing w:after="160" w:line="278" w:lineRule="auto"/>
            </w:pPr>
          </w:p>
        </w:tc>
        <w:tc>
          <w:tcPr>
            <w:tcW w:w="5944" w:type="dxa"/>
            <w:hideMark/>
          </w:tcPr>
          <w:p w14:paraId="5FC04E21" w14:textId="77777777" w:rsidR="00923186" w:rsidRPr="00923186" w:rsidRDefault="00923186" w:rsidP="00923186">
            <w:pPr>
              <w:spacing w:after="160" w:line="278" w:lineRule="auto"/>
            </w:pPr>
          </w:p>
        </w:tc>
        <w:tc>
          <w:tcPr>
            <w:tcW w:w="3919" w:type="dxa"/>
            <w:hideMark/>
          </w:tcPr>
          <w:p w14:paraId="6F8224D2" w14:textId="77777777" w:rsidR="00923186" w:rsidRPr="00923186" w:rsidRDefault="00923186" w:rsidP="00923186">
            <w:pPr>
              <w:spacing w:after="160" w:line="278" w:lineRule="auto"/>
            </w:pPr>
            <w:r w:rsidRPr="00923186">
              <w:t>2</w:t>
            </w:r>
          </w:p>
        </w:tc>
        <w:tc>
          <w:tcPr>
            <w:tcW w:w="1742" w:type="dxa"/>
            <w:hideMark/>
          </w:tcPr>
          <w:p w14:paraId="6ECB8E83" w14:textId="77777777" w:rsidR="00923186" w:rsidRPr="00923186" w:rsidRDefault="00923186" w:rsidP="00923186">
            <w:pPr>
              <w:spacing w:after="160" w:line="278" w:lineRule="auto"/>
            </w:pPr>
            <w:r w:rsidRPr="00923186">
              <w:t>Dentro de los 15 pies (4,5 m) en todas las direcciones desde el techo y los lados </w:t>
            </w:r>
            <w:r w:rsidRPr="00923186">
              <w:rPr>
                <w:i/>
                <w:iCs/>
              </w:rPr>
              <w:t>[ver Figura 11.9.2(c)]</w:t>
            </w:r>
          </w:p>
        </w:tc>
      </w:tr>
      <w:tr w:rsidR="00923186" w:rsidRPr="00923186" w14:paraId="57F0A1C6" w14:textId="77777777" w:rsidTr="00923186">
        <w:trPr>
          <w:jc w:val="center"/>
        </w:trPr>
        <w:tc>
          <w:tcPr>
            <w:tcW w:w="4125" w:type="dxa"/>
            <w:hideMark/>
          </w:tcPr>
          <w:p w14:paraId="03D3CCAC" w14:textId="77777777" w:rsidR="00923186" w:rsidRPr="00923186" w:rsidRDefault="00923186" w:rsidP="00923186">
            <w:pPr>
              <w:spacing w:after="160" w:line="278" w:lineRule="auto"/>
            </w:pPr>
            <w:r w:rsidRPr="00923186">
              <w:rPr>
                <w:b/>
                <w:bCs/>
              </w:rPr>
              <w:t>do</w:t>
            </w:r>
          </w:p>
        </w:tc>
        <w:tc>
          <w:tcPr>
            <w:tcW w:w="5944" w:type="dxa"/>
            <w:hideMark/>
          </w:tcPr>
          <w:p w14:paraId="6F5F932F" w14:textId="77777777" w:rsidR="00923186" w:rsidRPr="00923186" w:rsidRDefault="00923186" w:rsidP="00923186">
            <w:pPr>
              <w:spacing w:after="160" w:line="278" w:lineRule="auto"/>
            </w:pPr>
            <w:r w:rsidRPr="00923186">
              <w:rPr>
                <w:b/>
                <w:bCs/>
              </w:rPr>
              <w:t>Carga y descarga de vagones cisterna, vehículos cisterna y contenedores</w:t>
            </w:r>
          </w:p>
        </w:tc>
        <w:tc>
          <w:tcPr>
            <w:tcW w:w="3919" w:type="dxa"/>
            <w:hideMark/>
          </w:tcPr>
          <w:p w14:paraId="409E74D3" w14:textId="77777777" w:rsidR="00923186" w:rsidRPr="00923186" w:rsidRDefault="00923186" w:rsidP="00923186">
            <w:pPr>
              <w:spacing w:after="160" w:line="278" w:lineRule="auto"/>
            </w:pPr>
          </w:p>
        </w:tc>
        <w:tc>
          <w:tcPr>
            <w:tcW w:w="1742" w:type="dxa"/>
            <w:hideMark/>
          </w:tcPr>
          <w:p w14:paraId="19F49B25" w14:textId="77777777" w:rsidR="00923186" w:rsidRPr="00923186" w:rsidRDefault="00923186" w:rsidP="00923186">
            <w:pPr>
              <w:spacing w:after="160" w:line="278" w:lineRule="auto"/>
            </w:pPr>
          </w:p>
        </w:tc>
      </w:tr>
      <w:tr w:rsidR="00923186" w:rsidRPr="00923186" w14:paraId="01DD2DC6" w14:textId="77777777" w:rsidTr="00923186">
        <w:trPr>
          <w:jc w:val="center"/>
        </w:trPr>
        <w:tc>
          <w:tcPr>
            <w:tcW w:w="4125" w:type="dxa"/>
            <w:hideMark/>
          </w:tcPr>
          <w:p w14:paraId="457AFFC6" w14:textId="77777777" w:rsidR="00923186" w:rsidRPr="00923186" w:rsidRDefault="00923186" w:rsidP="00923186">
            <w:pPr>
              <w:spacing w:after="160" w:line="278" w:lineRule="auto"/>
            </w:pPr>
          </w:p>
        </w:tc>
        <w:tc>
          <w:tcPr>
            <w:tcW w:w="5944" w:type="dxa"/>
            <w:hideMark/>
          </w:tcPr>
          <w:p w14:paraId="1AB3166A" w14:textId="77777777" w:rsidR="00923186" w:rsidRPr="00923186" w:rsidRDefault="00923186" w:rsidP="00923186">
            <w:pPr>
              <w:spacing w:after="160" w:line="278" w:lineRule="auto"/>
            </w:pPr>
            <w:r w:rsidRPr="00923186">
              <w:t>En interiores con ventilación adecuada </w:t>
            </w:r>
            <w:r w:rsidRPr="00923186">
              <w:rPr>
                <w:vertAlign w:val="superscript"/>
              </w:rPr>
              <w:t>c</w:t>
            </w:r>
          </w:p>
        </w:tc>
        <w:tc>
          <w:tcPr>
            <w:tcW w:w="3919" w:type="dxa"/>
            <w:hideMark/>
          </w:tcPr>
          <w:p w14:paraId="636F9EEC" w14:textId="77777777" w:rsidR="00923186" w:rsidRPr="00923186" w:rsidRDefault="00923186" w:rsidP="00923186">
            <w:pPr>
              <w:spacing w:after="160" w:line="278" w:lineRule="auto"/>
            </w:pPr>
            <w:r w:rsidRPr="00923186">
              <w:t>1</w:t>
            </w:r>
          </w:p>
        </w:tc>
        <w:tc>
          <w:tcPr>
            <w:tcW w:w="1742" w:type="dxa"/>
            <w:hideMark/>
          </w:tcPr>
          <w:p w14:paraId="4C30A956" w14:textId="77777777" w:rsidR="00923186" w:rsidRPr="00923186" w:rsidRDefault="00923186" w:rsidP="00923186">
            <w:pPr>
              <w:spacing w:after="160" w:line="278" w:lineRule="auto"/>
            </w:pPr>
            <w:r w:rsidRPr="00923186">
              <w:t xml:space="preserve">Dentro de 5 pies (1,5 m) en todas las direcciones desde las </w:t>
            </w:r>
            <w:r w:rsidRPr="00923186">
              <w:lastRenderedPageBreak/>
              <w:t>conexiones realizadas o desconectadas regularmente para la transferencia de producto</w:t>
            </w:r>
          </w:p>
        </w:tc>
      </w:tr>
      <w:tr w:rsidR="00923186" w:rsidRPr="00923186" w14:paraId="5823B049" w14:textId="77777777" w:rsidTr="00923186">
        <w:trPr>
          <w:jc w:val="center"/>
        </w:trPr>
        <w:tc>
          <w:tcPr>
            <w:tcW w:w="4125" w:type="dxa"/>
            <w:hideMark/>
          </w:tcPr>
          <w:p w14:paraId="1D31BD21" w14:textId="77777777" w:rsidR="00923186" w:rsidRPr="00923186" w:rsidRDefault="00923186" w:rsidP="00923186">
            <w:pPr>
              <w:spacing w:after="160" w:line="278" w:lineRule="auto"/>
            </w:pPr>
          </w:p>
        </w:tc>
        <w:tc>
          <w:tcPr>
            <w:tcW w:w="5944" w:type="dxa"/>
            <w:hideMark/>
          </w:tcPr>
          <w:p w14:paraId="18315750" w14:textId="77777777" w:rsidR="00923186" w:rsidRPr="00923186" w:rsidRDefault="00923186" w:rsidP="00923186">
            <w:pPr>
              <w:spacing w:after="160" w:line="278" w:lineRule="auto"/>
            </w:pPr>
          </w:p>
        </w:tc>
        <w:tc>
          <w:tcPr>
            <w:tcW w:w="3919" w:type="dxa"/>
            <w:hideMark/>
          </w:tcPr>
          <w:p w14:paraId="37EF44A5" w14:textId="77777777" w:rsidR="00923186" w:rsidRPr="00923186" w:rsidRDefault="00923186" w:rsidP="00923186">
            <w:pPr>
              <w:spacing w:after="160" w:line="278" w:lineRule="auto"/>
            </w:pPr>
            <w:r w:rsidRPr="00923186">
              <w:t>2</w:t>
            </w:r>
          </w:p>
        </w:tc>
        <w:tc>
          <w:tcPr>
            <w:tcW w:w="1742" w:type="dxa"/>
            <w:hideMark/>
          </w:tcPr>
          <w:p w14:paraId="71294AB3" w14:textId="77777777" w:rsidR="00923186" w:rsidRPr="00923186" w:rsidRDefault="00923186" w:rsidP="00923186">
            <w:pPr>
              <w:spacing w:after="160" w:line="278" w:lineRule="auto"/>
            </w:pPr>
            <w:r w:rsidRPr="00923186">
              <w:t>Más allá de 5 pies (1,5 m) y toda la habitación y 15 pies (4,5 m) más allá de cualquier pared o respiradero de descarga de ventilación del techo o rejilla de ventilación</w:t>
            </w:r>
          </w:p>
        </w:tc>
      </w:tr>
      <w:tr w:rsidR="00923186" w:rsidRPr="00923186" w14:paraId="34DFA82C" w14:textId="77777777" w:rsidTr="00923186">
        <w:trPr>
          <w:jc w:val="center"/>
        </w:trPr>
        <w:tc>
          <w:tcPr>
            <w:tcW w:w="4125" w:type="dxa"/>
            <w:hideMark/>
          </w:tcPr>
          <w:p w14:paraId="6C2EB2B7" w14:textId="77777777" w:rsidR="00923186" w:rsidRPr="00923186" w:rsidRDefault="00923186" w:rsidP="00923186">
            <w:pPr>
              <w:spacing w:after="160" w:line="278" w:lineRule="auto"/>
            </w:pPr>
          </w:p>
        </w:tc>
        <w:tc>
          <w:tcPr>
            <w:tcW w:w="5944" w:type="dxa"/>
            <w:hideMark/>
          </w:tcPr>
          <w:p w14:paraId="568AFA49" w14:textId="77777777" w:rsidR="00923186" w:rsidRPr="00923186" w:rsidRDefault="00923186" w:rsidP="00923186">
            <w:pPr>
              <w:spacing w:after="160" w:line="278" w:lineRule="auto"/>
            </w:pPr>
            <w:r w:rsidRPr="00923186">
              <w:t>Al aire libre, al nivel del suelo o por encima del mismo</w:t>
            </w:r>
          </w:p>
        </w:tc>
        <w:tc>
          <w:tcPr>
            <w:tcW w:w="3919" w:type="dxa"/>
            <w:hideMark/>
          </w:tcPr>
          <w:p w14:paraId="2CB09A43" w14:textId="77777777" w:rsidR="00923186" w:rsidRPr="00923186" w:rsidRDefault="00923186" w:rsidP="00923186">
            <w:pPr>
              <w:spacing w:after="160" w:line="278" w:lineRule="auto"/>
            </w:pPr>
            <w:r w:rsidRPr="00923186">
              <w:t>1</w:t>
            </w:r>
          </w:p>
        </w:tc>
        <w:tc>
          <w:tcPr>
            <w:tcW w:w="1742" w:type="dxa"/>
            <w:hideMark/>
          </w:tcPr>
          <w:p w14:paraId="0E1ACAB8" w14:textId="77777777" w:rsidR="00923186" w:rsidRPr="00923186" w:rsidRDefault="00923186" w:rsidP="00923186">
            <w:pPr>
              <w:spacing w:after="160" w:line="278" w:lineRule="auto"/>
            </w:pPr>
            <w:r w:rsidRPr="00923186">
              <w:t xml:space="preserve">Dentro de 5 pies (1,5 m) en todas las direcciones desde las </w:t>
            </w:r>
            <w:r w:rsidRPr="00923186">
              <w:lastRenderedPageBreak/>
              <w:t>conexiones realizadas o desconectadas regularmente para la transferencia de producto</w:t>
            </w:r>
          </w:p>
        </w:tc>
      </w:tr>
      <w:tr w:rsidR="00923186" w:rsidRPr="00923186" w14:paraId="3C68F367" w14:textId="77777777" w:rsidTr="00923186">
        <w:trPr>
          <w:jc w:val="center"/>
        </w:trPr>
        <w:tc>
          <w:tcPr>
            <w:tcW w:w="4125" w:type="dxa"/>
            <w:hideMark/>
          </w:tcPr>
          <w:p w14:paraId="034363B9" w14:textId="77777777" w:rsidR="00923186" w:rsidRPr="00923186" w:rsidRDefault="00923186" w:rsidP="00923186">
            <w:pPr>
              <w:spacing w:after="160" w:line="278" w:lineRule="auto"/>
            </w:pPr>
          </w:p>
        </w:tc>
        <w:tc>
          <w:tcPr>
            <w:tcW w:w="5944" w:type="dxa"/>
            <w:hideMark/>
          </w:tcPr>
          <w:p w14:paraId="4B556B7A" w14:textId="77777777" w:rsidR="00923186" w:rsidRPr="00923186" w:rsidRDefault="00923186" w:rsidP="00923186">
            <w:pPr>
              <w:spacing w:after="160" w:line="278" w:lineRule="auto"/>
            </w:pPr>
          </w:p>
        </w:tc>
        <w:tc>
          <w:tcPr>
            <w:tcW w:w="3919" w:type="dxa"/>
            <w:hideMark/>
          </w:tcPr>
          <w:p w14:paraId="2708F4CD" w14:textId="77777777" w:rsidR="00923186" w:rsidRPr="00923186" w:rsidRDefault="00923186" w:rsidP="00923186">
            <w:pPr>
              <w:spacing w:after="160" w:line="278" w:lineRule="auto"/>
            </w:pPr>
            <w:r w:rsidRPr="00923186">
              <w:t>2</w:t>
            </w:r>
          </w:p>
        </w:tc>
        <w:tc>
          <w:tcPr>
            <w:tcW w:w="1742" w:type="dxa"/>
            <w:hideMark/>
          </w:tcPr>
          <w:p w14:paraId="1DA41FE9" w14:textId="77777777" w:rsidR="00923186" w:rsidRPr="00923186" w:rsidRDefault="00923186" w:rsidP="00923186">
            <w:pPr>
              <w:spacing w:after="160" w:line="278" w:lineRule="auto"/>
            </w:pPr>
            <w:r w:rsidRPr="00923186">
              <w:t xml:space="preserve">Más allá de 5 pies (1,5 m) pero dentro de 15 pies (4,5 m) en todas las direcciones desde un punto en el que se realizan o desconectan conexiones regularmente y dentro del volumen cilíndrico entre el ecuador horizontal de la </w:t>
            </w:r>
            <w:r w:rsidRPr="00923186">
              <w:lastRenderedPageBreak/>
              <w:t>esfera y el nivel del suelo.</w:t>
            </w:r>
          </w:p>
        </w:tc>
      </w:tr>
      <w:tr w:rsidR="00923186" w:rsidRPr="00923186" w14:paraId="3350E7E0" w14:textId="77777777" w:rsidTr="00923186">
        <w:trPr>
          <w:jc w:val="center"/>
        </w:trPr>
        <w:tc>
          <w:tcPr>
            <w:tcW w:w="4125" w:type="dxa"/>
            <w:hideMark/>
          </w:tcPr>
          <w:p w14:paraId="214E9461" w14:textId="77777777" w:rsidR="00923186" w:rsidRPr="00923186" w:rsidRDefault="00923186" w:rsidP="00923186">
            <w:pPr>
              <w:spacing w:after="160" w:line="278" w:lineRule="auto"/>
            </w:pPr>
            <w:r w:rsidRPr="00923186">
              <w:rPr>
                <w:b/>
                <w:bCs/>
              </w:rPr>
              <w:lastRenderedPageBreak/>
              <w:t>D</w:t>
            </w:r>
          </w:p>
        </w:tc>
        <w:tc>
          <w:tcPr>
            <w:tcW w:w="5944" w:type="dxa"/>
            <w:hideMark/>
          </w:tcPr>
          <w:p w14:paraId="5E9F1E89" w14:textId="77777777" w:rsidR="00923186" w:rsidRPr="00923186" w:rsidRDefault="00923186" w:rsidP="00923186">
            <w:pPr>
              <w:spacing w:after="160" w:line="278" w:lineRule="auto"/>
            </w:pPr>
            <w:r w:rsidRPr="00923186">
              <w:rPr>
                <w:b/>
                <w:bCs/>
              </w:rPr>
              <w:t>Sellos y respiraderos eléctricos especificados en </w:t>
            </w:r>
            <w:hyperlink r:id="rId19" w:anchor="ID00059A000807" w:history="1">
              <w:r w:rsidRPr="00923186">
                <w:rPr>
                  <w:rStyle w:val="Hipervnculo"/>
                  <w:b/>
                  <w:bCs/>
                </w:rPr>
                <w:t>11.9.6</w:t>
              </w:r>
            </w:hyperlink>
            <w:r w:rsidRPr="00923186">
              <w:rPr>
                <w:b/>
                <w:bCs/>
              </w:rPr>
              <w:t> a </w:t>
            </w:r>
            <w:hyperlink r:id="rId20" w:anchor="ID00059A000819" w:history="1">
              <w:r w:rsidRPr="00923186">
                <w:rPr>
                  <w:rStyle w:val="Hipervnculo"/>
                  <w:b/>
                  <w:bCs/>
                </w:rPr>
                <w:t>11.9.8</w:t>
              </w:r>
            </w:hyperlink>
          </w:p>
        </w:tc>
        <w:tc>
          <w:tcPr>
            <w:tcW w:w="3919" w:type="dxa"/>
            <w:hideMark/>
          </w:tcPr>
          <w:p w14:paraId="19634AAF" w14:textId="77777777" w:rsidR="00923186" w:rsidRPr="00923186" w:rsidRDefault="00923186" w:rsidP="00923186">
            <w:pPr>
              <w:spacing w:after="160" w:line="278" w:lineRule="auto"/>
            </w:pPr>
            <w:r w:rsidRPr="00923186">
              <w:t>2</w:t>
            </w:r>
          </w:p>
        </w:tc>
        <w:tc>
          <w:tcPr>
            <w:tcW w:w="1742" w:type="dxa"/>
            <w:hideMark/>
          </w:tcPr>
          <w:p w14:paraId="1134D80B" w14:textId="77777777" w:rsidR="00923186" w:rsidRPr="00923186" w:rsidRDefault="00923186" w:rsidP="00923186">
            <w:pPr>
              <w:spacing w:after="160" w:line="278" w:lineRule="auto"/>
            </w:pPr>
            <w:r w:rsidRPr="00923186">
              <w:t>Dentro de los 15 pies (4,5 m) en todas las direcciones desde el equipo y dentro del volumen cilíndrico entre el ecuador horizontal de la esfera y el nivel del suelo.</w:t>
            </w:r>
          </w:p>
        </w:tc>
      </w:tr>
      <w:tr w:rsidR="00923186" w:rsidRPr="00923186" w14:paraId="61B0E30C" w14:textId="77777777" w:rsidTr="00923186">
        <w:trPr>
          <w:jc w:val="center"/>
        </w:trPr>
        <w:tc>
          <w:tcPr>
            <w:tcW w:w="4125" w:type="dxa"/>
            <w:hideMark/>
          </w:tcPr>
          <w:p w14:paraId="41DC59F6" w14:textId="77777777" w:rsidR="00923186" w:rsidRPr="00923186" w:rsidRDefault="00923186" w:rsidP="00923186">
            <w:pPr>
              <w:spacing w:after="160" w:line="278" w:lineRule="auto"/>
            </w:pPr>
            <w:r w:rsidRPr="00923186">
              <w:rPr>
                <w:b/>
                <w:bCs/>
              </w:rPr>
              <w:t>mi</w:t>
            </w:r>
          </w:p>
        </w:tc>
        <w:tc>
          <w:tcPr>
            <w:tcW w:w="5944" w:type="dxa"/>
            <w:hideMark/>
          </w:tcPr>
          <w:p w14:paraId="3D740730" w14:textId="77777777" w:rsidR="00923186" w:rsidRPr="00923186" w:rsidRDefault="00923186" w:rsidP="00923186">
            <w:pPr>
              <w:spacing w:after="160" w:line="278" w:lineRule="auto"/>
            </w:pPr>
            <w:r w:rsidRPr="00923186">
              <w:rPr>
                <w:b/>
                <w:bCs/>
              </w:rPr>
              <w:t>Áreas de carga y descarga de terminales marítimas </w:t>
            </w:r>
            <w:r w:rsidRPr="00923186">
              <w:rPr>
                <w:i/>
                <w:iCs/>
              </w:rPr>
              <w:t>[ver </w:t>
            </w:r>
            <w:hyperlink r:id="rId21" w:anchor="ID00059A000799" w:history="1">
              <w:r w:rsidRPr="00923186">
                <w:rPr>
                  <w:rStyle w:val="Hipervnculo"/>
                  <w:b/>
                  <w:bCs/>
                  <w:i/>
                  <w:iCs/>
                </w:rPr>
                <w:t>Figura 11.9.2(e)</w:t>
              </w:r>
            </w:hyperlink>
            <w:r w:rsidRPr="00923186">
              <w:rPr>
                <w:i/>
                <w:iCs/>
              </w:rPr>
              <w:t> ]</w:t>
            </w:r>
          </w:p>
        </w:tc>
        <w:tc>
          <w:tcPr>
            <w:tcW w:w="3919" w:type="dxa"/>
            <w:hideMark/>
          </w:tcPr>
          <w:p w14:paraId="27448798" w14:textId="77777777" w:rsidR="00923186" w:rsidRPr="00923186" w:rsidRDefault="00923186" w:rsidP="00923186">
            <w:pPr>
              <w:spacing w:after="160" w:line="278" w:lineRule="auto"/>
            </w:pPr>
            <w:r w:rsidRPr="00923186">
              <w:t>2</w:t>
            </w:r>
          </w:p>
        </w:tc>
        <w:tc>
          <w:tcPr>
            <w:tcW w:w="1742" w:type="dxa"/>
            <w:hideMark/>
          </w:tcPr>
          <w:p w14:paraId="0B128CD1" w14:textId="77777777" w:rsidR="00923186" w:rsidRPr="00923186" w:rsidRDefault="00923186" w:rsidP="00923186">
            <w:pPr>
              <w:spacing w:after="160" w:line="278" w:lineRule="auto"/>
            </w:pPr>
            <w:r w:rsidRPr="00923186">
              <w:t>Dentro de los 15 pies (4,5 m) en todas las direcciones, por encima de la cubierta, desde el sumidero abierto</w:t>
            </w:r>
          </w:p>
        </w:tc>
      </w:tr>
      <w:tr w:rsidR="00923186" w:rsidRPr="00923186" w14:paraId="269F46E8" w14:textId="77777777" w:rsidTr="00923186">
        <w:trPr>
          <w:jc w:val="center"/>
        </w:trPr>
        <w:tc>
          <w:tcPr>
            <w:tcW w:w="15730" w:type="dxa"/>
            <w:gridSpan w:val="4"/>
            <w:hideMark/>
          </w:tcPr>
          <w:p w14:paraId="5A033B3E" w14:textId="77777777" w:rsidR="00923186" w:rsidRPr="00923186" w:rsidRDefault="00923186" w:rsidP="00923186">
            <w:pPr>
              <w:spacing w:after="160" w:line="278" w:lineRule="auto"/>
            </w:pPr>
            <w:r w:rsidRPr="00923186">
              <w:rPr>
                <w:vertAlign w:val="superscript"/>
              </w:rPr>
              <w:lastRenderedPageBreak/>
              <w:t>a</w:t>
            </w:r>
            <w:r w:rsidRPr="00923186">
              <w:t> Consulte el Artículo 500 de</w:t>
            </w:r>
            <w:r w:rsidRPr="00923186">
              <w:rPr>
                <w:i/>
                <w:iCs/>
              </w:rPr>
              <w:t> la norma NFPA 70</w:t>
            </w:r>
            <w:r w:rsidRPr="00923186">
              <w:t> para obtener las definiciones de clases, grupos y divisiones. El Artículo 505 puede utilizarse como alternativa al Artículo 500 para la clasificación de áreas peligrosas, utilizando una clasificación de zona equivalente a la de las divisiones especificadas en la Tabla 11.9.2. La mayoría de los vapores y gases inflamables presentes en las instalaciones cubiertas por la norma NFPA 59A se clasifican en el Grupo D. El etileno se clasifica en el Grupo C. Gran parte del equipo eléctrico disponible para áreas peligrosas es apto para ambos grupos.</w:t>
            </w:r>
          </w:p>
          <w:p w14:paraId="4904AB57" w14:textId="77777777" w:rsidR="00923186" w:rsidRPr="00923186" w:rsidRDefault="00923186" w:rsidP="00923186">
            <w:pPr>
              <w:spacing w:after="160" w:line="278" w:lineRule="auto"/>
            </w:pPr>
            <w:r w:rsidRPr="00923186">
              <w:rPr>
                <w:vertAlign w:val="superscript"/>
              </w:rPr>
              <w:t>b</w:t>
            </w:r>
            <w:r w:rsidRPr="00923186">
              <w:t> Los contenedores pequeños son portátiles y de menos de 200 gal (760 L) de capacidad.</w:t>
            </w:r>
          </w:p>
          <w:p w14:paraId="532DFF12" w14:textId="77777777" w:rsidR="00923186" w:rsidRPr="00923186" w:rsidRDefault="00923186" w:rsidP="00923186">
            <w:pPr>
              <w:spacing w:after="160" w:line="278" w:lineRule="auto"/>
            </w:pPr>
            <w:r w:rsidRPr="00923186">
              <w:rPr>
                <w:vertAlign w:val="superscript"/>
              </w:rPr>
              <w:t>c</w:t>
            </w:r>
            <w:r w:rsidRPr="00923186">
              <w:t> La ventilación se considera adecuada cuando se proporciona de acuerdo con las disposiciones de esta norma.</w:t>
            </w:r>
          </w:p>
        </w:tc>
      </w:tr>
    </w:tbl>
    <w:p w14:paraId="2EC901DB" w14:textId="77777777" w:rsidR="00923186" w:rsidRDefault="00923186" w:rsidP="00923186"/>
    <w:p w14:paraId="22C3A14E" w14:textId="77777777" w:rsidR="00923186" w:rsidRDefault="00923186" w:rsidP="00923186"/>
    <w:p w14:paraId="4770054D" w14:textId="70590938" w:rsidR="00923186" w:rsidRPr="00923186" w:rsidRDefault="00923186" w:rsidP="00923186">
      <w:r w:rsidRPr="00923186">
        <w:drawing>
          <wp:inline distT="0" distB="0" distL="0" distR="0" wp14:anchorId="69892813" wp14:editId="7B4C0C1A">
            <wp:extent cx="4733925" cy="1895475"/>
            <wp:effectExtent l="0" t="0" r="9525" b="9525"/>
            <wp:docPr id="931877354" name="Imagen 10" descr="Imagen del libro de códigos: a959a0bb-b99d-11ec-a9ce-ed6b11933a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magen del libro de códigos: a959a0bb-b99d-11ec-a9ce-ed6b11933ac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33925" cy="1895475"/>
                    </a:xfrm>
                    <a:prstGeom prst="rect">
                      <a:avLst/>
                    </a:prstGeom>
                    <a:noFill/>
                    <a:ln>
                      <a:noFill/>
                    </a:ln>
                  </pic:spPr>
                </pic:pic>
              </a:graphicData>
            </a:graphic>
          </wp:inline>
        </w:drawing>
      </w:r>
    </w:p>
    <w:p w14:paraId="2F883EB4" w14:textId="77777777" w:rsidR="00923186" w:rsidRPr="00923186" w:rsidRDefault="00923186" w:rsidP="00923186">
      <w:r w:rsidRPr="00923186">
        <w:rPr>
          <w:b/>
          <w:bCs/>
        </w:rPr>
        <w:t>Figura 11.9.2(a) </w:t>
      </w:r>
      <w:r w:rsidRPr="00923186">
        <w:t>La altura del dique es menor que la distancia del contenedor al dique ( </w:t>
      </w:r>
      <w:r w:rsidRPr="00923186">
        <w:rPr>
          <w:b/>
          <w:bCs/>
          <w:i/>
          <w:iCs/>
        </w:rPr>
        <w:t>H</w:t>
      </w:r>
      <w:r w:rsidRPr="00923186">
        <w:t> &lt; </w:t>
      </w:r>
      <w:r w:rsidRPr="00923186">
        <w:rPr>
          <w:b/>
          <w:bCs/>
          <w:i/>
          <w:iCs/>
        </w:rPr>
        <w:t>x</w:t>
      </w:r>
      <w:r w:rsidRPr="00923186">
        <w:t> ).</w:t>
      </w:r>
    </w:p>
    <w:p w14:paraId="18DA502B" w14:textId="7B9B7B88" w:rsidR="00923186" w:rsidRPr="00923186" w:rsidRDefault="00923186" w:rsidP="00923186">
      <w:r w:rsidRPr="00923186">
        <w:lastRenderedPageBreak/>
        <w:drawing>
          <wp:inline distT="0" distB="0" distL="0" distR="0" wp14:anchorId="4DD356D7" wp14:editId="606E1EAB">
            <wp:extent cx="4733925" cy="1666875"/>
            <wp:effectExtent l="0" t="0" r="9525" b="9525"/>
            <wp:docPr id="2020832367" name="Imagen 9" descr="Imagen del libro de códigos: ac99fed5-b99d-11ec-a9ce-ed6b11933a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Imagen del libro de códigos: ac99fed5-b99d-11ec-a9ce-ed6b11933ac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33925" cy="1666875"/>
                    </a:xfrm>
                    <a:prstGeom prst="rect">
                      <a:avLst/>
                    </a:prstGeom>
                    <a:noFill/>
                    <a:ln>
                      <a:noFill/>
                    </a:ln>
                  </pic:spPr>
                </pic:pic>
              </a:graphicData>
            </a:graphic>
          </wp:inline>
        </w:drawing>
      </w:r>
    </w:p>
    <w:p w14:paraId="0A422DC2" w14:textId="77777777" w:rsidR="00923186" w:rsidRPr="00923186" w:rsidRDefault="00923186" w:rsidP="00923186">
      <w:r w:rsidRPr="00923186">
        <w:rPr>
          <w:b/>
          <w:bCs/>
        </w:rPr>
        <w:t>Figura 11.9.2(b) </w:t>
      </w:r>
      <w:r w:rsidRPr="00923186">
        <w:t>La altura del dique es mayor que la distancia del contenedor al dique ( </w:t>
      </w:r>
      <w:r w:rsidRPr="00923186">
        <w:rPr>
          <w:b/>
          <w:bCs/>
          <w:i/>
          <w:iCs/>
        </w:rPr>
        <w:t>H</w:t>
      </w:r>
      <w:r w:rsidRPr="00923186">
        <w:t> &gt; </w:t>
      </w:r>
      <w:r w:rsidRPr="00923186">
        <w:rPr>
          <w:b/>
          <w:bCs/>
          <w:i/>
          <w:iCs/>
        </w:rPr>
        <w:t>x</w:t>
      </w:r>
      <w:r w:rsidRPr="00923186">
        <w:t> ).</w:t>
      </w:r>
    </w:p>
    <w:p w14:paraId="27E21E6E" w14:textId="393E5BA9" w:rsidR="00923186" w:rsidRPr="00923186" w:rsidRDefault="00923186" w:rsidP="00923186">
      <w:r w:rsidRPr="00923186">
        <w:drawing>
          <wp:inline distT="0" distB="0" distL="0" distR="0" wp14:anchorId="3FB74C33" wp14:editId="2092C28D">
            <wp:extent cx="4733925" cy="1838325"/>
            <wp:effectExtent l="0" t="0" r="9525" b="9525"/>
            <wp:docPr id="80973149" name="Imagen 8" descr="Imagen del libro de códigos: ace3b208-b99d-11ec-a9ce-ed6b11933a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Imagen del libro de códigos: ace3b208-b99d-11ec-a9ce-ed6b11933ac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33925" cy="1838325"/>
                    </a:xfrm>
                    <a:prstGeom prst="rect">
                      <a:avLst/>
                    </a:prstGeom>
                    <a:noFill/>
                    <a:ln>
                      <a:noFill/>
                    </a:ln>
                  </pic:spPr>
                </pic:pic>
              </a:graphicData>
            </a:graphic>
          </wp:inline>
        </w:drawing>
      </w:r>
    </w:p>
    <w:p w14:paraId="28B62938" w14:textId="77777777" w:rsidR="00923186" w:rsidRPr="00923186" w:rsidRDefault="00923186" w:rsidP="00923186">
      <w:r w:rsidRPr="00923186">
        <w:rPr>
          <w:b/>
          <w:bCs/>
        </w:rPr>
        <w:t>Figura 11.9.2(c) </w:t>
      </w:r>
      <w:r w:rsidRPr="00923186">
        <w:t>Contenedor con nivel de líquido por debajo del nivel del suelo o por debajo del borde del dique.</w:t>
      </w:r>
    </w:p>
    <w:p w14:paraId="6F581937" w14:textId="40EE066C" w:rsidR="00923186" w:rsidRPr="00923186" w:rsidRDefault="00923186" w:rsidP="00923186">
      <w:r w:rsidRPr="00923186">
        <w:lastRenderedPageBreak/>
        <w:drawing>
          <wp:inline distT="0" distB="0" distL="0" distR="0" wp14:anchorId="75F30F0D" wp14:editId="614F7951">
            <wp:extent cx="4648200" cy="2152650"/>
            <wp:effectExtent l="0" t="0" r="0" b="0"/>
            <wp:docPr id="1295709665" name="Imagen 7" descr="Imagen del libro de códigos: abf09f6b-b99d-11ec-a9ce-ed6b11933a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Imagen del libro de códigos: abf09f6b-b99d-11ec-a9ce-ed6b11933ac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8200" cy="2152650"/>
                    </a:xfrm>
                    <a:prstGeom prst="rect">
                      <a:avLst/>
                    </a:prstGeom>
                    <a:noFill/>
                    <a:ln>
                      <a:noFill/>
                    </a:ln>
                  </pic:spPr>
                </pic:pic>
              </a:graphicData>
            </a:graphic>
          </wp:inline>
        </w:drawing>
      </w:r>
    </w:p>
    <w:p w14:paraId="21CC44F3" w14:textId="77777777" w:rsidR="00923186" w:rsidRPr="00923186" w:rsidRDefault="00923186" w:rsidP="00923186">
      <w:r w:rsidRPr="00923186">
        <w:rPr>
          <w:b/>
          <w:bCs/>
        </w:rPr>
        <w:t>Figura 11.9.2(d) Sistemas de tanques de contención </w:t>
      </w:r>
      <w:r w:rsidRPr="00923186">
        <w:t>completos y de membrana .</w:t>
      </w:r>
    </w:p>
    <w:p w14:paraId="347DDC65" w14:textId="73723CC9" w:rsidR="00923186" w:rsidRPr="00923186" w:rsidRDefault="00923186" w:rsidP="00923186">
      <w:r w:rsidRPr="00923186">
        <w:drawing>
          <wp:inline distT="0" distB="0" distL="0" distR="0" wp14:anchorId="08954D5A" wp14:editId="5129C9A6">
            <wp:extent cx="5400040" cy="2616835"/>
            <wp:effectExtent l="0" t="0" r="0" b="0"/>
            <wp:docPr id="139255694" name="Imagen 6" descr="Imagen del libro de códigos: aa6e1e07-b99d-11ec-a9ce-ed6b11933a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magen del libro de códigos: aa6e1e07-b99d-11ec-a9ce-ed6b11933ac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0040" cy="2616835"/>
                    </a:xfrm>
                    <a:prstGeom prst="rect">
                      <a:avLst/>
                    </a:prstGeom>
                    <a:noFill/>
                    <a:ln>
                      <a:noFill/>
                    </a:ln>
                  </pic:spPr>
                </pic:pic>
              </a:graphicData>
            </a:graphic>
          </wp:inline>
        </w:drawing>
      </w:r>
    </w:p>
    <w:p w14:paraId="5B7CD86B" w14:textId="77777777" w:rsidR="00923186" w:rsidRPr="00923186" w:rsidRDefault="00923186" w:rsidP="00923186">
      <w:r w:rsidRPr="00923186">
        <w:rPr>
          <w:b/>
          <w:bCs/>
        </w:rPr>
        <w:lastRenderedPageBreak/>
        <w:t>Figura 11.9.2(e) </w:t>
      </w:r>
      <w:r w:rsidRPr="00923186">
        <w:t>Clasificación de una terminal marítima que maneja GNL.</w:t>
      </w:r>
    </w:p>
    <w:p w14:paraId="5F8776E2" w14:textId="77777777" w:rsidR="00923186" w:rsidRPr="00923186" w:rsidRDefault="00923186" w:rsidP="00923186">
      <w:pPr>
        <w:rPr>
          <w:b/>
          <w:bCs/>
        </w:rPr>
      </w:pPr>
      <w:hyperlink r:id="rId27" w:anchor="ID00059A002255" w:history="1">
        <w:r w:rsidRPr="00923186">
          <w:rPr>
            <w:rStyle w:val="Hipervnculo"/>
            <w:b/>
            <w:bCs/>
          </w:rPr>
          <w:t>11.9.3*</w:t>
        </w:r>
      </w:hyperlink>
      <w:r w:rsidRPr="00923186">
        <w:rPr>
          <w:b/>
          <w:bCs/>
        </w:rPr>
        <w:t> </w:t>
      </w:r>
    </w:p>
    <w:p w14:paraId="6AE89929" w14:textId="77777777" w:rsidR="00923186" w:rsidRPr="00923186" w:rsidRDefault="00923186" w:rsidP="00923186">
      <w:r w:rsidRPr="00923186">
        <w:t>Las áreas clasificadas eléctricamente deberán ser como se especifica en </w:t>
      </w:r>
      <w:hyperlink r:id="rId28" w:anchor="ID00059A000793" w:history="1">
        <w:r w:rsidRPr="00923186">
          <w:rPr>
            <w:rStyle w:val="Hipervnculo"/>
            <w:b/>
            <w:bCs/>
          </w:rPr>
          <w:t>la Tabla 11.9.2</w:t>
        </w:r>
      </w:hyperlink>
      <w:r w:rsidRPr="00923186">
        <w:t> y como se especifica mediante métodos reconocidos que tienen en cuenta las propiedades de los fluidos potencialmente liberados, como líquidos altamente volátiles (HVL), y las condiciones como presión de operación, densidad, temperatura y volumen.</w:t>
      </w:r>
    </w:p>
    <w:p w14:paraId="7848AAA9" w14:textId="77777777" w:rsidR="00923186" w:rsidRPr="00923186" w:rsidRDefault="00923186" w:rsidP="00923186">
      <w:pPr>
        <w:rPr>
          <w:b/>
          <w:bCs/>
        </w:rPr>
      </w:pPr>
      <w:r w:rsidRPr="00923186">
        <w:rPr>
          <w:b/>
          <w:bCs/>
        </w:rPr>
        <w:t>11.9.3.1 </w:t>
      </w:r>
    </w:p>
    <w:p w14:paraId="16C7FD79" w14:textId="77777777" w:rsidR="00923186" w:rsidRPr="00923186" w:rsidRDefault="00923186" w:rsidP="00923186">
      <w:r w:rsidRPr="00923186">
        <w:t>Se deben evaluar las altas presiones, las liberaciones potencialmente grandes y la presencia de HVL para determinar si se requieren dimensiones mayores para las ubicaciones clasificadas que las que se muestran en </w:t>
      </w:r>
      <w:hyperlink r:id="rId29" w:anchor="ID00059A000793" w:history="1">
        <w:r w:rsidRPr="00923186">
          <w:rPr>
            <w:rStyle w:val="Hipervnculo"/>
            <w:b/>
            <w:bCs/>
          </w:rPr>
          <w:t>la Tabla 11.9.2</w:t>
        </w:r>
      </w:hyperlink>
      <w:r w:rsidRPr="00923186">
        <w:t> .</w:t>
      </w:r>
    </w:p>
    <w:p w14:paraId="1153C9FA" w14:textId="77777777" w:rsidR="00923186" w:rsidRPr="00923186" w:rsidRDefault="00923186" w:rsidP="00923186">
      <w:pPr>
        <w:rPr>
          <w:b/>
          <w:bCs/>
        </w:rPr>
      </w:pPr>
      <w:r w:rsidRPr="00923186">
        <w:rPr>
          <w:b/>
          <w:bCs/>
        </w:rPr>
        <w:t>11.9.3.2 </w:t>
      </w:r>
    </w:p>
    <w:p w14:paraId="56782614" w14:textId="77777777" w:rsidR="00923186" w:rsidRPr="00923186" w:rsidRDefault="00923186" w:rsidP="00923186">
      <w:r w:rsidRPr="00923186">
        <w:t>La extensión del área clasificada eléctricamente no deberá extenderse más allá de una pared sin perforaciones, un techo o una partición sólida hermética al vapor.</w:t>
      </w:r>
    </w:p>
    <w:p w14:paraId="5A59B830" w14:textId="77777777" w:rsidR="00923186" w:rsidRPr="00923186" w:rsidRDefault="00923186" w:rsidP="00923186">
      <w:pPr>
        <w:rPr>
          <w:b/>
          <w:bCs/>
        </w:rPr>
      </w:pPr>
      <w:r w:rsidRPr="00923186">
        <w:rPr>
          <w:b/>
          <w:bCs/>
        </w:rPr>
        <w:t>11.9.4 </w:t>
      </w:r>
    </w:p>
    <w:p w14:paraId="3EFBEAFF" w14:textId="77777777" w:rsidR="00923186" w:rsidRPr="00923186" w:rsidRDefault="00923186" w:rsidP="00923186">
      <w:r w:rsidRPr="00923186">
        <w:t>Cuando se instala equipo eléctrico con gabinetes que se encuentran en áreas clasificadas eléctricamente según </w:t>
      </w:r>
      <w:hyperlink r:id="rId30" w:anchor="ID00059A000792" w:history="1">
        <w:r w:rsidRPr="00923186">
          <w:rPr>
            <w:rStyle w:val="Hipervnculo"/>
            <w:b/>
            <w:bCs/>
          </w:rPr>
          <w:t>11.9.2</w:t>
        </w:r>
      </w:hyperlink>
      <w:r w:rsidRPr="00923186">
        <w:t> , los gabinetes deberán estar clasificados para esa clasificación de área o deberán cumplir con NFPA 496.</w:t>
      </w:r>
    </w:p>
    <w:p w14:paraId="6172FF24" w14:textId="77777777" w:rsidR="00923186" w:rsidRPr="00923186" w:rsidRDefault="00923186" w:rsidP="00923186">
      <w:pPr>
        <w:rPr>
          <w:b/>
          <w:bCs/>
        </w:rPr>
      </w:pPr>
      <w:r w:rsidRPr="00923186">
        <w:rPr>
          <w:b/>
          <w:bCs/>
        </w:rPr>
        <w:t>11.9.5 </w:t>
      </w:r>
    </w:p>
    <w:p w14:paraId="13B3055C" w14:textId="77777777" w:rsidR="00923186" w:rsidRPr="00923186" w:rsidRDefault="00923186" w:rsidP="00923186">
      <w:r w:rsidRPr="00923186">
        <w:t>El interior de un contenedor de GNL no será un área clasificada cuando se cumplan las siguientes condiciones:</w:t>
      </w:r>
    </w:p>
    <w:p w14:paraId="55E168DF" w14:textId="77777777" w:rsidR="00923186" w:rsidRPr="00923186" w:rsidRDefault="00923186" w:rsidP="00923186">
      <w:pPr>
        <w:numPr>
          <w:ilvl w:val="0"/>
          <w:numId w:val="2"/>
        </w:numPr>
      </w:pPr>
      <w:r w:rsidRPr="00923186">
        <w:t>(1)</w:t>
      </w:r>
    </w:p>
    <w:p w14:paraId="438113AB" w14:textId="77777777" w:rsidR="00923186" w:rsidRPr="00923186" w:rsidRDefault="00923186" w:rsidP="00923186">
      <w:r w:rsidRPr="00923186">
        <w:t>El equipo eléctrico se desenergiza y se bloquea hasta que se purga el aire del contenedor.</w:t>
      </w:r>
    </w:p>
    <w:p w14:paraId="49DC6D19" w14:textId="77777777" w:rsidR="00923186" w:rsidRPr="00923186" w:rsidRDefault="00923186" w:rsidP="00923186">
      <w:pPr>
        <w:numPr>
          <w:ilvl w:val="0"/>
          <w:numId w:val="2"/>
        </w:numPr>
      </w:pPr>
      <w:r w:rsidRPr="00923186">
        <w:t>(2)</w:t>
      </w:r>
    </w:p>
    <w:p w14:paraId="28523A17" w14:textId="77777777" w:rsidR="00923186" w:rsidRPr="00923186" w:rsidRDefault="00923186" w:rsidP="00923186">
      <w:r w:rsidRPr="00923186">
        <w:lastRenderedPageBreak/>
        <w:t>El equipo eléctrico se desenergiza y se bloquea antes de permitir que entre aire al contenedor.</w:t>
      </w:r>
    </w:p>
    <w:p w14:paraId="758B4E4F" w14:textId="77777777" w:rsidR="00923186" w:rsidRPr="00923186" w:rsidRDefault="00923186" w:rsidP="00923186">
      <w:pPr>
        <w:numPr>
          <w:ilvl w:val="0"/>
          <w:numId w:val="2"/>
        </w:numPr>
      </w:pPr>
      <w:r w:rsidRPr="00923186">
        <w:t>(3)</w:t>
      </w:r>
    </w:p>
    <w:p w14:paraId="7C481140" w14:textId="77777777" w:rsidR="00923186" w:rsidRPr="00923186" w:rsidRDefault="00923186" w:rsidP="00923186">
      <w:r w:rsidRPr="00923186">
        <w:t>El sistema eléctrico está diseñado y operado para desenergizar el equipo automáticamente cuando la presión en el contenedor se reduce a la presión atmosférica.</w:t>
      </w:r>
    </w:p>
    <w:p w14:paraId="73CABB75" w14:textId="77777777" w:rsidR="00923186" w:rsidRPr="00923186" w:rsidRDefault="00923186" w:rsidP="00923186">
      <w:pPr>
        <w:rPr>
          <w:b/>
          <w:bCs/>
        </w:rPr>
      </w:pPr>
      <w:hyperlink r:id="rId31" w:anchor="ID00059A002324" w:history="1">
        <w:r w:rsidRPr="00923186">
          <w:rPr>
            <w:rStyle w:val="Hipervnculo"/>
            <w:b/>
            <w:bCs/>
          </w:rPr>
          <w:t>11.9.6*</w:t>
        </w:r>
      </w:hyperlink>
      <w:r w:rsidRPr="00923186">
        <w:rPr>
          <w:b/>
          <w:bCs/>
        </w:rPr>
        <w:t> </w:t>
      </w:r>
    </w:p>
    <w:p w14:paraId="43867768" w14:textId="77777777" w:rsidR="00923186" w:rsidRPr="00923186" w:rsidRDefault="00923186" w:rsidP="00923186">
      <w:r w:rsidRPr="00923186">
        <w:t>Cada interfaz entre un sistema de fluido inflamable y un conducto eléctrico o sistema de cableado, incluidas las conexiones de instrumentación de proceso, operadores de válvulas integrales, serpentines de calentamiento de cimentación, bombas encapsuladas y sopladores, debe sellarse o aislarse para evitar el paso de fluidos inflamables a otra parte de la instalación eléctrica de acuerdo con los requisitos de esta norma, el Artículo 501.17 de </w:t>
      </w:r>
      <w:r w:rsidRPr="00923186">
        <w:rPr>
          <w:i/>
          <w:iCs/>
        </w:rPr>
        <w:t>NFPA 70</w:t>
      </w:r>
      <w:r w:rsidRPr="00923186">
        <w:t> y la ISA 12.27.01, </w:t>
      </w:r>
      <w:r w:rsidRPr="00923186">
        <w:rPr>
          <w:i/>
          <w:iCs/>
        </w:rPr>
        <w:t>Requisitos para el sellado de procesos entre sistemas eléctricos y fluidos de proceso inflamables o combustibles</w:t>
      </w:r>
      <w:r w:rsidRPr="00923186">
        <w:t> .</w:t>
      </w:r>
    </w:p>
    <w:p w14:paraId="189FAD05" w14:textId="77777777" w:rsidR="00923186" w:rsidRPr="00923186" w:rsidRDefault="00923186" w:rsidP="00923186">
      <w:pPr>
        <w:rPr>
          <w:b/>
          <w:bCs/>
        </w:rPr>
      </w:pPr>
      <w:r w:rsidRPr="00923186">
        <w:rPr>
          <w:b/>
          <w:bCs/>
        </w:rPr>
        <w:t>11.9.6.1 </w:t>
      </w:r>
    </w:p>
    <w:p w14:paraId="40BD634C" w14:textId="77777777" w:rsidR="00923186" w:rsidRPr="00923186" w:rsidRDefault="00923186" w:rsidP="00923186">
      <w:r w:rsidRPr="00923186">
        <w:t>Cada sello, barrera u otro medio utilizado para cumplir con </w:t>
      </w:r>
      <w:hyperlink r:id="rId32" w:anchor="ID00059A000807" w:history="1">
        <w:r w:rsidRPr="00923186">
          <w:rPr>
            <w:rStyle w:val="Hipervnculo"/>
            <w:b/>
            <w:bCs/>
          </w:rPr>
          <w:t>11.9.6</w:t>
        </w:r>
      </w:hyperlink>
      <w:r w:rsidRPr="00923186">
        <w:t> deberá estar diseñado para evitar el paso de fluidos inflamables a través del conducto, conductores trenzados y cables.</w:t>
      </w:r>
    </w:p>
    <w:p w14:paraId="3C972337" w14:textId="77777777" w:rsidR="00923186" w:rsidRPr="00923186" w:rsidRDefault="00923186" w:rsidP="00923186">
      <w:pPr>
        <w:rPr>
          <w:b/>
          <w:bCs/>
        </w:rPr>
      </w:pPr>
      <w:r w:rsidRPr="00923186">
        <w:rPr>
          <w:b/>
          <w:bCs/>
        </w:rPr>
        <w:t>11.9.6.2 </w:t>
      </w:r>
    </w:p>
    <w:p w14:paraId="0D2ECF33" w14:textId="77777777" w:rsidR="00923186" w:rsidRPr="00923186" w:rsidRDefault="00923186" w:rsidP="00923186">
      <w:r w:rsidRPr="00923186">
        <w:t>Se deberá proporcionar un sello primario entre el sistema de fluido inflamable y el sistema de cableado del conducto eléctrico.</w:t>
      </w:r>
    </w:p>
    <w:p w14:paraId="57CF7F50" w14:textId="77777777" w:rsidR="00923186" w:rsidRPr="00923186" w:rsidRDefault="00923186" w:rsidP="00923186">
      <w:pPr>
        <w:rPr>
          <w:b/>
          <w:bCs/>
        </w:rPr>
      </w:pPr>
      <w:r w:rsidRPr="00923186">
        <w:rPr>
          <w:b/>
          <w:bCs/>
        </w:rPr>
        <w:t>11.9.6.2.1 </w:t>
      </w:r>
    </w:p>
    <w:p w14:paraId="4E540B36" w14:textId="77777777" w:rsidR="00923186" w:rsidRPr="00923186" w:rsidRDefault="00923186" w:rsidP="00923186">
      <w:r w:rsidRPr="00923186">
        <w:t>Si la falla del sello primario permite el paso de fluidos inflamables a otra parte del conducto o sistema de cableado, se deberá proporcionar un sello, barrera u otro medio adicional aprobado para evitar el paso del fluido inflamable más allá del dispositivo o medio adicional si el sello primario falla.</w:t>
      </w:r>
    </w:p>
    <w:p w14:paraId="093EE6B8" w14:textId="77777777" w:rsidR="00923186" w:rsidRPr="00923186" w:rsidRDefault="00923186" w:rsidP="00923186">
      <w:pPr>
        <w:rPr>
          <w:b/>
          <w:bCs/>
        </w:rPr>
      </w:pPr>
      <w:r w:rsidRPr="00923186">
        <w:rPr>
          <w:b/>
          <w:bCs/>
        </w:rPr>
        <w:t>11.9.6.2.2 </w:t>
      </w:r>
    </w:p>
    <w:p w14:paraId="4D25DAFD" w14:textId="77777777" w:rsidR="00923186" w:rsidRPr="00923186" w:rsidRDefault="00923186" w:rsidP="00923186">
      <w:r w:rsidRPr="00923186">
        <w:lastRenderedPageBreak/>
        <w:t>Cada sello primario deberá estar diseñado para soportar las condiciones de servicio a las que puede estar expuesto.</w:t>
      </w:r>
    </w:p>
    <w:p w14:paraId="404EF3F4" w14:textId="77777777" w:rsidR="00923186" w:rsidRPr="00923186" w:rsidRDefault="00923186" w:rsidP="00923186">
      <w:pPr>
        <w:rPr>
          <w:b/>
          <w:bCs/>
        </w:rPr>
      </w:pPr>
      <w:r w:rsidRPr="00923186">
        <w:rPr>
          <w:b/>
          <w:bCs/>
        </w:rPr>
        <w:t>11.9.6.2.3 </w:t>
      </w:r>
    </w:p>
    <w:p w14:paraId="2FF19B87" w14:textId="77777777" w:rsidR="00923186" w:rsidRPr="00923186" w:rsidRDefault="00923186" w:rsidP="00923186">
      <w:r w:rsidRPr="00923186">
        <w:t>Cada sello o barrera adicional y recinto de interconexión deberán estar diseñados para cumplir con los requisitos de presión y temperatura de la condición a la que podrían estar expuestos en caso de falla del sello primario, a menos que se proporcionen otros medios aprobados para lograr el propósito.</w:t>
      </w:r>
    </w:p>
    <w:p w14:paraId="62E8533F" w14:textId="77777777" w:rsidR="00923186" w:rsidRPr="00923186" w:rsidRDefault="00923186" w:rsidP="00923186">
      <w:pPr>
        <w:rPr>
          <w:b/>
          <w:bCs/>
        </w:rPr>
      </w:pPr>
      <w:r w:rsidRPr="00923186">
        <w:rPr>
          <w:b/>
          <w:bCs/>
        </w:rPr>
        <w:t>11.9.6.3 Sello secundario.</w:t>
      </w:r>
    </w:p>
    <w:p w14:paraId="05CE837D" w14:textId="77777777" w:rsidR="00923186" w:rsidRPr="00923186" w:rsidRDefault="00923186" w:rsidP="00923186">
      <w:pPr>
        <w:rPr>
          <w:b/>
          <w:bCs/>
        </w:rPr>
      </w:pPr>
      <w:r w:rsidRPr="00923186">
        <w:rPr>
          <w:b/>
          <w:bCs/>
        </w:rPr>
        <w:t>11.9.6.3.1 </w:t>
      </w:r>
    </w:p>
    <w:p w14:paraId="5E96FF97" w14:textId="77777777" w:rsidR="00923186" w:rsidRPr="00923186" w:rsidRDefault="00923186" w:rsidP="00923186">
      <w:r w:rsidRPr="00923186">
        <w:t>Cuando se utilicen sellos secundarios, el espacio entre los sellos primarios y secundarios deberá ventilarse continuamente a la atmósfera.</w:t>
      </w:r>
    </w:p>
    <w:p w14:paraId="61D83200" w14:textId="77777777" w:rsidR="00923186" w:rsidRPr="00923186" w:rsidRDefault="00923186" w:rsidP="00923186">
      <w:pPr>
        <w:rPr>
          <w:b/>
          <w:bCs/>
        </w:rPr>
      </w:pPr>
      <w:r w:rsidRPr="00923186">
        <w:rPr>
          <w:b/>
          <w:bCs/>
        </w:rPr>
        <w:t>11.9.6.3.2 </w:t>
      </w:r>
    </w:p>
    <w:p w14:paraId="3E03044A" w14:textId="77777777" w:rsidR="00923186" w:rsidRPr="00923186" w:rsidRDefault="00923186" w:rsidP="00923186">
      <w:r w:rsidRPr="00923186">
        <w:t>Se deberán establecer disposiciones similares a las del </w:t>
      </w:r>
      <w:hyperlink r:id="rId33" w:anchor="ID00059A000814" w:history="1">
        <w:r w:rsidRPr="00923186">
          <w:rPr>
            <w:rStyle w:val="Hipervnculo"/>
            <w:b/>
            <w:bCs/>
          </w:rPr>
          <w:t>punto 11.9.6.3.1</w:t>
        </w:r>
      </w:hyperlink>
      <w:r w:rsidRPr="00923186">
        <w:t> para los sistemas de sellador primario de doble integridad del tipo utilizado para bombas de motor sumergidas.</w:t>
      </w:r>
    </w:p>
    <w:p w14:paraId="14C86001" w14:textId="77777777" w:rsidR="00923186" w:rsidRPr="00923186" w:rsidRDefault="00923186" w:rsidP="00923186">
      <w:pPr>
        <w:rPr>
          <w:b/>
          <w:bCs/>
        </w:rPr>
      </w:pPr>
      <w:r w:rsidRPr="00923186">
        <w:rPr>
          <w:b/>
          <w:bCs/>
        </w:rPr>
        <w:t>11.9.6.3.3 </w:t>
      </w:r>
    </w:p>
    <w:p w14:paraId="6617C706" w14:textId="77777777" w:rsidR="00923186" w:rsidRPr="00923186" w:rsidRDefault="00923186" w:rsidP="00923186">
      <w:r w:rsidRPr="00923186">
        <w:t>Los requisitos de </w:t>
      </w:r>
      <w:hyperlink r:id="rId34" w:anchor="ID00059A000814" w:history="1">
        <w:r w:rsidRPr="00923186">
          <w:rPr>
            <w:rStyle w:val="Hipervnculo"/>
            <w:b/>
            <w:bCs/>
          </w:rPr>
          <w:t>11.9.6.3.1</w:t>
        </w:r>
      </w:hyperlink>
      <w:r w:rsidRPr="00923186">
        <w:t> se aplicarán a los sistemas de sellador primario de doble integridad.</w:t>
      </w:r>
    </w:p>
    <w:p w14:paraId="393B2804" w14:textId="77777777" w:rsidR="00923186" w:rsidRPr="00923186" w:rsidRDefault="00923186" w:rsidP="00923186">
      <w:pPr>
        <w:rPr>
          <w:b/>
          <w:bCs/>
        </w:rPr>
      </w:pPr>
      <w:r w:rsidRPr="00923186">
        <w:rPr>
          <w:b/>
          <w:bCs/>
        </w:rPr>
        <w:t>11.9.6.3.4 </w:t>
      </w:r>
    </w:p>
    <w:p w14:paraId="2D7AFE71" w14:textId="77777777" w:rsidR="00923186" w:rsidRPr="00923186" w:rsidRDefault="00923186" w:rsidP="00923186">
      <w:r w:rsidRPr="00923186">
        <w:t>Cuando se utilice un sistema acolchado entre el sello primario y el secundario y no tenga un medio de ventilación, se deberá instalar una interrupción física del recorrido del conducto y de los conductores trenzados y ventilarse aguas abajo de los sellos.</w:t>
      </w:r>
    </w:p>
    <w:p w14:paraId="627FF87C" w14:textId="77777777" w:rsidR="00923186" w:rsidRPr="00923186" w:rsidRDefault="00923186" w:rsidP="00923186">
      <w:pPr>
        <w:rPr>
          <w:b/>
          <w:bCs/>
        </w:rPr>
      </w:pPr>
      <w:r w:rsidRPr="00923186">
        <w:rPr>
          <w:b/>
          <w:bCs/>
        </w:rPr>
        <w:t>11.9.6.4 </w:t>
      </w:r>
    </w:p>
    <w:p w14:paraId="626C992B" w14:textId="77777777" w:rsidR="00923186" w:rsidRPr="00923186" w:rsidRDefault="00923186" w:rsidP="00923186">
      <w:r w:rsidRPr="00923186">
        <w:lastRenderedPageBreak/>
        <w:t>Los sellos especificados en </w:t>
      </w:r>
      <w:hyperlink r:id="rId35" w:anchor="ID00059A000807" w:history="1">
        <w:r w:rsidRPr="00923186">
          <w:rPr>
            <w:rStyle w:val="Hipervnculo"/>
            <w:b/>
            <w:bCs/>
          </w:rPr>
          <w:t>11.9.6</w:t>
        </w:r>
      </w:hyperlink>
      <w:r w:rsidRPr="00923186">
        <w:t> y </w:t>
      </w:r>
      <w:hyperlink r:id="rId36" w:anchor="ID00059A000818" w:history="1">
        <w:r w:rsidRPr="00923186">
          <w:rPr>
            <w:rStyle w:val="Hipervnculo"/>
            <w:b/>
            <w:bCs/>
          </w:rPr>
          <w:t>11.9.7</w:t>
        </w:r>
      </w:hyperlink>
      <w:r w:rsidRPr="00923186">
        <w:t> no se deben utilizar para cumplir con los requisitos de sellado de conductos de </w:t>
      </w:r>
      <w:r w:rsidRPr="00923186">
        <w:rPr>
          <w:i/>
          <w:iCs/>
        </w:rPr>
        <w:t>NFPA 70</w:t>
      </w:r>
      <w:r w:rsidRPr="00923186">
        <w:t> o CSA C22.1, </w:t>
      </w:r>
      <w:r w:rsidRPr="00923186">
        <w:rPr>
          <w:i/>
          <w:iCs/>
        </w:rPr>
        <w:t>Código Eléctrico Canadiense</w:t>
      </w:r>
      <w:r w:rsidRPr="00923186">
        <w:t> .</w:t>
      </w:r>
    </w:p>
    <w:p w14:paraId="7B3CE494" w14:textId="77777777" w:rsidR="00923186" w:rsidRPr="00923186" w:rsidRDefault="00923186" w:rsidP="00923186">
      <w:pPr>
        <w:rPr>
          <w:b/>
          <w:bCs/>
        </w:rPr>
      </w:pPr>
      <w:r w:rsidRPr="00923186">
        <w:rPr>
          <w:b/>
          <w:bCs/>
        </w:rPr>
        <w:t>11.9.7 </w:t>
      </w:r>
    </w:p>
    <w:p w14:paraId="6A19F96D" w14:textId="77777777" w:rsidR="00923186" w:rsidRPr="00923186" w:rsidRDefault="00923186" w:rsidP="00923186">
      <w:r w:rsidRPr="00923186">
        <w:t>Donde se instalen sellos primarios, se deberán proporcionar drenajes, respiraderos u otros dispositivos para detectar fluidos inflamables y fugas.</w:t>
      </w:r>
    </w:p>
    <w:p w14:paraId="0182A796" w14:textId="77777777" w:rsidR="00923186" w:rsidRPr="00923186" w:rsidRDefault="00923186" w:rsidP="00923186">
      <w:pPr>
        <w:rPr>
          <w:b/>
          <w:bCs/>
        </w:rPr>
      </w:pPr>
      <w:r w:rsidRPr="00923186">
        <w:rPr>
          <w:b/>
          <w:bCs/>
        </w:rPr>
        <w:t>11.9.8 </w:t>
      </w:r>
    </w:p>
    <w:p w14:paraId="0C63E8EE" w14:textId="77777777" w:rsidR="00923186" w:rsidRPr="00923186" w:rsidRDefault="00923186" w:rsidP="00923186">
      <w:r w:rsidRPr="00923186">
        <w:t>La ventilación de un sistema de conductos deberá minimizar la posibilidad de daños al personal y al equipo si se enciende una mezcla inflamable de aire y gas.</w:t>
      </w:r>
    </w:p>
    <w:p w14:paraId="6FEBB838" w14:textId="77777777" w:rsidR="00923186" w:rsidRPr="00923186" w:rsidRDefault="00923186" w:rsidP="00923186">
      <w:r w:rsidRPr="00923186">
        <w:pict w14:anchorId="62C53143">
          <v:rect id="_x0000_i1123" style="width:0;height:1.5pt" o:hralign="center" o:hrstd="t" o:hr="t" fillcolor="#a0a0a0" stroked="f"/>
        </w:pict>
      </w:r>
    </w:p>
    <w:p w14:paraId="410725CE" w14:textId="77777777" w:rsidR="00923186" w:rsidRPr="00923186" w:rsidRDefault="00923186" w:rsidP="00923186">
      <w:hyperlink r:id="rId37" w:anchor="ID00059A001643" w:history="1">
        <w:r w:rsidRPr="00923186">
          <w:rPr>
            <w:rStyle w:val="Hipervnculo"/>
          </w:rPr>
          <w:t>11.10*</w:t>
        </w:r>
      </w:hyperlink>
      <w:r w:rsidRPr="00923186">
        <w:t>  Conexión a tierra y unión eléctrica.</w:t>
      </w:r>
    </w:p>
    <w:p w14:paraId="4A422FD2" w14:textId="77777777" w:rsidR="00923186" w:rsidRPr="00923186" w:rsidRDefault="00923186" w:rsidP="00923186">
      <w:r w:rsidRPr="00923186">
        <w:t>Se deberá proporcionar conexión a tierra y unión eléctrica.</w:t>
      </w:r>
    </w:p>
    <w:p w14:paraId="683158EA" w14:textId="77777777" w:rsidR="00923186" w:rsidRPr="00923186" w:rsidRDefault="00923186" w:rsidP="00923186">
      <w:pPr>
        <w:rPr>
          <w:b/>
          <w:bCs/>
        </w:rPr>
      </w:pPr>
      <w:r w:rsidRPr="00923186">
        <w:rPr>
          <w:b/>
          <w:bCs/>
        </w:rPr>
        <w:t>11.10.1 </w:t>
      </w:r>
    </w:p>
    <w:p w14:paraId="482CE9BD" w14:textId="77777777" w:rsidR="00923186" w:rsidRPr="00923186" w:rsidRDefault="00923186" w:rsidP="00923186">
      <w:r w:rsidRPr="00923186">
        <w:t>No se requerirá unión en áreas de transferencia donde ambas mitades de acoplamientos de mangueras o tuberías metálicas estén en contacto.</w:t>
      </w:r>
    </w:p>
    <w:p w14:paraId="7E0FE49A" w14:textId="77777777" w:rsidR="00923186" w:rsidRPr="00923186" w:rsidRDefault="00923186" w:rsidP="00923186">
      <w:pPr>
        <w:rPr>
          <w:b/>
          <w:bCs/>
        </w:rPr>
      </w:pPr>
      <w:hyperlink r:id="rId38" w:anchor="ID00059A001644" w:history="1">
        <w:r w:rsidRPr="00923186">
          <w:rPr>
            <w:rStyle w:val="Hipervnculo"/>
            <w:b/>
            <w:bCs/>
          </w:rPr>
          <w:t>11.10.2*</w:t>
        </w:r>
      </w:hyperlink>
      <w:r w:rsidRPr="00923186">
        <w:rPr>
          <w:b/>
          <w:bCs/>
        </w:rPr>
        <w:t> </w:t>
      </w:r>
    </w:p>
    <w:p w14:paraId="42C1EC32" w14:textId="77777777" w:rsidR="00923186" w:rsidRPr="00923186" w:rsidRDefault="00923186" w:rsidP="00923186">
      <w:r w:rsidRPr="00923186">
        <w:t>Si pueden existir corrientes parásitas o si se utilizan corrientes impresas en los sistemas de carga y descarga (por ejemplo, para protección catódica), se deberán tomar medidas de protección para evitar la ignición.</w:t>
      </w:r>
    </w:p>
    <w:p w14:paraId="248F0492" w14:textId="77777777" w:rsidR="00923186" w:rsidRPr="00923186" w:rsidRDefault="00923186" w:rsidP="00923186">
      <w:pPr>
        <w:rPr>
          <w:b/>
          <w:bCs/>
        </w:rPr>
      </w:pPr>
      <w:hyperlink r:id="rId39" w:anchor="ID00059A001645" w:history="1">
        <w:r w:rsidRPr="00923186">
          <w:rPr>
            <w:rStyle w:val="Hipervnculo"/>
            <w:b/>
            <w:bCs/>
          </w:rPr>
          <w:t>11.10.3*</w:t>
        </w:r>
      </w:hyperlink>
      <w:r w:rsidRPr="00923186">
        <w:rPr>
          <w:b/>
          <w:bCs/>
        </w:rPr>
        <w:t> </w:t>
      </w:r>
    </w:p>
    <w:p w14:paraId="1DAF16AE" w14:textId="77777777" w:rsidR="00923186" w:rsidRPr="00923186" w:rsidRDefault="00923186" w:rsidP="00923186">
      <w:r w:rsidRPr="00923186">
        <w:lastRenderedPageBreak/>
        <w:t>Se deberá instalar un sistema de protección contra rayos para los contenedores de almacenamiento apoyados sobre cimientos no conductores.</w:t>
      </w:r>
    </w:p>
    <w:p w14:paraId="6105C92E" w14:textId="77777777" w:rsidR="00923186" w:rsidRPr="00923186" w:rsidRDefault="00923186" w:rsidP="00923186">
      <w:r w:rsidRPr="00923186">
        <w:pict w14:anchorId="41FFC0B0">
          <v:rect id="_x0000_i1124" style="width:0;height:1.5pt" o:hralign="center" o:hrstd="t" o:hr="t" fillcolor="#a0a0a0" stroked="f"/>
        </w:pict>
      </w:r>
    </w:p>
    <w:p w14:paraId="1A0A3F60" w14:textId="77777777" w:rsidR="00493D72" w:rsidRDefault="00493D72"/>
    <w:p w14:paraId="6ED667B1" w14:textId="77777777" w:rsidR="00923186" w:rsidRDefault="00923186"/>
    <w:p w14:paraId="7CF8D3AE" w14:textId="77777777" w:rsidR="00923186" w:rsidRDefault="00923186"/>
    <w:p w14:paraId="042E72E1" w14:textId="77777777" w:rsidR="00923186" w:rsidRDefault="00923186"/>
    <w:p w14:paraId="6065C353" w14:textId="77777777" w:rsidR="00923186" w:rsidRPr="00923186" w:rsidRDefault="00923186" w:rsidP="00923186">
      <w:pPr>
        <w:jc w:val="center"/>
        <w:rPr>
          <w:b/>
          <w:bCs/>
        </w:rPr>
      </w:pPr>
      <w:r w:rsidRPr="00923186">
        <w:rPr>
          <w:b/>
          <w:bCs/>
        </w:rPr>
        <w:t>Tablas del Capítulo 11 — Instrumentación y servicios eléctricos</w:t>
      </w:r>
    </w:p>
    <w:tbl>
      <w:tblPr>
        <w:tblStyle w:val="Tablaconcuadrcula"/>
        <w:tblW w:w="15021" w:type="dxa"/>
        <w:jc w:val="center"/>
        <w:tblLook w:val="04A0" w:firstRow="1" w:lastRow="0" w:firstColumn="1" w:lastColumn="0" w:noHBand="0" w:noVBand="1"/>
      </w:tblPr>
      <w:tblGrid>
        <w:gridCol w:w="3820"/>
        <w:gridCol w:w="5628"/>
        <w:gridCol w:w="3673"/>
        <w:gridCol w:w="1900"/>
      </w:tblGrid>
      <w:tr w:rsidR="00923186" w:rsidRPr="00923186" w14:paraId="03ECECBD" w14:textId="77777777" w:rsidTr="00923186">
        <w:trPr>
          <w:jc w:val="center"/>
        </w:trPr>
        <w:tc>
          <w:tcPr>
            <w:tcW w:w="15021" w:type="dxa"/>
            <w:gridSpan w:val="4"/>
            <w:hideMark/>
          </w:tcPr>
          <w:p w14:paraId="3B032D48" w14:textId="77777777" w:rsidR="00923186" w:rsidRPr="00923186" w:rsidRDefault="00923186" w:rsidP="00923186">
            <w:pPr>
              <w:spacing w:after="160" w:line="278" w:lineRule="auto"/>
              <w:rPr>
                <w:b/>
                <w:bCs/>
              </w:rPr>
            </w:pPr>
            <w:r w:rsidRPr="00923186">
              <w:rPr>
                <w:b/>
                <w:bCs/>
              </w:rPr>
              <w:t>Tabla 11.9.2 Clasificación del área eléctrica</w:t>
            </w:r>
            <w:r w:rsidRPr="00923186">
              <w:rPr>
                <w:b/>
                <w:bCs/>
              </w:rPr>
              <w:br/>
            </w:r>
          </w:p>
        </w:tc>
      </w:tr>
      <w:tr w:rsidR="00923186" w:rsidRPr="00923186" w14:paraId="5F30BA61" w14:textId="77777777" w:rsidTr="00923186">
        <w:trPr>
          <w:jc w:val="center"/>
        </w:trPr>
        <w:tc>
          <w:tcPr>
            <w:tcW w:w="4125" w:type="dxa"/>
            <w:hideMark/>
          </w:tcPr>
          <w:p w14:paraId="3342D060" w14:textId="77777777" w:rsidR="00923186" w:rsidRPr="00923186" w:rsidRDefault="00923186" w:rsidP="00923186">
            <w:pPr>
              <w:spacing w:after="160" w:line="278" w:lineRule="auto"/>
              <w:rPr>
                <w:b/>
                <w:bCs/>
              </w:rPr>
            </w:pPr>
            <w:r w:rsidRPr="00923186">
              <w:rPr>
                <w:b/>
                <w:bCs/>
              </w:rPr>
              <w:t>Parte</w:t>
            </w:r>
          </w:p>
        </w:tc>
        <w:tc>
          <w:tcPr>
            <w:tcW w:w="5944" w:type="dxa"/>
            <w:hideMark/>
          </w:tcPr>
          <w:p w14:paraId="2540B1D1" w14:textId="77777777" w:rsidR="00923186" w:rsidRPr="00923186" w:rsidRDefault="00923186" w:rsidP="00923186">
            <w:pPr>
              <w:spacing w:after="160" w:line="278" w:lineRule="auto"/>
              <w:rPr>
                <w:b/>
                <w:bCs/>
              </w:rPr>
            </w:pPr>
            <w:r w:rsidRPr="00923186">
              <w:rPr>
                <w:b/>
                <w:bCs/>
              </w:rPr>
              <w:t>Ubicación</w:t>
            </w:r>
          </w:p>
        </w:tc>
        <w:tc>
          <w:tcPr>
            <w:tcW w:w="3919" w:type="dxa"/>
            <w:hideMark/>
          </w:tcPr>
          <w:p w14:paraId="3DF26895" w14:textId="77777777" w:rsidR="00923186" w:rsidRPr="00923186" w:rsidRDefault="00923186" w:rsidP="00923186">
            <w:pPr>
              <w:spacing w:after="160" w:line="278" w:lineRule="auto"/>
              <w:rPr>
                <w:b/>
                <w:bCs/>
              </w:rPr>
            </w:pPr>
            <w:r w:rsidRPr="00923186">
              <w:rPr>
                <w:b/>
                <w:bCs/>
              </w:rPr>
              <w:t>Grupo D, División </w:t>
            </w:r>
            <w:r w:rsidRPr="00923186">
              <w:rPr>
                <w:b/>
                <w:bCs/>
                <w:vertAlign w:val="superscript"/>
              </w:rPr>
              <w:t>A</w:t>
            </w:r>
          </w:p>
        </w:tc>
        <w:tc>
          <w:tcPr>
            <w:tcW w:w="1033" w:type="dxa"/>
            <w:hideMark/>
          </w:tcPr>
          <w:p w14:paraId="17A2E4D0" w14:textId="77777777" w:rsidR="00923186" w:rsidRPr="00923186" w:rsidRDefault="00923186" w:rsidP="00923186">
            <w:pPr>
              <w:spacing w:after="160" w:line="278" w:lineRule="auto"/>
              <w:rPr>
                <w:b/>
                <w:bCs/>
              </w:rPr>
            </w:pPr>
            <w:r w:rsidRPr="00923186">
              <w:rPr>
                <w:b/>
                <w:bCs/>
              </w:rPr>
              <w:t>Extensión del área clasificada</w:t>
            </w:r>
          </w:p>
        </w:tc>
      </w:tr>
      <w:tr w:rsidR="00923186" w:rsidRPr="00923186" w14:paraId="212513FD" w14:textId="77777777" w:rsidTr="00923186">
        <w:trPr>
          <w:jc w:val="center"/>
        </w:trPr>
        <w:tc>
          <w:tcPr>
            <w:tcW w:w="4125" w:type="dxa"/>
            <w:hideMark/>
          </w:tcPr>
          <w:p w14:paraId="6B6B0BA1" w14:textId="77777777" w:rsidR="00923186" w:rsidRPr="00923186" w:rsidRDefault="00923186" w:rsidP="00923186">
            <w:pPr>
              <w:spacing w:after="160" w:line="278" w:lineRule="auto"/>
            </w:pPr>
            <w:r w:rsidRPr="00923186">
              <w:rPr>
                <w:b/>
                <w:bCs/>
              </w:rPr>
              <w:t>A</w:t>
            </w:r>
          </w:p>
        </w:tc>
        <w:tc>
          <w:tcPr>
            <w:tcW w:w="5944" w:type="dxa"/>
            <w:hideMark/>
          </w:tcPr>
          <w:p w14:paraId="04AA0B04" w14:textId="77777777" w:rsidR="00923186" w:rsidRPr="00923186" w:rsidRDefault="00923186" w:rsidP="00923186">
            <w:pPr>
              <w:spacing w:after="160" w:line="278" w:lineRule="auto"/>
            </w:pPr>
            <w:r w:rsidRPr="00923186">
              <w:rPr>
                <w:b/>
                <w:bCs/>
              </w:rPr>
              <w:t>Contenedores de almacenamiento de GNL con rompedores de vacío</w:t>
            </w:r>
          </w:p>
        </w:tc>
        <w:tc>
          <w:tcPr>
            <w:tcW w:w="3919" w:type="dxa"/>
            <w:hideMark/>
          </w:tcPr>
          <w:p w14:paraId="0A753EBF" w14:textId="77777777" w:rsidR="00923186" w:rsidRPr="00923186" w:rsidRDefault="00923186" w:rsidP="00923186">
            <w:pPr>
              <w:spacing w:after="160" w:line="278" w:lineRule="auto"/>
            </w:pPr>
          </w:p>
        </w:tc>
        <w:tc>
          <w:tcPr>
            <w:tcW w:w="1033" w:type="dxa"/>
            <w:hideMark/>
          </w:tcPr>
          <w:p w14:paraId="4EF4D1E5" w14:textId="77777777" w:rsidR="00923186" w:rsidRPr="00923186" w:rsidRDefault="00923186" w:rsidP="00923186">
            <w:pPr>
              <w:spacing w:after="160" w:line="278" w:lineRule="auto"/>
            </w:pPr>
          </w:p>
        </w:tc>
      </w:tr>
      <w:tr w:rsidR="00923186" w:rsidRPr="00923186" w14:paraId="6236F789" w14:textId="77777777" w:rsidTr="00923186">
        <w:trPr>
          <w:jc w:val="center"/>
        </w:trPr>
        <w:tc>
          <w:tcPr>
            <w:tcW w:w="4125" w:type="dxa"/>
            <w:hideMark/>
          </w:tcPr>
          <w:p w14:paraId="267C8390" w14:textId="77777777" w:rsidR="00923186" w:rsidRPr="00923186" w:rsidRDefault="00923186" w:rsidP="00923186">
            <w:pPr>
              <w:spacing w:after="160" w:line="278" w:lineRule="auto"/>
            </w:pPr>
          </w:p>
        </w:tc>
        <w:tc>
          <w:tcPr>
            <w:tcW w:w="5944" w:type="dxa"/>
            <w:hideMark/>
          </w:tcPr>
          <w:p w14:paraId="11CFFD10" w14:textId="77777777" w:rsidR="00923186" w:rsidRPr="00923186" w:rsidRDefault="00923186" w:rsidP="00923186">
            <w:pPr>
              <w:spacing w:after="160" w:line="278" w:lineRule="auto"/>
            </w:pPr>
            <w:r w:rsidRPr="00923186">
              <w:t>Dentro de los contenedores</w:t>
            </w:r>
          </w:p>
        </w:tc>
        <w:tc>
          <w:tcPr>
            <w:tcW w:w="3919" w:type="dxa"/>
            <w:hideMark/>
          </w:tcPr>
          <w:p w14:paraId="732C08CE" w14:textId="77777777" w:rsidR="00923186" w:rsidRPr="00923186" w:rsidRDefault="00923186" w:rsidP="00923186">
            <w:pPr>
              <w:spacing w:after="160" w:line="278" w:lineRule="auto"/>
            </w:pPr>
            <w:r w:rsidRPr="00923186">
              <w:t>2</w:t>
            </w:r>
          </w:p>
        </w:tc>
        <w:tc>
          <w:tcPr>
            <w:tcW w:w="1033" w:type="dxa"/>
            <w:hideMark/>
          </w:tcPr>
          <w:p w14:paraId="7B5AB74D" w14:textId="77777777" w:rsidR="00923186" w:rsidRPr="00923186" w:rsidRDefault="00923186" w:rsidP="00923186">
            <w:pPr>
              <w:spacing w:after="160" w:line="278" w:lineRule="auto"/>
            </w:pPr>
            <w:r w:rsidRPr="00923186">
              <w:t>Todo el interior del contenedor, excepto cuando se aplique el apartado 11.9.5</w:t>
            </w:r>
          </w:p>
        </w:tc>
      </w:tr>
      <w:tr w:rsidR="00923186" w:rsidRPr="00923186" w14:paraId="319C1210" w14:textId="77777777" w:rsidTr="00923186">
        <w:trPr>
          <w:jc w:val="center"/>
        </w:trPr>
        <w:tc>
          <w:tcPr>
            <w:tcW w:w="4125" w:type="dxa"/>
            <w:hideMark/>
          </w:tcPr>
          <w:p w14:paraId="71C338A1" w14:textId="77777777" w:rsidR="00923186" w:rsidRPr="00923186" w:rsidRDefault="00923186" w:rsidP="00923186">
            <w:pPr>
              <w:spacing w:after="160" w:line="278" w:lineRule="auto"/>
            </w:pPr>
            <w:r w:rsidRPr="00923186">
              <w:rPr>
                <w:b/>
                <w:bCs/>
              </w:rPr>
              <w:lastRenderedPageBreak/>
              <w:t>B</w:t>
            </w:r>
          </w:p>
        </w:tc>
        <w:tc>
          <w:tcPr>
            <w:tcW w:w="5944" w:type="dxa"/>
            <w:hideMark/>
          </w:tcPr>
          <w:p w14:paraId="69606DF9" w14:textId="77777777" w:rsidR="00923186" w:rsidRPr="00923186" w:rsidRDefault="00923186" w:rsidP="00923186">
            <w:pPr>
              <w:spacing w:after="160" w:line="278" w:lineRule="auto"/>
            </w:pPr>
            <w:r w:rsidRPr="00923186">
              <w:rPr>
                <w:b/>
                <w:bCs/>
              </w:rPr>
              <w:t>Área de contenedores de almacenamiento de GNL</w:t>
            </w:r>
          </w:p>
        </w:tc>
        <w:tc>
          <w:tcPr>
            <w:tcW w:w="3919" w:type="dxa"/>
            <w:hideMark/>
          </w:tcPr>
          <w:p w14:paraId="3367E278" w14:textId="77777777" w:rsidR="00923186" w:rsidRPr="00923186" w:rsidRDefault="00923186" w:rsidP="00923186">
            <w:pPr>
              <w:spacing w:after="160" w:line="278" w:lineRule="auto"/>
            </w:pPr>
          </w:p>
        </w:tc>
        <w:tc>
          <w:tcPr>
            <w:tcW w:w="1033" w:type="dxa"/>
            <w:hideMark/>
          </w:tcPr>
          <w:p w14:paraId="3367D67C" w14:textId="77777777" w:rsidR="00923186" w:rsidRPr="00923186" w:rsidRDefault="00923186" w:rsidP="00923186">
            <w:pPr>
              <w:spacing w:after="160" w:line="278" w:lineRule="auto"/>
            </w:pPr>
          </w:p>
        </w:tc>
      </w:tr>
      <w:tr w:rsidR="00923186" w:rsidRPr="00923186" w14:paraId="6230A6A6" w14:textId="77777777" w:rsidTr="00923186">
        <w:trPr>
          <w:jc w:val="center"/>
        </w:trPr>
        <w:tc>
          <w:tcPr>
            <w:tcW w:w="4125" w:type="dxa"/>
            <w:hideMark/>
          </w:tcPr>
          <w:p w14:paraId="4B6DC06F" w14:textId="77777777" w:rsidR="00923186" w:rsidRPr="00923186" w:rsidRDefault="00923186" w:rsidP="00923186">
            <w:pPr>
              <w:spacing w:after="160" w:line="278" w:lineRule="auto"/>
            </w:pPr>
          </w:p>
        </w:tc>
        <w:tc>
          <w:tcPr>
            <w:tcW w:w="5944" w:type="dxa"/>
            <w:hideMark/>
          </w:tcPr>
          <w:p w14:paraId="4C7C4D3F" w14:textId="77777777" w:rsidR="00923186" w:rsidRPr="00923186" w:rsidRDefault="00923186" w:rsidP="00923186">
            <w:pPr>
              <w:spacing w:after="160" w:line="278" w:lineRule="auto"/>
            </w:pPr>
            <w:r w:rsidRPr="00923186">
              <w:t>Dentro</w:t>
            </w:r>
          </w:p>
        </w:tc>
        <w:tc>
          <w:tcPr>
            <w:tcW w:w="3919" w:type="dxa"/>
            <w:hideMark/>
          </w:tcPr>
          <w:p w14:paraId="57AC4B71" w14:textId="77777777" w:rsidR="00923186" w:rsidRPr="00923186" w:rsidRDefault="00923186" w:rsidP="00923186">
            <w:pPr>
              <w:spacing w:after="160" w:line="278" w:lineRule="auto"/>
            </w:pPr>
            <w:r w:rsidRPr="00923186">
              <w:t>1</w:t>
            </w:r>
          </w:p>
        </w:tc>
        <w:tc>
          <w:tcPr>
            <w:tcW w:w="1033" w:type="dxa"/>
            <w:hideMark/>
          </w:tcPr>
          <w:p w14:paraId="07D71AED" w14:textId="77777777" w:rsidR="00923186" w:rsidRPr="00923186" w:rsidRDefault="00923186" w:rsidP="00923186">
            <w:pPr>
              <w:spacing w:after="160" w:line="278" w:lineRule="auto"/>
            </w:pPr>
            <w:r w:rsidRPr="00923186">
              <w:t>Habitación entera</w:t>
            </w:r>
          </w:p>
        </w:tc>
      </w:tr>
      <w:tr w:rsidR="00923186" w:rsidRPr="00923186" w14:paraId="6AD66878" w14:textId="77777777" w:rsidTr="00923186">
        <w:trPr>
          <w:jc w:val="center"/>
        </w:trPr>
        <w:tc>
          <w:tcPr>
            <w:tcW w:w="4125" w:type="dxa"/>
            <w:hideMark/>
          </w:tcPr>
          <w:p w14:paraId="7F76231D" w14:textId="77777777" w:rsidR="00923186" w:rsidRPr="00923186" w:rsidRDefault="00923186" w:rsidP="00923186">
            <w:pPr>
              <w:spacing w:after="160" w:line="278" w:lineRule="auto"/>
            </w:pPr>
          </w:p>
        </w:tc>
        <w:tc>
          <w:tcPr>
            <w:tcW w:w="5944" w:type="dxa"/>
            <w:hideMark/>
          </w:tcPr>
          <w:p w14:paraId="722E168E" w14:textId="77777777" w:rsidR="00923186" w:rsidRPr="00923186" w:rsidRDefault="00923186" w:rsidP="00923186">
            <w:pPr>
              <w:spacing w:after="160" w:line="278" w:lineRule="auto"/>
            </w:pPr>
            <w:r w:rsidRPr="00923186">
              <w:t>Contenedores exteriores sobre el suelo (excepto contenedores pequeños) </w:t>
            </w:r>
            <w:r w:rsidRPr="00923186">
              <w:rPr>
                <w:vertAlign w:val="superscript"/>
              </w:rPr>
              <w:t>b</w:t>
            </w:r>
          </w:p>
        </w:tc>
        <w:tc>
          <w:tcPr>
            <w:tcW w:w="3919" w:type="dxa"/>
            <w:hideMark/>
          </w:tcPr>
          <w:p w14:paraId="6D242BB6" w14:textId="77777777" w:rsidR="00923186" w:rsidRPr="00923186" w:rsidRDefault="00923186" w:rsidP="00923186">
            <w:pPr>
              <w:spacing w:after="160" w:line="278" w:lineRule="auto"/>
            </w:pPr>
            <w:r w:rsidRPr="00923186">
              <w:t>1</w:t>
            </w:r>
          </w:p>
        </w:tc>
        <w:tc>
          <w:tcPr>
            <w:tcW w:w="1033" w:type="dxa"/>
            <w:hideMark/>
          </w:tcPr>
          <w:p w14:paraId="1FADD523" w14:textId="77777777" w:rsidR="00923186" w:rsidRPr="00923186" w:rsidRDefault="00923186" w:rsidP="00923186">
            <w:pPr>
              <w:spacing w:after="160" w:line="278" w:lineRule="auto"/>
            </w:pPr>
            <w:r w:rsidRPr="00923186">
              <w:t>Área abierta entre un dique de tipo alto y la pared del contenedor donde la altura de la pared del dique excede la distancia entre el dique y las paredes del contenedor </w:t>
            </w:r>
            <w:r w:rsidRPr="00923186">
              <w:rPr>
                <w:i/>
                <w:iCs/>
              </w:rPr>
              <w:t>[ver Figura 11.9.2(b)]</w:t>
            </w:r>
          </w:p>
        </w:tc>
      </w:tr>
      <w:tr w:rsidR="00923186" w:rsidRPr="00923186" w14:paraId="7F37CF33" w14:textId="77777777" w:rsidTr="00923186">
        <w:trPr>
          <w:jc w:val="center"/>
        </w:trPr>
        <w:tc>
          <w:tcPr>
            <w:tcW w:w="4125" w:type="dxa"/>
            <w:hideMark/>
          </w:tcPr>
          <w:p w14:paraId="3E72ABBF" w14:textId="77777777" w:rsidR="00923186" w:rsidRPr="00923186" w:rsidRDefault="00923186" w:rsidP="00923186">
            <w:pPr>
              <w:spacing w:after="160" w:line="278" w:lineRule="auto"/>
            </w:pPr>
          </w:p>
        </w:tc>
        <w:tc>
          <w:tcPr>
            <w:tcW w:w="5944" w:type="dxa"/>
            <w:hideMark/>
          </w:tcPr>
          <w:p w14:paraId="50338472" w14:textId="77777777" w:rsidR="00923186" w:rsidRPr="00923186" w:rsidRDefault="00923186" w:rsidP="00923186">
            <w:pPr>
              <w:spacing w:after="160" w:line="278" w:lineRule="auto"/>
            </w:pPr>
          </w:p>
        </w:tc>
        <w:tc>
          <w:tcPr>
            <w:tcW w:w="3919" w:type="dxa"/>
            <w:hideMark/>
          </w:tcPr>
          <w:p w14:paraId="636CDCE2" w14:textId="77777777" w:rsidR="00923186" w:rsidRPr="00923186" w:rsidRDefault="00923186" w:rsidP="00923186">
            <w:pPr>
              <w:spacing w:after="160" w:line="278" w:lineRule="auto"/>
            </w:pPr>
            <w:r w:rsidRPr="00923186">
              <w:t>2</w:t>
            </w:r>
          </w:p>
        </w:tc>
        <w:tc>
          <w:tcPr>
            <w:tcW w:w="1033" w:type="dxa"/>
            <w:hideMark/>
          </w:tcPr>
          <w:p w14:paraId="6262B147" w14:textId="77777777" w:rsidR="00923186" w:rsidRPr="00923186" w:rsidRDefault="00923186" w:rsidP="00923186">
            <w:pPr>
              <w:spacing w:after="160" w:line="278" w:lineRule="auto"/>
            </w:pPr>
            <w:r w:rsidRPr="00923186">
              <w:t xml:space="preserve">Dentro de los 15 pies (4,5 m) en todas las direcciones desde las paredes y el </w:t>
            </w:r>
            <w:r w:rsidRPr="00923186">
              <w:lastRenderedPageBreak/>
              <w:t>techo del contenedor, más el área dentro de un área de embalse o dique de tipo bajo hasta la altura de la pared del embalse </w:t>
            </w:r>
            <w:r w:rsidRPr="00923186">
              <w:rPr>
                <w:i/>
                <w:iCs/>
              </w:rPr>
              <w:t>[ver Figura 11.9.2(a)]</w:t>
            </w:r>
          </w:p>
        </w:tc>
      </w:tr>
      <w:tr w:rsidR="00923186" w:rsidRPr="00923186" w14:paraId="3C97C67A" w14:textId="77777777" w:rsidTr="00923186">
        <w:trPr>
          <w:jc w:val="center"/>
        </w:trPr>
        <w:tc>
          <w:tcPr>
            <w:tcW w:w="4125" w:type="dxa"/>
            <w:hideMark/>
          </w:tcPr>
          <w:p w14:paraId="1B14D2A3" w14:textId="77777777" w:rsidR="00923186" w:rsidRPr="00923186" w:rsidRDefault="00923186" w:rsidP="00923186">
            <w:pPr>
              <w:spacing w:after="160" w:line="278" w:lineRule="auto"/>
            </w:pPr>
          </w:p>
        </w:tc>
        <w:tc>
          <w:tcPr>
            <w:tcW w:w="5944" w:type="dxa"/>
            <w:hideMark/>
          </w:tcPr>
          <w:p w14:paraId="08E17B7A" w14:textId="77777777" w:rsidR="00923186" w:rsidRPr="00923186" w:rsidRDefault="00923186" w:rsidP="00923186">
            <w:pPr>
              <w:spacing w:after="160" w:line="278" w:lineRule="auto"/>
            </w:pPr>
            <w:r w:rsidRPr="00923186">
              <w:t>Contenedores subterráneos para exteriores</w:t>
            </w:r>
          </w:p>
        </w:tc>
        <w:tc>
          <w:tcPr>
            <w:tcW w:w="3919" w:type="dxa"/>
            <w:hideMark/>
          </w:tcPr>
          <w:p w14:paraId="4D4ABD01" w14:textId="77777777" w:rsidR="00923186" w:rsidRPr="00923186" w:rsidRDefault="00923186" w:rsidP="00923186">
            <w:pPr>
              <w:spacing w:after="160" w:line="278" w:lineRule="auto"/>
            </w:pPr>
            <w:r w:rsidRPr="00923186">
              <w:t>1</w:t>
            </w:r>
          </w:p>
        </w:tc>
        <w:tc>
          <w:tcPr>
            <w:tcW w:w="1033" w:type="dxa"/>
            <w:hideMark/>
          </w:tcPr>
          <w:p w14:paraId="4741A65B" w14:textId="77777777" w:rsidR="00923186" w:rsidRPr="00923186" w:rsidRDefault="00923186" w:rsidP="00923186">
            <w:pPr>
              <w:spacing w:after="160" w:line="278" w:lineRule="auto"/>
            </w:pPr>
            <w:r w:rsidRPr="00923186">
              <w:t>Dentro de cualquier espacio abierto entre las paredes del contenedor y el nivel del suelo o dique circundante </w:t>
            </w:r>
            <w:r w:rsidRPr="00923186">
              <w:rPr>
                <w:i/>
                <w:iCs/>
              </w:rPr>
              <w:t>[ver Figura 11.9.2(c)]</w:t>
            </w:r>
          </w:p>
        </w:tc>
      </w:tr>
      <w:tr w:rsidR="00923186" w:rsidRPr="00923186" w14:paraId="0DA92854" w14:textId="77777777" w:rsidTr="00923186">
        <w:trPr>
          <w:jc w:val="center"/>
        </w:trPr>
        <w:tc>
          <w:tcPr>
            <w:tcW w:w="4125" w:type="dxa"/>
            <w:hideMark/>
          </w:tcPr>
          <w:p w14:paraId="25A612DC" w14:textId="77777777" w:rsidR="00923186" w:rsidRPr="00923186" w:rsidRDefault="00923186" w:rsidP="00923186">
            <w:pPr>
              <w:spacing w:after="160" w:line="278" w:lineRule="auto"/>
            </w:pPr>
          </w:p>
        </w:tc>
        <w:tc>
          <w:tcPr>
            <w:tcW w:w="5944" w:type="dxa"/>
            <w:hideMark/>
          </w:tcPr>
          <w:p w14:paraId="6F2E41E8" w14:textId="77777777" w:rsidR="00923186" w:rsidRPr="00923186" w:rsidRDefault="00923186" w:rsidP="00923186">
            <w:pPr>
              <w:spacing w:after="160" w:line="278" w:lineRule="auto"/>
            </w:pPr>
          </w:p>
        </w:tc>
        <w:tc>
          <w:tcPr>
            <w:tcW w:w="3919" w:type="dxa"/>
            <w:hideMark/>
          </w:tcPr>
          <w:p w14:paraId="5CA36621" w14:textId="77777777" w:rsidR="00923186" w:rsidRPr="00923186" w:rsidRDefault="00923186" w:rsidP="00923186">
            <w:pPr>
              <w:spacing w:after="160" w:line="278" w:lineRule="auto"/>
            </w:pPr>
            <w:r w:rsidRPr="00923186">
              <w:t>2</w:t>
            </w:r>
          </w:p>
        </w:tc>
        <w:tc>
          <w:tcPr>
            <w:tcW w:w="1033" w:type="dxa"/>
            <w:hideMark/>
          </w:tcPr>
          <w:p w14:paraId="0391DBC8" w14:textId="77777777" w:rsidR="00923186" w:rsidRPr="00923186" w:rsidRDefault="00923186" w:rsidP="00923186">
            <w:pPr>
              <w:spacing w:after="160" w:line="278" w:lineRule="auto"/>
            </w:pPr>
            <w:r w:rsidRPr="00923186">
              <w:t>Dentro de los 15 pies (4,5 m) en todas las direcciones desde el techo y los lados </w:t>
            </w:r>
            <w:r w:rsidRPr="00923186">
              <w:rPr>
                <w:i/>
                <w:iCs/>
              </w:rPr>
              <w:t>[ver Figura 11.9.2(c)]</w:t>
            </w:r>
          </w:p>
        </w:tc>
      </w:tr>
      <w:tr w:rsidR="00923186" w:rsidRPr="00923186" w14:paraId="214D11F7" w14:textId="77777777" w:rsidTr="00923186">
        <w:trPr>
          <w:jc w:val="center"/>
        </w:trPr>
        <w:tc>
          <w:tcPr>
            <w:tcW w:w="4125" w:type="dxa"/>
            <w:hideMark/>
          </w:tcPr>
          <w:p w14:paraId="2D7CD97C" w14:textId="77777777" w:rsidR="00923186" w:rsidRPr="00923186" w:rsidRDefault="00923186" w:rsidP="00923186">
            <w:pPr>
              <w:spacing w:after="160" w:line="278" w:lineRule="auto"/>
            </w:pPr>
            <w:r w:rsidRPr="00923186">
              <w:rPr>
                <w:b/>
                <w:bCs/>
              </w:rPr>
              <w:t>do</w:t>
            </w:r>
          </w:p>
        </w:tc>
        <w:tc>
          <w:tcPr>
            <w:tcW w:w="5944" w:type="dxa"/>
            <w:hideMark/>
          </w:tcPr>
          <w:p w14:paraId="29B04204" w14:textId="77777777" w:rsidR="00923186" w:rsidRPr="00923186" w:rsidRDefault="00923186" w:rsidP="00923186">
            <w:pPr>
              <w:spacing w:after="160" w:line="278" w:lineRule="auto"/>
            </w:pPr>
            <w:r w:rsidRPr="00923186">
              <w:rPr>
                <w:b/>
                <w:bCs/>
              </w:rPr>
              <w:t>Carga y descarga de vagones cisterna, vehículos cisterna y contenedores</w:t>
            </w:r>
          </w:p>
        </w:tc>
        <w:tc>
          <w:tcPr>
            <w:tcW w:w="3919" w:type="dxa"/>
            <w:hideMark/>
          </w:tcPr>
          <w:p w14:paraId="69E1505E" w14:textId="77777777" w:rsidR="00923186" w:rsidRPr="00923186" w:rsidRDefault="00923186" w:rsidP="00923186">
            <w:pPr>
              <w:spacing w:after="160" w:line="278" w:lineRule="auto"/>
            </w:pPr>
          </w:p>
        </w:tc>
        <w:tc>
          <w:tcPr>
            <w:tcW w:w="1033" w:type="dxa"/>
            <w:hideMark/>
          </w:tcPr>
          <w:p w14:paraId="03D519D7" w14:textId="77777777" w:rsidR="00923186" w:rsidRPr="00923186" w:rsidRDefault="00923186" w:rsidP="00923186">
            <w:pPr>
              <w:spacing w:after="160" w:line="278" w:lineRule="auto"/>
            </w:pPr>
          </w:p>
        </w:tc>
      </w:tr>
      <w:tr w:rsidR="00923186" w:rsidRPr="00923186" w14:paraId="15058D3E" w14:textId="77777777" w:rsidTr="00923186">
        <w:trPr>
          <w:jc w:val="center"/>
        </w:trPr>
        <w:tc>
          <w:tcPr>
            <w:tcW w:w="4125" w:type="dxa"/>
            <w:hideMark/>
          </w:tcPr>
          <w:p w14:paraId="24B707CD" w14:textId="77777777" w:rsidR="00923186" w:rsidRPr="00923186" w:rsidRDefault="00923186" w:rsidP="00923186">
            <w:pPr>
              <w:spacing w:after="160" w:line="278" w:lineRule="auto"/>
            </w:pPr>
          </w:p>
        </w:tc>
        <w:tc>
          <w:tcPr>
            <w:tcW w:w="5944" w:type="dxa"/>
            <w:hideMark/>
          </w:tcPr>
          <w:p w14:paraId="1CB2F980" w14:textId="77777777" w:rsidR="00923186" w:rsidRPr="00923186" w:rsidRDefault="00923186" w:rsidP="00923186">
            <w:pPr>
              <w:spacing w:after="160" w:line="278" w:lineRule="auto"/>
            </w:pPr>
            <w:r w:rsidRPr="00923186">
              <w:t>En interiores con ventilación adecuada </w:t>
            </w:r>
            <w:r w:rsidRPr="00923186">
              <w:rPr>
                <w:vertAlign w:val="superscript"/>
              </w:rPr>
              <w:t>c</w:t>
            </w:r>
          </w:p>
        </w:tc>
        <w:tc>
          <w:tcPr>
            <w:tcW w:w="3919" w:type="dxa"/>
            <w:hideMark/>
          </w:tcPr>
          <w:p w14:paraId="191A558E" w14:textId="77777777" w:rsidR="00923186" w:rsidRPr="00923186" w:rsidRDefault="00923186" w:rsidP="00923186">
            <w:pPr>
              <w:spacing w:after="160" w:line="278" w:lineRule="auto"/>
            </w:pPr>
            <w:r w:rsidRPr="00923186">
              <w:t>1</w:t>
            </w:r>
          </w:p>
        </w:tc>
        <w:tc>
          <w:tcPr>
            <w:tcW w:w="1033" w:type="dxa"/>
            <w:hideMark/>
          </w:tcPr>
          <w:p w14:paraId="2250E8F4" w14:textId="77777777" w:rsidR="00923186" w:rsidRPr="00923186" w:rsidRDefault="00923186" w:rsidP="00923186">
            <w:pPr>
              <w:spacing w:after="160" w:line="278" w:lineRule="auto"/>
            </w:pPr>
            <w:r w:rsidRPr="00923186">
              <w:t>Dentro de 5 pies (1,5 m) en todas las direcciones desde las conexiones realizadas o desconectadas regularmente para la transferencia de producto</w:t>
            </w:r>
          </w:p>
        </w:tc>
      </w:tr>
      <w:tr w:rsidR="00923186" w:rsidRPr="00923186" w14:paraId="7EC6A05F" w14:textId="77777777" w:rsidTr="00923186">
        <w:trPr>
          <w:jc w:val="center"/>
        </w:trPr>
        <w:tc>
          <w:tcPr>
            <w:tcW w:w="4125" w:type="dxa"/>
            <w:hideMark/>
          </w:tcPr>
          <w:p w14:paraId="11084AA2" w14:textId="77777777" w:rsidR="00923186" w:rsidRPr="00923186" w:rsidRDefault="00923186" w:rsidP="00923186">
            <w:pPr>
              <w:spacing w:after="160" w:line="278" w:lineRule="auto"/>
            </w:pPr>
          </w:p>
        </w:tc>
        <w:tc>
          <w:tcPr>
            <w:tcW w:w="5944" w:type="dxa"/>
            <w:hideMark/>
          </w:tcPr>
          <w:p w14:paraId="0623EACB" w14:textId="77777777" w:rsidR="00923186" w:rsidRPr="00923186" w:rsidRDefault="00923186" w:rsidP="00923186">
            <w:pPr>
              <w:spacing w:after="160" w:line="278" w:lineRule="auto"/>
            </w:pPr>
          </w:p>
        </w:tc>
        <w:tc>
          <w:tcPr>
            <w:tcW w:w="3919" w:type="dxa"/>
            <w:hideMark/>
          </w:tcPr>
          <w:p w14:paraId="2AF31B3B" w14:textId="77777777" w:rsidR="00923186" w:rsidRPr="00923186" w:rsidRDefault="00923186" w:rsidP="00923186">
            <w:pPr>
              <w:spacing w:after="160" w:line="278" w:lineRule="auto"/>
            </w:pPr>
            <w:r w:rsidRPr="00923186">
              <w:t>2</w:t>
            </w:r>
          </w:p>
        </w:tc>
        <w:tc>
          <w:tcPr>
            <w:tcW w:w="1033" w:type="dxa"/>
            <w:hideMark/>
          </w:tcPr>
          <w:p w14:paraId="4B6863B9" w14:textId="77777777" w:rsidR="00923186" w:rsidRPr="00923186" w:rsidRDefault="00923186" w:rsidP="00923186">
            <w:pPr>
              <w:spacing w:after="160" w:line="278" w:lineRule="auto"/>
            </w:pPr>
            <w:r w:rsidRPr="00923186">
              <w:t xml:space="preserve">Más allá de 5 pies (1,5 m) y toda la </w:t>
            </w:r>
            <w:r w:rsidRPr="00923186">
              <w:lastRenderedPageBreak/>
              <w:t>habitación y 15 pies (4,5 m) más allá de cualquier pared o respiradero de descarga de ventilación del techo o rejilla de ventilación</w:t>
            </w:r>
          </w:p>
        </w:tc>
      </w:tr>
      <w:tr w:rsidR="00923186" w:rsidRPr="00923186" w14:paraId="2FBC743C" w14:textId="77777777" w:rsidTr="00923186">
        <w:trPr>
          <w:jc w:val="center"/>
        </w:trPr>
        <w:tc>
          <w:tcPr>
            <w:tcW w:w="4125" w:type="dxa"/>
            <w:hideMark/>
          </w:tcPr>
          <w:p w14:paraId="2503597E" w14:textId="77777777" w:rsidR="00923186" w:rsidRPr="00923186" w:rsidRDefault="00923186" w:rsidP="00923186">
            <w:pPr>
              <w:spacing w:after="160" w:line="278" w:lineRule="auto"/>
            </w:pPr>
          </w:p>
        </w:tc>
        <w:tc>
          <w:tcPr>
            <w:tcW w:w="5944" w:type="dxa"/>
            <w:hideMark/>
          </w:tcPr>
          <w:p w14:paraId="0C8D0FB7" w14:textId="77777777" w:rsidR="00923186" w:rsidRPr="00923186" w:rsidRDefault="00923186" w:rsidP="00923186">
            <w:pPr>
              <w:spacing w:after="160" w:line="278" w:lineRule="auto"/>
            </w:pPr>
            <w:r w:rsidRPr="00923186">
              <w:t>Al aire libre, al nivel del suelo o por encima del mismo</w:t>
            </w:r>
          </w:p>
        </w:tc>
        <w:tc>
          <w:tcPr>
            <w:tcW w:w="3919" w:type="dxa"/>
            <w:hideMark/>
          </w:tcPr>
          <w:p w14:paraId="1AA0AA43" w14:textId="77777777" w:rsidR="00923186" w:rsidRPr="00923186" w:rsidRDefault="00923186" w:rsidP="00923186">
            <w:pPr>
              <w:spacing w:after="160" w:line="278" w:lineRule="auto"/>
            </w:pPr>
            <w:r w:rsidRPr="00923186">
              <w:t>1</w:t>
            </w:r>
          </w:p>
        </w:tc>
        <w:tc>
          <w:tcPr>
            <w:tcW w:w="1033" w:type="dxa"/>
            <w:hideMark/>
          </w:tcPr>
          <w:p w14:paraId="20B08A75" w14:textId="77777777" w:rsidR="00923186" w:rsidRPr="00923186" w:rsidRDefault="00923186" w:rsidP="00923186">
            <w:pPr>
              <w:spacing w:after="160" w:line="278" w:lineRule="auto"/>
            </w:pPr>
            <w:r w:rsidRPr="00923186">
              <w:t>Dentro de 5 pies (1,5 m) en todas las direcciones desde las conexiones realizadas o desconectadas regularmente para la transferencia de producto</w:t>
            </w:r>
          </w:p>
        </w:tc>
      </w:tr>
      <w:tr w:rsidR="00923186" w:rsidRPr="00923186" w14:paraId="5A8DBD85" w14:textId="77777777" w:rsidTr="00923186">
        <w:trPr>
          <w:jc w:val="center"/>
        </w:trPr>
        <w:tc>
          <w:tcPr>
            <w:tcW w:w="4125" w:type="dxa"/>
            <w:hideMark/>
          </w:tcPr>
          <w:p w14:paraId="6BC3F171" w14:textId="77777777" w:rsidR="00923186" w:rsidRPr="00923186" w:rsidRDefault="00923186" w:rsidP="00923186">
            <w:pPr>
              <w:spacing w:after="160" w:line="278" w:lineRule="auto"/>
            </w:pPr>
          </w:p>
        </w:tc>
        <w:tc>
          <w:tcPr>
            <w:tcW w:w="5944" w:type="dxa"/>
            <w:hideMark/>
          </w:tcPr>
          <w:p w14:paraId="57127F79" w14:textId="77777777" w:rsidR="00923186" w:rsidRPr="00923186" w:rsidRDefault="00923186" w:rsidP="00923186">
            <w:pPr>
              <w:spacing w:after="160" w:line="278" w:lineRule="auto"/>
            </w:pPr>
          </w:p>
        </w:tc>
        <w:tc>
          <w:tcPr>
            <w:tcW w:w="3919" w:type="dxa"/>
            <w:hideMark/>
          </w:tcPr>
          <w:p w14:paraId="7BB135DF" w14:textId="77777777" w:rsidR="00923186" w:rsidRPr="00923186" w:rsidRDefault="00923186" w:rsidP="00923186">
            <w:pPr>
              <w:spacing w:after="160" w:line="278" w:lineRule="auto"/>
            </w:pPr>
            <w:r w:rsidRPr="00923186">
              <w:t>2</w:t>
            </w:r>
          </w:p>
        </w:tc>
        <w:tc>
          <w:tcPr>
            <w:tcW w:w="1033" w:type="dxa"/>
            <w:hideMark/>
          </w:tcPr>
          <w:p w14:paraId="586CA1F3" w14:textId="77777777" w:rsidR="00923186" w:rsidRPr="00923186" w:rsidRDefault="00923186" w:rsidP="00923186">
            <w:pPr>
              <w:spacing w:after="160" w:line="278" w:lineRule="auto"/>
            </w:pPr>
            <w:r w:rsidRPr="00923186">
              <w:t xml:space="preserve">Más allá de 5 pies (1,5 m) pero dentro de </w:t>
            </w:r>
            <w:r w:rsidRPr="00923186">
              <w:lastRenderedPageBreak/>
              <w:t>15 pies (4,5 m) en todas las direcciones desde un punto en el que se realizan o desconectan conexiones regularmente y dentro del volumen cilíndrico entre el ecuador horizontal de la esfera y el nivel del suelo.</w:t>
            </w:r>
          </w:p>
        </w:tc>
      </w:tr>
      <w:tr w:rsidR="00923186" w:rsidRPr="00923186" w14:paraId="19A13A46" w14:textId="77777777" w:rsidTr="00923186">
        <w:trPr>
          <w:jc w:val="center"/>
        </w:trPr>
        <w:tc>
          <w:tcPr>
            <w:tcW w:w="4125" w:type="dxa"/>
            <w:hideMark/>
          </w:tcPr>
          <w:p w14:paraId="0AAC73C8" w14:textId="77777777" w:rsidR="00923186" w:rsidRPr="00923186" w:rsidRDefault="00923186" w:rsidP="00923186">
            <w:pPr>
              <w:spacing w:after="160" w:line="278" w:lineRule="auto"/>
            </w:pPr>
            <w:r w:rsidRPr="00923186">
              <w:rPr>
                <w:b/>
                <w:bCs/>
              </w:rPr>
              <w:lastRenderedPageBreak/>
              <w:t>D</w:t>
            </w:r>
          </w:p>
        </w:tc>
        <w:tc>
          <w:tcPr>
            <w:tcW w:w="5944" w:type="dxa"/>
            <w:hideMark/>
          </w:tcPr>
          <w:p w14:paraId="14E278AE" w14:textId="77777777" w:rsidR="00923186" w:rsidRPr="00923186" w:rsidRDefault="00923186" w:rsidP="00923186">
            <w:pPr>
              <w:spacing w:after="160" w:line="278" w:lineRule="auto"/>
            </w:pPr>
            <w:r w:rsidRPr="00923186">
              <w:rPr>
                <w:b/>
                <w:bCs/>
              </w:rPr>
              <w:t>Sellos y respiraderos eléctricos especificados en 11.9.6 a 11.9.8</w:t>
            </w:r>
          </w:p>
        </w:tc>
        <w:tc>
          <w:tcPr>
            <w:tcW w:w="3919" w:type="dxa"/>
            <w:hideMark/>
          </w:tcPr>
          <w:p w14:paraId="4F3C6774" w14:textId="77777777" w:rsidR="00923186" w:rsidRPr="00923186" w:rsidRDefault="00923186" w:rsidP="00923186">
            <w:pPr>
              <w:spacing w:after="160" w:line="278" w:lineRule="auto"/>
            </w:pPr>
            <w:r w:rsidRPr="00923186">
              <w:t>2</w:t>
            </w:r>
          </w:p>
        </w:tc>
        <w:tc>
          <w:tcPr>
            <w:tcW w:w="1033" w:type="dxa"/>
            <w:hideMark/>
          </w:tcPr>
          <w:p w14:paraId="5B59A87A" w14:textId="77777777" w:rsidR="00923186" w:rsidRPr="00923186" w:rsidRDefault="00923186" w:rsidP="00923186">
            <w:pPr>
              <w:spacing w:after="160" w:line="278" w:lineRule="auto"/>
            </w:pPr>
            <w:r w:rsidRPr="00923186">
              <w:t xml:space="preserve">Dentro de los 15 pies (4,5 m) en todas las direcciones desde el equipo y dentro del volumen cilíndrico entre </w:t>
            </w:r>
            <w:r w:rsidRPr="00923186">
              <w:lastRenderedPageBreak/>
              <w:t>el ecuador horizontal de la esfera y el nivel del suelo.</w:t>
            </w:r>
          </w:p>
        </w:tc>
      </w:tr>
      <w:tr w:rsidR="00923186" w:rsidRPr="00923186" w14:paraId="514649D8" w14:textId="77777777" w:rsidTr="00923186">
        <w:trPr>
          <w:jc w:val="center"/>
        </w:trPr>
        <w:tc>
          <w:tcPr>
            <w:tcW w:w="4125" w:type="dxa"/>
            <w:hideMark/>
          </w:tcPr>
          <w:p w14:paraId="59453CC3" w14:textId="77777777" w:rsidR="00923186" w:rsidRPr="00923186" w:rsidRDefault="00923186" w:rsidP="00923186">
            <w:pPr>
              <w:spacing w:after="160" w:line="278" w:lineRule="auto"/>
            </w:pPr>
            <w:r w:rsidRPr="00923186">
              <w:rPr>
                <w:b/>
                <w:bCs/>
              </w:rPr>
              <w:lastRenderedPageBreak/>
              <w:t>mi</w:t>
            </w:r>
          </w:p>
        </w:tc>
        <w:tc>
          <w:tcPr>
            <w:tcW w:w="5944" w:type="dxa"/>
            <w:hideMark/>
          </w:tcPr>
          <w:p w14:paraId="5038DA8F" w14:textId="77777777" w:rsidR="00923186" w:rsidRPr="00923186" w:rsidRDefault="00923186" w:rsidP="00923186">
            <w:pPr>
              <w:spacing w:after="160" w:line="278" w:lineRule="auto"/>
            </w:pPr>
            <w:r w:rsidRPr="00923186">
              <w:rPr>
                <w:b/>
                <w:bCs/>
              </w:rPr>
              <w:t>Áreas de carga y descarga de terminales marítimas </w:t>
            </w:r>
            <w:r w:rsidRPr="00923186">
              <w:rPr>
                <w:i/>
                <w:iCs/>
              </w:rPr>
              <w:t>[ver </w:t>
            </w:r>
            <w:r w:rsidRPr="00923186">
              <w:rPr>
                <w:b/>
                <w:bCs/>
                <w:i/>
                <w:iCs/>
              </w:rPr>
              <w:t>Figura 11.9.2(e)</w:t>
            </w:r>
            <w:r w:rsidRPr="00923186">
              <w:rPr>
                <w:i/>
                <w:iCs/>
              </w:rPr>
              <w:t> ]</w:t>
            </w:r>
          </w:p>
        </w:tc>
        <w:tc>
          <w:tcPr>
            <w:tcW w:w="3919" w:type="dxa"/>
            <w:hideMark/>
          </w:tcPr>
          <w:p w14:paraId="302571FF" w14:textId="77777777" w:rsidR="00923186" w:rsidRPr="00923186" w:rsidRDefault="00923186" w:rsidP="00923186">
            <w:pPr>
              <w:spacing w:after="160" w:line="278" w:lineRule="auto"/>
            </w:pPr>
            <w:r w:rsidRPr="00923186">
              <w:t>2</w:t>
            </w:r>
          </w:p>
        </w:tc>
        <w:tc>
          <w:tcPr>
            <w:tcW w:w="1033" w:type="dxa"/>
            <w:hideMark/>
          </w:tcPr>
          <w:p w14:paraId="27931982" w14:textId="77777777" w:rsidR="00923186" w:rsidRPr="00923186" w:rsidRDefault="00923186" w:rsidP="00923186">
            <w:pPr>
              <w:spacing w:after="160" w:line="278" w:lineRule="auto"/>
            </w:pPr>
            <w:r w:rsidRPr="00923186">
              <w:t>Dentro de los 15 pies (4,5 m) en todas las direcciones, por encima de la cubierta, desde el sumidero abierto</w:t>
            </w:r>
          </w:p>
        </w:tc>
      </w:tr>
      <w:tr w:rsidR="00923186" w:rsidRPr="00923186" w14:paraId="0FF3FCE9" w14:textId="77777777" w:rsidTr="00923186">
        <w:trPr>
          <w:jc w:val="center"/>
        </w:trPr>
        <w:tc>
          <w:tcPr>
            <w:tcW w:w="15021" w:type="dxa"/>
            <w:gridSpan w:val="4"/>
            <w:hideMark/>
          </w:tcPr>
          <w:p w14:paraId="108BD776" w14:textId="77777777" w:rsidR="00923186" w:rsidRPr="00923186" w:rsidRDefault="00923186" w:rsidP="00923186">
            <w:pPr>
              <w:spacing w:after="160" w:line="278" w:lineRule="auto"/>
            </w:pPr>
            <w:r w:rsidRPr="00923186">
              <w:rPr>
                <w:vertAlign w:val="superscript"/>
              </w:rPr>
              <w:t>a</w:t>
            </w:r>
            <w:r w:rsidRPr="00923186">
              <w:t> Consulte el Artículo 500 de</w:t>
            </w:r>
            <w:r w:rsidRPr="00923186">
              <w:rPr>
                <w:i/>
                <w:iCs/>
              </w:rPr>
              <w:t> la norma NFPA 70</w:t>
            </w:r>
            <w:r w:rsidRPr="00923186">
              <w:t> para obtener las definiciones de clases, grupos y divisiones. El Artículo 505 puede utilizarse como alternativa al Artículo 500 para la clasificación de áreas peligrosas, utilizando una clasificación de zona equivalente a la de las divisiones especificadas en la Tabla 11.9.2. La mayoría de los vapores y gases inflamables presentes en las instalaciones cubiertas por la norma NFPA 59A se clasifican en el Grupo D. El etileno se clasifica en el Grupo C. Gran parte del equipo eléctrico disponible para áreas peligrosas es apto para ambos grupos.</w:t>
            </w:r>
          </w:p>
          <w:p w14:paraId="5FD5843C" w14:textId="77777777" w:rsidR="00923186" w:rsidRPr="00923186" w:rsidRDefault="00923186" w:rsidP="00923186">
            <w:pPr>
              <w:spacing w:after="160" w:line="278" w:lineRule="auto"/>
            </w:pPr>
            <w:r w:rsidRPr="00923186">
              <w:rPr>
                <w:vertAlign w:val="superscript"/>
              </w:rPr>
              <w:t>b</w:t>
            </w:r>
            <w:r w:rsidRPr="00923186">
              <w:t> Los contenedores pequeños son portátiles y de menos de 200 gal (760 L) de capacidad.</w:t>
            </w:r>
          </w:p>
          <w:p w14:paraId="1D3EDEBF" w14:textId="77777777" w:rsidR="00923186" w:rsidRPr="00923186" w:rsidRDefault="00923186" w:rsidP="00923186">
            <w:pPr>
              <w:spacing w:after="160" w:line="278" w:lineRule="auto"/>
            </w:pPr>
            <w:r w:rsidRPr="00923186">
              <w:rPr>
                <w:vertAlign w:val="superscript"/>
              </w:rPr>
              <w:t>c</w:t>
            </w:r>
            <w:r w:rsidRPr="00923186">
              <w:t> La ventilación se considera adecuada cuando se proporciona de acuerdo con las disposiciones de esta norma.</w:t>
            </w:r>
          </w:p>
        </w:tc>
      </w:tr>
    </w:tbl>
    <w:p w14:paraId="7E27FFA7" w14:textId="1E3A40FA" w:rsidR="00923186" w:rsidRDefault="00923186">
      <w:hyperlink r:id="rId40" w:anchor="ID00059A000793" w:history="1">
        <w:r w:rsidRPr="00923186">
          <w:rPr>
            <w:rStyle w:val="Hipervnculo"/>
          </w:rPr>
          <w:t>Ver en publicación</w:t>
        </w:r>
      </w:hyperlink>
    </w:p>
    <w:sectPr w:rsidR="00923186" w:rsidSect="00923186">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155AF7"/>
    <w:multiLevelType w:val="multilevel"/>
    <w:tmpl w:val="1CF4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F978EA"/>
    <w:multiLevelType w:val="multilevel"/>
    <w:tmpl w:val="E870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0572959">
    <w:abstractNumId w:val="0"/>
  </w:num>
  <w:num w:numId="2" w16cid:durableId="1820535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EBC"/>
    <w:rsid w:val="002D7EBC"/>
    <w:rsid w:val="00420866"/>
    <w:rsid w:val="00493D72"/>
    <w:rsid w:val="004F5726"/>
    <w:rsid w:val="0092318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E35DA"/>
  <w15:chartTrackingRefBased/>
  <w15:docId w15:val="{CA4C74C9-90A8-4DE8-89DE-857CCDEF8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7E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D7E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D7EB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D7EB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D7EB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D7EB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D7EB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D7EB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D7EB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7EB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D7EB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D7EB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D7EB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D7EB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D7EB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D7EB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D7EB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D7EBC"/>
    <w:rPr>
      <w:rFonts w:eastAsiaTheme="majorEastAsia" w:cstheme="majorBidi"/>
      <w:color w:val="272727" w:themeColor="text1" w:themeTint="D8"/>
    </w:rPr>
  </w:style>
  <w:style w:type="paragraph" w:styleId="Ttulo">
    <w:name w:val="Title"/>
    <w:basedOn w:val="Normal"/>
    <w:next w:val="Normal"/>
    <w:link w:val="TtuloCar"/>
    <w:uiPriority w:val="10"/>
    <w:qFormat/>
    <w:rsid w:val="002D7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7EB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D7EB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D7EB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D7EBC"/>
    <w:pPr>
      <w:spacing w:before="160"/>
      <w:jc w:val="center"/>
    </w:pPr>
    <w:rPr>
      <w:i/>
      <w:iCs/>
      <w:color w:val="404040" w:themeColor="text1" w:themeTint="BF"/>
    </w:rPr>
  </w:style>
  <w:style w:type="character" w:customStyle="1" w:styleId="CitaCar">
    <w:name w:val="Cita Car"/>
    <w:basedOn w:val="Fuentedeprrafopredeter"/>
    <w:link w:val="Cita"/>
    <w:uiPriority w:val="29"/>
    <w:rsid w:val="002D7EBC"/>
    <w:rPr>
      <w:i/>
      <w:iCs/>
      <w:color w:val="404040" w:themeColor="text1" w:themeTint="BF"/>
    </w:rPr>
  </w:style>
  <w:style w:type="paragraph" w:styleId="Prrafodelista">
    <w:name w:val="List Paragraph"/>
    <w:basedOn w:val="Normal"/>
    <w:uiPriority w:val="34"/>
    <w:qFormat/>
    <w:rsid w:val="002D7EBC"/>
    <w:pPr>
      <w:ind w:left="720"/>
      <w:contextualSpacing/>
    </w:pPr>
  </w:style>
  <w:style w:type="character" w:styleId="nfasisintenso">
    <w:name w:val="Intense Emphasis"/>
    <w:basedOn w:val="Fuentedeprrafopredeter"/>
    <w:uiPriority w:val="21"/>
    <w:qFormat/>
    <w:rsid w:val="002D7EBC"/>
    <w:rPr>
      <w:i/>
      <w:iCs/>
      <w:color w:val="0F4761" w:themeColor="accent1" w:themeShade="BF"/>
    </w:rPr>
  </w:style>
  <w:style w:type="paragraph" w:styleId="Citadestacada">
    <w:name w:val="Intense Quote"/>
    <w:basedOn w:val="Normal"/>
    <w:next w:val="Normal"/>
    <w:link w:val="CitadestacadaCar"/>
    <w:uiPriority w:val="30"/>
    <w:qFormat/>
    <w:rsid w:val="002D7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D7EBC"/>
    <w:rPr>
      <w:i/>
      <w:iCs/>
      <w:color w:val="0F4761" w:themeColor="accent1" w:themeShade="BF"/>
    </w:rPr>
  </w:style>
  <w:style w:type="character" w:styleId="Referenciaintensa">
    <w:name w:val="Intense Reference"/>
    <w:basedOn w:val="Fuentedeprrafopredeter"/>
    <w:uiPriority w:val="32"/>
    <w:qFormat/>
    <w:rsid w:val="002D7EBC"/>
    <w:rPr>
      <w:b/>
      <w:bCs/>
      <w:smallCaps/>
      <w:color w:val="0F4761" w:themeColor="accent1" w:themeShade="BF"/>
      <w:spacing w:val="5"/>
    </w:rPr>
  </w:style>
  <w:style w:type="character" w:styleId="Hipervnculo">
    <w:name w:val="Hyperlink"/>
    <w:basedOn w:val="Fuentedeprrafopredeter"/>
    <w:uiPriority w:val="99"/>
    <w:unhideWhenUsed/>
    <w:rsid w:val="00923186"/>
    <w:rPr>
      <w:color w:val="467886" w:themeColor="hyperlink"/>
      <w:u w:val="single"/>
    </w:rPr>
  </w:style>
  <w:style w:type="character" w:styleId="Mencinsinresolver">
    <w:name w:val="Unresolved Mention"/>
    <w:basedOn w:val="Fuentedeprrafopredeter"/>
    <w:uiPriority w:val="99"/>
    <w:semiHidden/>
    <w:unhideWhenUsed/>
    <w:rsid w:val="00923186"/>
    <w:rPr>
      <w:color w:val="605E5C"/>
      <w:shd w:val="clear" w:color="auto" w:fill="E1DFDD"/>
    </w:rPr>
  </w:style>
  <w:style w:type="table" w:styleId="Tablaconcuadrcula">
    <w:name w:val="Table Grid"/>
    <w:basedOn w:val="Tablanormal"/>
    <w:uiPriority w:val="39"/>
    <w:rsid w:val="00923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91185">
      <w:bodyDiv w:val="1"/>
      <w:marLeft w:val="0"/>
      <w:marRight w:val="0"/>
      <w:marTop w:val="0"/>
      <w:marBottom w:val="0"/>
      <w:divBdr>
        <w:top w:val="none" w:sz="0" w:space="0" w:color="auto"/>
        <w:left w:val="none" w:sz="0" w:space="0" w:color="auto"/>
        <w:bottom w:val="none" w:sz="0" w:space="0" w:color="auto"/>
        <w:right w:val="none" w:sz="0" w:space="0" w:color="auto"/>
      </w:divBdr>
      <w:divsChild>
        <w:div w:id="1876388768">
          <w:marLeft w:val="0"/>
          <w:marRight w:val="0"/>
          <w:marTop w:val="0"/>
          <w:marBottom w:val="0"/>
          <w:divBdr>
            <w:top w:val="none" w:sz="0" w:space="0" w:color="auto"/>
            <w:left w:val="none" w:sz="0" w:space="0" w:color="auto"/>
            <w:bottom w:val="none" w:sz="0" w:space="0" w:color="auto"/>
            <w:right w:val="none" w:sz="0" w:space="0" w:color="auto"/>
          </w:divBdr>
          <w:divsChild>
            <w:div w:id="1598442841">
              <w:marLeft w:val="0"/>
              <w:marRight w:val="0"/>
              <w:marTop w:val="0"/>
              <w:marBottom w:val="0"/>
              <w:divBdr>
                <w:top w:val="none" w:sz="0" w:space="0" w:color="auto"/>
                <w:left w:val="none" w:sz="0" w:space="0" w:color="auto"/>
                <w:bottom w:val="none" w:sz="0" w:space="0" w:color="auto"/>
                <w:right w:val="none" w:sz="0" w:space="0" w:color="auto"/>
              </w:divBdr>
              <w:divsChild>
                <w:div w:id="9692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445611">
      <w:bodyDiv w:val="1"/>
      <w:marLeft w:val="0"/>
      <w:marRight w:val="0"/>
      <w:marTop w:val="0"/>
      <w:marBottom w:val="0"/>
      <w:divBdr>
        <w:top w:val="none" w:sz="0" w:space="0" w:color="auto"/>
        <w:left w:val="none" w:sz="0" w:space="0" w:color="auto"/>
        <w:bottom w:val="none" w:sz="0" w:space="0" w:color="auto"/>
        <w:right w:val="none" w:sz="0" w:space="0" w:color="auto"/>
      </w:divBdr>
      <w:divsChild>
        <w:div w:id="1571575933">
          <w:marLeft w:val="0"/>
          <w:marRight w:val="0"/>
          <w:marTop w:val="0"/>
          <w:marBottom w:val="0"/>
          <w:divBdr>
            <w:top w:val="none" w:sz="0" w:space="0" w:color="auto"/>
            <w:left w:val="none" w:sz="0" w:space="0" w:color="auto"/>
            <w:bottom w:val="none" w:sz="0" w:space="0" w:color="auto"/>
            <w:right w:val="none" w:sz="0" w:space="0" w:color="auto"/>
          </w:divBdr>
          <w:divsChild>
            <w:div w:id="75133278">
              <w:marLeft w:val="0"/>
              <w:marRight w:val="0"/>
              <w:marTop w:val="0"/>
              <w:marBottom w:val="0"/>
              <w:divBdr>
                <w:top w:val="none" w:sz="0" w:space="0" w:color="auto"/>
                <w:left w:val="none" w:sz="0" w:space="0" w:color="auto"/>
                <w:bottom w:val="none" w:sz="0" w:space="0" w:color="auto"/>
                <w:right w:val="none" w:sz="0" w:space="0" w:color="auto"/>
              </w:divBdr>
            </w:div>
          </w:divsChild>
        </w:div>
        <w:div w:id="1899125994">
          <w:marLeft w:val="0"/>
          <w:marRight w:val="0"/>
          <w:marTop w:val="0"/>
          <w:marBottom w:val="0"/>
          <w:divBdr>
            <w:top w:val="none" w:sz="0" w:space="0" w:color="auto"/>
            <w:left w:val="none" w:sz="0" w:space="0" w:color="auto"/>
            <w:bottom w:val="none" w:sz="0" w:space="0" w:color="auto"/>
            <w:right w:val="none" w:sz="0" w:space="0" w:color="auto"/>
          </w:divBdr>
          <w:divsChild>
            <w:div w:id="350958617">
              <w:marLeft w:val="0"/>
              <w:marRight w:val="0"/>
              <w:marTop w:val="0"/>
              <w:marBottom w:val="0"/>
              <w:divBdr>
                <w:top w:val="none" w:sz="0" w:space="0" w:color="auto"/>
                <w:left w:val="none" w:sz="0" w:space="0" w:color="auto"/>
                <w:bottom w:val="none" w:sz="0" w:space="0" w:color="auto"/>
                <w:right w:val="none" w:sz="0" w:space="0" w:color="auto"/>
              </w:divBdr>
              <w:divsChild>
                <w:div w:id="1526558261">
                  <w:marLeft w:val="0"/>
                  <w:marRight w:val="0"/>
                  <w:marTop w:val="0"/>
                  <w:marBottom w:val="0"/>
                  <w:divBdr>
                    <w:top w:val="none" w:sz="0" w:space="0" w:color="auto"/>
                    <w:left w:val="none" w:sz="0" w:space="0" w:color="auto"/>
                    <w:bottom w:val="none" w:sz="0" w:space="0" w:color="auto"/>
                    <w:right w:val="none" w:sz="0" w:space="0" w:color="auto"/>
                  </w:divBdr>
                </w:div>
              </w:divsChild>
            </w:div>
            <w:div w:id="1225798969">
              <w:marLeft w:val="0"/>
              <w:marRight w:val="0"/>
              <w:marTop w:val="0"/>
              <w:marBottom w:val="0"/>
              <w:divBdr>
                <w:top w:val="none" w:sz="0" w:space="0" w:color="auto"/>
                <w:left w:val="none" w:sz="0" w:space="0" w:color="auto"/>
                <w:bottom w:val="none" w:sz="0" w:space="0" w:color="auto"/>
                <w:right w:val="none" w:sz="0" w:space="0" w:color="auto"/>
              </w:divBdr>
            </w:div>
          </w:divsChild>
        </w:div>
        <w:div w:id="2060081261">
          <w:marLeft w:val="0"/>
          <w:marRight w:val="0"/>
          <w:marTop w:val="0"/>
          <w:marBottom w:val="0"/>
          <w:divBdr>
            <w:top w:val="none" w:sz="0" w:space="0" w:color="auto"/>
            <w:left w:val="none" w:sz="0" w:space="0" w:color="auto"/>
            <w:bottom w:val="none" w:sz="0" w:space="0" w:color="auto"/>
            <w:right w:val="none" w:sz="0" w:space="0" w:color="auto"/>
          </w:divBdr>
          <w:divsChild>
            <w:div w:id="1443918046">
              <w:marLeft w:val="0"/>
              <w:marRight w:val="0"/>
              <w:marTop w:val="0"/>
              <w:marBottom w:val="0"/>
              <w:divBdr>
                <w:top w:val="none" w:sz="0" w:space="0" w:color="auto"/>
                <w:left w:val="none" w:sz="0" w:space="0" w:color="auto"/>
                <w:bottom w:val="none" w:sz="0" w:space="0" w:color="auto"/>
                <w:right w:val="none" w:sz="0" w:space="0" w:color="auto"/>
              </w:divBdr>
              <w:divsChild>
                <w:div w:id="511342556">
                  <w:marLeft w:val="0"/>
                  <w:marRight w:val="0"/>
                  <w:marTop w:val="0"/>
                  <w:marBottom w:val="0"/>
                  <w:divBdr>
                    <w:top w:val="none" w:sz="0" w:space="0" w:color="auto"/>
                    <w:left w:val="none" w:sz="0" w:space="0" w:color="auto"/>
                    <w:bottom w:val="none" w:sz="0" w:space="0" w:color="auto"/>
                    <w:right w:val="none" w:sz="0" w:space="0" w:color="auto"/>
                  </w:divBdr>
                </w:div>
              </w:divsChild>
            </w:div>
            <w:div w:id="313028449">
              <w:marLeft w:val="0"/>
              <w:marRight w:val="0"/>
              <w:marTop w:val="0"/>
              <w:marBottom w:val="0"/>
              <w:divBdr>
                <w:top w:val="none" w:sz="0" w:space="0" w:color="auto"/>
                <w:left w:val="none" w:sz="0" w:space="0" w:color="auto"/>
                <w:bottom w:val="none" w:sz="0" w:space="0" w:color="auto"/>
                <w:right w:val="none" w:sz="0" w:space="0" w:color="auto"/>
              </w:divBdr>
            </w:div>
          </w:divsChild>
        </w:div>
        <w:div w:id="2101412140">
          <w:marLeft w:val="0"/>
          <w:marRight w:val="0"/>
          <w:marTop w:val="0"/>
          <w:marBottom w:val="0"/>
          <w:divBdr>
            <w:top w:val="none" w:sz="0" w:space="0" w:color="auto"/>
            <w:left w:val="none" w:sz="0" w:space="0" w:color="auto"/>
            <w:bottom w:val="none" w:sz="0" w:space="0" w:color="auto"/>
            <w:right w:val="none" w:sz="0" w:space="0" w:color="auto"/>
          </w:divBdr>
        </w:div>
        <w:div w:id="31149864">
          <w:marLeft w:val="0"/>
          <w:marRight w:val="0"/>
          <w:marTop w:val="0"/>
          <w:marBottom w:val="0"/>
          <w:divBdr>
            <w:top w:val="none" w:sz="0" w:space="0" w:color="auto"/>
            <w:left w:val="none" w:sz="0" w:space="0" w:color="auto"/>
            <w:bottom w:val="none" w:sz="0" w:space="0" w:color="auto"/>
            <w:right w:val="none" w:sz="0" w:space="0" w:color="auto"/>
          </w:divBdr>
        </w:div>
        <w:div w:id="2037466861">
          <w:marLeft w:val="0"/>
          <w:marRight w:val="0"/>
          <w:marTop w:val="0"/>
          <w:marBottom w:val="0"/>
          <w:divBdr>
            <w:top w:val="none" w:sz="0" w:space="0" w:color="auto"/>
            <w:left w:val="none" w:sz="0" w:space="0" w:color="auto"/>
            <w:bottom w:val="none" w:sz="0" w:space="0" w:color="auto"/>
            <w:right w:val="none" w:sz="0" w:space="0" w:color="auto"/>
          </w:divBdr>
          <w:divsChild>
            <w:div w:id="791486196">
              <w:marLeft w:val="0"/>
              <w:marRight w:val="0"/>
              <w:marTop w:val="0"/>
              <w:marBottom w:val="0"/>
              <w:divBdr>
                <w:top w:val="none" w:sz="0" w:space="0" w:color="auto"/>
                <w:left w:val="none" w:sz="0" w:space="0" w:color="auto"/>
                <w:bottom w:val="none" w:sz="0" w:space="0" w:color="auto"/>
                <w:right w:val="none" w:sz="0" w:space="0" w:color="auto"/>
              </w:divBdr>
              <w:divsChild>
                <w:div w:id="1031106225">
                  <w:marLeft w:val="0"/>
                  <w:marRight w:val="0"/>
                  <w:marTop w:val="0"/>
                  <w:marBottom w:val="0"/>
                  <w:divBdr>
                    <w:top w:val="none" w:sz="0" w:space="0" w:color="auto"/>
                    <w:left w:val="none" w:sz="0" w:space="0" w:color="auto"/>
                    <w:bottom w:val="none" w:sz="0" w:space="0" w:color="auto"/>
                    <w:right w:val="none" w:sz="0" w:space="0" w:color="auto"/>
                  </w:divBdr>
                  <w:divsChild>
                    <w:div w:id="1158771290">
                      <w:marLeft w:val="0"/>
                      <w:marRight w:val="0"/>
                      <w:marTop w:val="0"/>
                      <w:marBottom w:val="0"/>
                      <w:divBdr>
                        <w:top w:val="none" w:sz="0" w:space="0" w:color="auto"/>
                        <w:left w:val="none" w:sz="0" w:space="0" w:color="auto"/>
                        <w:bottom w:val="none" w:sz="0" w:space="0" w:color="auto"/>
                        <w:right w:val="none" w:sz="0" w:space="0" w:color="auto"/>
                      </w:divBdr>
                    </w:div>
                    <w:div w:id="401828857">
                      <w:marLeft w:val="0"/>
                      <w:marRight w:val="0"/>
                      <w:marTop w:val="0"/>
                      <w:marBottom w:val="0"/>
                      <w:divBdr>
                        <w:top w:val="none" w:sz="0" w:space="0" w:color="auto"/>
                        <w:left w:val="none" w:sz="0" w:space="0" w:color="auto"/>
                        <w:bottom w:val="none" w:sz="0" w:space="0" w:color="auto"/>
                        <w:right w:val="none" w:sz="0" w:space="0" w:color="auto"/>
                      </w:divBdr>
                    </w:div>
                    <w:div w:id="167287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799742">
          <w:marLeft w:val="0"/>
          <w:marRight w:val="0"/>
          <w:marTop w:val="0"/>
          <w:marBottom w:val="0"/>
          <w:divBdr>
            <w:top w:val="none" w:sz="0" w:space="0" w:color="auto"/>
            <w:left w:val="none" w:sz="0" w:space="0" w:color="auto"/>
            <w:bottom w:val="none" w:sz="0" w:space="0" w:color="auto"/>
            <w:right w:val="none" w:sz="0" w:space="0" w:color="auto"/>
          </w:divBdr>
          <w:divsChild>
            <w:div w:id="1257439331">
              <w:marLeft w:val="0"/>
              <w:marRight w:val="0"/>
              <w:marTop w:val="0"/>
              <w:marBottom w:val="0"/>
              <w:divBdr>
                <w:top w:val="none" w:sz="0" w:space="0" w:color="auto"/>
                <w:left w:val="none" w:sz="0" w:space="0" w:color="auto"/>
                <w:bottom w:val="none" w:sz="0" w:space="0" w:color="auto"/>
                <w:right w:val="none" w:sz="0" w:space="0" w:color="auto"/>
              </w:divBdr>
              <w:divsChild>
                <w:div w:id="21115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5070">
          <w:marLeft w:val="0"/>
          <w:marRight w:val="0"/>
          <w:marTop w:val="0"/>
          <w:marBottom w:val="0"/>
          <w:divBdr>
            <w:top w:val="none" w:sz="0" w:space="0" w:color="auto"/>
            <w:left w:val="none" w:sz="0" w:space="0" w:color="auto"/>
            <w:bottom w:val="none" w:sz="0" w:space="0" w:color="auto"/>
            <w:right w:val="none" w:sz="0" w:space="0" w:color="auto"/>
          </w:divBdr>
          <w:divsChild>
            <w:div w:id="977757689">
              <w:marLeft w:val="0"/>
              <w:marRight w:val="0"/>
              <w:marTop w:val="0"/>
              <w:marBottom w:val="0"/>
              <w:divBdr>
                <w:top w:val="none" w:sz="0" w:space="0" w:color="auto"/>
                <w:left w:val="none" w:sz="0" w:space="0" w:color="auto"/>
                <w:bottom w:val="none" w:sz="0" w:space="0" w:color="auto"/>
                <w:right w:val="none" w:sz="0" w:space="0" w:color="auto"/>
              </w:divBdr>
              <w:divsChild>
                <w:div w:id="80774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214">
          <w:marLeft w:val="0"/>
          <w:marRight w:val="0"/>
          <w:marTop w:val="0"/>
          <w:marBottom w:val="0"/>
          <w:divBdr>
            <w:top w:val="none" w:sz="0" w:space="0" w:color="auto"/>
            <w:left w:val="none" w:sz="0" w:space="0" w:color="auto"/>
            <w:bottom w:val="none" w:sz="0" w:space="0" w:color="auto"/>
            <w:right w:val="none" w:sz="0" w:space="0" w:color="auto"/>
          </w:divBdr>
          <w:divsChild>
            <w:div w:id="1537081598">
              <w:marLeft w:val="0"/>
              <w:marRight w:val="0"/>
              <w:marTop w:val="0"/>
              <w:marBottom w:val="0"/>
              <w:divBdr>
                <w:top w:val="none" w:sz="0" w:space="0" w:color="auto"/>
                <w:left w:val="none" w:sz="0" w:space="0" w:color="auto"/>
                <w:bottom w:val="none" w:sz="0" w:space="0" w:color="auto"/>
                <w:right w:val="none" w:sz="0" w:space="0" w:color="auto"/>
              </w:divBdr>
              <w:divsChild>
                <w:div w:id="1145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5259">
          <w:marLeft w:val="0"/>
          <w:marRight w:val="0"/>
          <w:marTop w:val="0"/>
          <w:marBottom w:val="0"/>
          <w:divBdr>
            <w:top w:val="none" w:sz="0" w:space="0" w:color="auto"/>
            <w:left w:val="none" w:sz="0" w:space="0" w:color="auto"/>
            <w:bottom w:val="none" w:sz="0" w:space="0" w:color="auto"/>
            <w:right w:val="none" w:sz="0" w:space="0" w:color="auto"/>
          </w:divBdr>
          <w:divsChild>
            <w:div w:id="991835432">
              <w:marLeft w:val="0"/>
              <w:marRight w:val="0"/>
              <w:marTop w:val="0"/>
              <w:marBottom w:val="0"/>
              <w:divBdr>
                <w:top w:val="none" w:sz="0" w:space="0" w:color="auto"/>
                <w:left w:val="none" w:sz="0" w:space="0" w:color="auto"/>
                <w:bottom w:val="none" w:sz="0" w:space="0" w:color="auto"/>
                <w:right w:val="none" w:sz="0" w:space="0" w:color="auto"/>
              </w:divBdr>
              <w:divsChild>
                <w:div w:id="44060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6598">
          <w:marLeft w:val="0"/>
          <w:marRight w:val="0"/>
          <w:marTop w:val="0"/>
          <w:marBottom w:val="0"/>
          <w:divBdr>
            <w:top w:val="none" w:sz="0" w:space="0" w:color="auto"/>
            <w:left w:val="none" w:sz="0" w:space="0" w:color="auto"/>
            <w:bottom w:val="none" w:sz="0" w:space="0" w:color="auto"/>
            <w:right w:val="none" w:sz="0" w:space="0" w:color="auto"/>
          </w:divBdr>
          <w:divsChild>
            <w:div w:id="762461210">
              <w:marLeft w:val="0"/>
              <w:marRight w:val="0"/>
              <w:marTop w:val="0"/>
              <w:marBottom w:val="0"/>
              <w:divBdr>
                <w:top w:val="none" w:sz="0" w:space="0" w:color="auto"/>
                <w:left w:val="none" w:sz="0" w:space="0" w:color="auto"/>
                <w:bottom w:val="none" w:sz="0" w:space="0" w:color="auto"/>
                <w:right w:val="none" w:sz="0" w:space="0" w:color="auto"/>
              </w:divBdr>
              <w:divsChild>
                <w:div w:id="401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4191">
          <w:marLeft w:val="0"/>
          <w:marRight w:val="0"/>
          <w:marTop w:val="0"/>
          <w:marBottom w:val="0"/>
          <w:divBdr>
            <w:top w:val="none" w:sz="0" w:space="0" w:color="auto"/>
            <w:left w:val="none" w:sz="0" w:space="0" w:color="auto"/>
            <w:bottom w:val="none" w:sz="0" w:space="0" w:color="auto"/>
            <w:right w:val="none" w:sz="0" w:space="0" w:color="auto"/>
          </w:divBdr>
        </w:div>
        <w:div w:id="1998259948">
          <w:marLeft w:val="0"/>
          <w:marRight w:val="0"/>
          <w:marTop w:val="0"/>
          <w:marBottom w:val="0"/>
          <w:divBdr>
            <w:top w:val="none" w:sz="0" w:space="0" w:color="auto"/>
            <w:left w:val="none" w:sz="0" w:space="0" w:color="auto"/>
            <w:bottom w:val="none" w:sz="0" w:space="0" w:color="auto"/>
            <w:right w:val="none" w:sz="0" w:space="0" w:color="auto"/>
          </w:divBdr>
          <w:divsChild>
            <w:div w:id="527261175">
              <w:marLeft w:val="0"/>
              <w:marRight w:val="0"/>
              <w:marTop w:val="0"/>
              <w:marBottom w:val="0"/>
              <w:divBdr>
                <w:top w:val="none" w:sz="0" w:space="0" w:color="auto"/>
                <w:left w:val="none" w:sz="0" w:space="0" w:color="auto"/>
                <w:bottom w:val="none" w:sz="0" w:space="0" w:color="auto"/>
                <w:right w:val="none" w:sz="0" w:space="0" w:color="auto"/>
              </w:divBdr>
              <w:divsChild>
                <w:div w:id="16784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5550">
          <w:marLeft w:val="0"/>
          <w:marRight w:val="0"/>
          <w:marTop w:val="0"/>
          <w:marBottom w:val="0"/>
          <w:divBdr>
            <w:top w:val="none" w:sz="0" w:space="0" w:color="auto"/>
            <w:left w:val="none" w:sz="0" w:space="0" w:color="auto"/>
            <w:bottom w:val="none" w:sz="0" w:space="0" w:color="auto"/>
            <w:right w:val="none" w:sz="0" w:space="0" w:color="auto"/>
          </w:divBdr>
          <w:divsChild>
            <w:div w:id="190730197">
              <w:marLeft w:val="0"/>
              <w:marRight w:val="0"/>
              <w:marTop w:val="0"/>
              <w:marBottom w:val="0"/>
              <w:divBdr>
                <w:top w:val="none" w:sz="0" w:space="0" w:color="auto"/>
                <w:left w:val="none" w:sz="0" w:space="0" w:color="auto"/>
                <w:bottom w:val="none" w:sz="0" w:space="0" w:color="auto"/>
                <w:right w:val="none" w:sz="0" w:space="0" w:color="auto"/>
              </w:divBdr>
              <w:divsChild>
                <w:div w:id="16216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4605">
          <w:marLeft w:val="0"/>
          <w:marRight w:val="0"/>
          <w:marTop w:val="0"/>
          <w:marBottom w:val="0"/>
          <w:divBdr>
            <w:top w:val="none" w:sz="0" w:space="0" w:color="auto"/>
            <w:left w:val="none" w:sz="0" w:space="0" w:color="auto"/>
            <w:bottom w:val="none" w:sz="0" w:space="0" w:color="auto"/>
            <w:right w:val="none" w:sz="0" w:space="0" w:color="auto"/>
          </w:divBdr>
          <w:divsChild>
            <w:div w:id="910236359">
              <w:marLeft w:val="0"/>
              <w:marRight w:val="0"/>
              <w:marTop w:val="0"/>
              <w:marBottom w:val="0"/>
              <w:divBdr>
                <w:top w:val="none" w:sz="0" w:space="0" w:color="auto"/>
                <w:left w:val="none" w:sz="0" w:space="0" w:color="auto"/>
                <w:bottom w:val="none" w:sz="0" w:space="0" w:color="auto"/>
                <w:right w:val="none" w:sz="0" w:space="0" w:color="auto"/>
              </w:divBdr>
              <w:divsChild>
                <w:div w:id="2047414475">
                  <w:marLeft w:val="0"/>
                  <w:marRight w:val="0"/>
                  <w:marTop w:val="0"/>
                  <w:marBottom w:val="0"/>
                  <w:divBdr>
                    <w:top w:val="none" w:sz="0" w:space="0" w:color="auto"/>
                    <w:left w:val="none" w:sz="0" w:space="0" w:color="auto"/>
                    <w:bottom w:val="none" w:sz="0" w:space="0" w:color="auto"/>
                    <w:right w:val="none" w:sz="0" w:space="0" w:color="auto"/>
                  </w:divBdr>
                </w:div>
              </w:divsChild>
            </w:div>
            <w:div w:id="1441952546">
              <w:marLeft w:val="0"/>
              <w:marRight w:val="0"/>
              <w:marTop w:val="0"/>
              <w:marBottom w:val="0"/>
              <w:divBdr>
                <w:top w:val="none" w:sz="0" w:space="0" w:color="auto"/>
                <w:left w:val="none" w:sz="0" w:space="0" w:color="auto"/>
                <w:bottom w:val="none" w:sz="0" w:space="0" w:color="auto"/>
                <w:right w:val="none" w:sz="0" w:space="0" w:color="auto"/>
              </w:divBdr>
            </w:div>
          </w:divsChild>
        </w:div>
        <w:div w:id="1513647814">
          <w:marLeft w:val="0"/>
          <w:marRight w:val="0"/>
          <w:marTop w:val="0"/>
          <w:marBottom w:val="0"/>
          <w:divBdr>
            <w:top w:val="none" w:sz="0" w:space="0" w:color="auto"/>
            <w:left w:val="none" w:sz="0" w:space="0" w:color="auto"/>
            <w:bottom w:val="none" w:sz="0" w:space="0" w:color="auto"/>
            <w:right w:val="none" w:sz="0" w:space="0" w:color="auto"/>
          </w:divBdr>
        </w:div>
        <w:div w:id="1855269963">
          <w:marLeft w:val="0"/>
          <w:marRight w:val="0"/>
          <w:marTop w:val="0"/>
          <w:marBottom w:val="0"/>
          <w:divBdr>
            <w:top w:val="none" w:sz="0" w:space="0" w:color="auto"/>
            <w:left w:val="none" w:sz="0" w:space="0" w:color="auto"/>
            <w:bottom w:val="none" w:sz="0" w:space="0" w:color="auto"/>
            <w:right w:val="none" w:sz="0" w:space="0" w:color="auto"/>
          </w:divBdr>
          <w:divsChild>
            <w:div w:id="1970012803">
              <w:marLeft w:val="0"/>
              <w:marRight w:val="0"/>
              <w:marTop w:val="0"/>
              <w:marBottom w:val="0"/>
              <w:divBdr>
                <w:top w:val="none" w:sz="0" w:space="0" w:color="auto"/>
                <w:left w:val="none" w:sz="0" w:space="0" w:color="auto"/>
                <w:bottom w:val="none" w:sz="0" w:space="0" w:color="auto"/>
                <w:right w:val="none" w:sz="0" w:space="0" w:color="auto"/>
              </w:divBdr>
              <w:divsChild>
                <w:div w:id="108360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61998">
          <w:marLeft w:val="0"/>
          <w:marRight w:val="0"/>
          <w:marTop w:val="0"/>
          <w:marBottom w:val="0"/>
          <w:divBdr>
            <w:top w:val="none" w:sz="0" w:space="0" w:color="auto"/>
            <w:left w:val="none" w:sz="0" w:space="0" w:color="auto"/>
            <w:bottom w:val="none" w:sz="0" w:space="0" w:color="auto"/>
            <w:right w:val="none" w:sz="0" w:space="0" w:color="auto"/>
          </w:divBdr>
          <w:divsChild>
            <w:div w:id="2092460550">
              <w:marLeft w:val="0"/>
              <w:marRight w:val="0"/>
              <w:marTop w:val="0"/>
              <w:marBottom w:val="0"/>
              <w:divBdr>
                <w:top w:val="none" w:sz="0" w:space="0" w:color="auto"/>
                <w:left w:val="none" w:sz="0" w:space="0" w:color="auto"/>
                <w:bottom w:val="none" w:sz="0" w:space="0" w:color="auto"/>
                <w:right w:val="none" w:sz="0" w:space="0" w:color="auto"/>
              </w:divBdr>
              <w:divsChild>
                <w:div w:id="1183738764">
                  <w:marLeft w:val="0"/>
                  <w:marRight w:val="0"/>
                  <w:marTop w:val="0"/>
                  <w:marBottom w:val="0"/>
                  <w:divBdr>
                    <w:top w:val="none" w:sz="0" w:space="0" w:color="auto"/>
                    <w:left w:val="none" w:sz="0" w:space="0" w:color="auto"/>
                    <w:bottom w:val="none" w:sz="0" w:space="0" w:color="auto"/>
                    <w:right w:val="none" w:sz="0" w:space="0" w:color="auto"/>
                  </w:divBdr>
                </w:div>
              </w:divsChild>
            </w:div>
            <w:div w:id="493836155">
              <w:marLeft w:val="0"/>
              <w:marRight w:val="0"/>
              <w:marTop w:val="0"/>
              <w:marBottom w:val="0"/>
              <w:divBdr>
                <w:top w:val="none" w:sz="0" w:space="0" w:color="auto"/>
                <w:left w:val="none" w:sz="0" w:space="0" w:color="auto"/>
                <w:bottom w:val="none" w:sz="0" w:space="0" w:color="auto"/>
                <w:right w:val="none" w:sz="0" w:space="0" w:color="auto"/>
              </w:divBdr>
            </w:div>
          </w:divsChild>
        </w:div>
        <w:div w:id="227229003">
          <w:marLeft w:val="0"/>
          <w:marRight w:val="0"/>
          <w:marTop w:val="0"/>
          <w:marBottom w:val="0"/>
          <w:divBdr>
            <w:top w:val="none" w:sz="0" w:space="0" w:color="auto"/>
            <w:left w:val="none" w:sz="0" w:space="0" w:color="auto"/>
            <w:bottom w:val="none" w:sz="0" w:space="0" w:color="auto"/>
            <w:right w:val="none" w:sz="0" w:space="0" w:color="auto"/>
          </w:divBdr>
          <w:divsChild>
            <w:div w:id="1701080362">
              <w:marLeft w:val="0"/>
              <w:marRight w:val="0"/>
              <w:marTop w:val="0"/>
              <w:marBottom w:val="0"/>
              <w:divBdr>
                <w:top w:val="none" w:sz="0" w:space="0" w:color="auto"/>
                <w:left w:val="none" w:sz="0" w:space="0" w:color="auto"/>
                <w:bottom w:val="none" w:sz="0" w:space="0" w:color="auto"/>
                <w:right w:val="none" w:sz="0" w:space="0" w:color="auto"/>
              </w:divBdr>
              <w:divsChild>
                <w:div w:id="975374239">
                  <w:marLeft w:val="0"/>
                  <w:marRight w:val="0"/>
                  <w:marTop w:val="0"/>
                  <w:marBottom w:val="0"/>
                  <w:divBdr>
                    <w:top w:val="none" w:sz="0" w:space="0" w:color="auto"/>
                    <w:left w:val="none" w:sz="0" w:space="0" w:color="auto"/>
                    <w:bottom w:val="none" w:sz="0" w:space="0" w:color="auto"/>
                    <w:right w:val="none" w:sz="0" w:space="0" w:color="auto"/>
                  </w:divBdr>
                </w:div>
              </w:divsChild>
            </w:div>
            <w:div w:id="365722212">
              <w:marLeft w:val="0"/>
              <w:marRight w:val="0"/>
              <w:marTop w:val="0"/>
              <w:marBottom w:val="0"/>
              <w:divBdr>
                <w:top w:val="none" w:sz="0" w:space="0" w:color="auto"/>
                <w:left w:val="none" w:sz="0" w:space="0" w:color="auto"/>
                <w:bottom w:val="none" w:sz="0" w:space="0" w:color="auto"/>
                <w:right w:val="none" w:sz="0" w:space="0" w:color="auto"/>
              </w:divBdr>
            </w:div>
          </w:divsChild>
        </w:div>
        <w:div w:id="1986423789">
          <w:marLeft w:val="0"/>
          <w:marRight w:val="0"/>
          <w:marTop w:val="0"/>
          <w:marBottom w:val="0"/>
          <w:divBdr>
            <w:top w:val="none" w:sz="0" w:space="0" w:color="auto"/>
            <w:left w:val="none" w:sz="0" w:space="0" w:color="auto"/>
            <w:bottom w:val="none" w:sz="0" w:space="0" w:color="auto"/>
            <w:right w:val="none" w:sz="0" w:space="0" w:color="auto"/>
          </w:divBdr>
          <w:divsChild>
            <w:div w:id="1128619361">
              <w:marLeft w:val="0"/>
              <w:marRight w:val="0"/>
              <w:marTop w:val="0"/>
              <w:marBottom w:val="0"/>
              <w:divBdr>
                <w:top w:val="none" w:sz="0" w:space="0" w:color="auto"/>
                <w:left w:val="none" w:sz="0" w:space="0" w:color="auto"/>
                <w:bottom w:val="none" w:sz="0" w:space="0" w:color="auto"/>
                <w:right w:val="none" w:sz="0" w:space="0" w:color="auto"/>
              </w:divBdr>
              <w:divsChild>
                <w:div w:id="4780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61105">
          <w:marLeft w:val="0"/>
          <w:marRight w:val="0"/>
          <w:marTop w:val="0"/>
          <w:marBottom w:val="0"/>
          <w:divBdr>
            <w:top w:val="none" w:sz="0" w:space="0" w:color="auto"/>
            <w:left w:val="none" w:sz="0" w:space="0" w:color="auto"/>
            <w:bottom w:val="none" w:sz="0" w:space="0" w:color="auto"/>
            <w:right w:val="none" w:sz="0" w:space="0" w:color="auto"/>
          </w:divBdr>
          <w:divsChild>
            <w:div w:id="1161193755">
              <w:marLeft w:val="0"/>
              <w:marRight w:val="0"/>
              <w:marTop w:val="0"/>
              <w:marBottom w:val="0"/>
              <w:divBdr>
                <w:top w:val="none" w:sz="0" w:space="0" w:color="auto"/>
                <w:left w:val="none" w:sz="0" w:space="0" w:color="auto"/>
                <w:bottom w:val="none" w:sz="0" w:space="0" w:color="auto"/>
                <w:right w:val="none" w:sz="0" w:space="0" w:color="auto"/>
              </w:divBdr>
              <w:divsChild>
                <w:div w:id="26511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67948">
          <w:marLeft w:val="0"/>
          <w:marRight w:val="0"/>
          <w:marTop w:val="0"/>
          <w:marBottom w:val="0"/>
          <w:divBdr>
            <w:top w:val="none" w:sz="0" w:space="0" w:color="auto"/>
            <w:left w:val="none" w:sz="0" w:space="0" w:color="auto"/>
            <w:bottom w:val="none" w:sz="0" w:space="0" w:color="auto"/>
            <w:right w:val="none" w:sz="0" w:space="0" w:color="auto"/>
          </w:divBdr>
          <w:divsChild>
            <w:div w:id="794061232">
              <w:marLeft w:val="0"/>
              <w:marRight w:val="0"/>
              <w:marTop w:val="0"/>
              <w:marBottom w:val="0"/>
              <w:divBdr>
                <w:top w:val="none" w:sz="0" w:space="0" w:color="auto"/>
                <w:left w:val="none" w:sz="0" w:space="0" w:color="auto"/>
                <w:bottom w:val="none" w:sz="0" w:space="0" w:color="auto"/>
                <w:right w:val="none" w:sz="0" w:space="0" w:color="auto"/>
              </w:divBdr>
              <w:divsChild>
                <w:div w:id="89045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4064">
          <w:marLeft w:val="0"/>
          <w:marRight w:val="0"/>
          <w:marTop w:val="0"/>
          <w:marBottom w:val="0"/>
          <w:divBdr>
            <w:top w:val="none" w:sz="0" w:space="0" w:color="auto"/>
            <w:left w:val="none" w:sz="0" w:space="0" w:color="auto"/>
            <w:bottom w:val="none" w:sz="0" w:space="0" w:color="auto"/>
            <w:right w:val="none" w:sz="0" w:space="0" w:color="auto"/>
          </w:divBdr>
          <w:divsChild>
            <w:div w:id="2003462802">
              <w:marLeft w:val="0"/>
              <w:marRight w:val="0"/>
              <w:marTop w:val="0"/>
              <w:marBottom w:val="0"/>
              <w:divBdr>
                <w:top w:val="none" w:sz="0" w:space="0" w:color="auto"/>
                <w:left w:val="none" w:sz="0" w:space="0" w:color="auto"/>
                <w:bottom w:val="none" w:sz="0" w:space="0" w:color="auto"/>
                <w:right w:val="none" w:sz="0" w:space="0" w:color="auto"/>
              </w:divBdr>
              <w:divsChild>
                <w:div w:id="1153836271">
                  <w:marLeft w:val="0"/>
                  <w:marRight w:val="0"/>
                  <w:marTop w:val="0"/>
                  <w:marBottom w:val="0"/>
                  <w:divBdr>
                    <w:top w:val="none" w:sz="0" w:space="0" w:color="auto"/>
                    <w:left w:val="none" w:sz="0" w:space="0" w:color="auto"/>
                    <w:bottom w:val="none" w:sz="0" w:space="0" w:color="auto"/>
                    <w:right w:val="none" w:sz="0" w:space="0" w:color="auto"/>
                  </w:divBdr>
                </w:div>
              </w:divsChild>
            </w:div>
            <w:div w:id="2111244083">
              <w:marLeft w:val="0"/>
              <w:marRight w:val="0"/>
              <w:marTop w:val="0"/>
              <w:marBottom w:val="0"/>
              <w:divBdr>
                <w:top w:val="none" w:sz="0" w:space="0" w:color="auto"/>
                <w:left w:val="none" w:sz="0" w:space="0" w:color="auto"/>
                <w:bottom w:val="none" w:sz="0" w:space="0" w:color="auto"/>
                <w:right w:val="none" w:sz="0" w:space="0" w:color="auto"/>
              </w:divBdr>
            </w:div>
          </w:divsChild>
        </w:div>
        <w:div w:id="1028529703">
          <w:marLeft w:val="0"/>
          <w:marRight w:val="0"/>
          <w:marTop w:val="0"/>
          <w:marBottom w:val="0"/>
          <w:divBdr>
            <w:top w:val="none" w:sz="0" w:space="0" w:color="auto"/>
            <w:left w:val="none" w:sz="0" w:space="0" w:color="auto"/>
            <w:bottom w:val="none" w:sz="0" w:space="0" w:color="auto"/>
            <w:right w:val="none" w:sz="0" w:space="0" w:color="auto"/>
          </w:divBdr>
        </w:div>
        <w:div w:id="2071077846">
          <w:marLeft w:val="0"/>
          <w:marRight w:val="0"/>
          <w:marTop w:val="0"/>
          <w:marBottom w:val="0"/>
          <w:divBdr>
            <w:top w:val="none" w:sz="0" w:space="0" w:color="auto"/>
            <w:left w:val="none" w:sz="0" w:space="0" w:color="auto"/>
            <w:bottom w:val="none" w:sz="0" w:space="0" w:color="auto"/>
            <w:right w:val="none" w:sz="0" w:space="0" w:color="auto"/>
          </w:divBdr>
          <w:divsChild>
            <w:div w:id="879510869">
              <w:marLeft w:val="0"/>
              <w:marRight w:val="0"/>
              <w:marTop w:val="0"/>
              <w:marBottom w:val="0"/>
              <w:divBdr>
                <w:top w:val="none" w:sz="0" w:space="0" w:color="auto"/>
                <w:left w:val="none" w:sz="0" w:space="0" w:color="auto"/>
                <w:bottom w:val="none" w:sz="0" w:space="0" w:color="auto"/>
                <w:right w:val="none" w:sz="0" w:space="0" w:color="auto"/>
              </w:divBdr>
              <w:divsChild>
                <w:div w:id="158737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69543">
          <w:marLeft w:val="0"/>
          <w:marRight w:val="0"/>
          <w:marTop w:val="0"/>
          <w:marBottom w:val="0"/>
          <w:divBdr>
            <w:top w:val="none" w:sz="0" w:space="0" w:color="auto"/>
            <w:left w:val="none" w:sz="0" w:space="0" w:color="auto"/>
            <w:bottom w:val="none" w:sz="0" w:space="0" w:color="auto"/>
            <w:right w:val="none" w:sz="0" w:space="0" w:color="auto"/>
          </w:divBdr>
          <w:divsChild>
            <w:div w:id="610285166">
              <w:marLeft w:val="0"/>
              <w:marRight w:val="0"/>
              <w:marTop w:val="0"/>
              <w:marBottom w:val="0"/>
              <w:divBdr>
                <w:top w:val="none" w:sz="0" w:space="0" w:color="auto"/>
                <w:left w:val="none" w:sz="0" w:space="0" w:color="auto"/>
                <w:bottom w:val="none" w:sz="0" w:space="0" w:color="auto"/>
                <w:right w:val="none" w:sz="0" w:space="0" w:color="auto"/>
              </w:divBdr>
              <w:divsChild>
                <w:div w:id="1557737603">
                  <w:marLeft w:val="0"/>
                  <w:marRight w:val="0"/>
                  <w:marTop w:val="0"/>
                  <w:marBottom w:val="0"/>
                  <w:divBdr>
                    <w:top w:val="none" w:sz="0" w:space="0" w:color="auto"/>
                    <w:left w:val="none" w:sz="0" w:space="0" w:color="auto"/>
                    <w:bottom w:val="none" w:sz="0" w:space="0" w:color="auto"/>
                    <w:right w:val="none" w:sz="0" w:space="0" w:color="auto"/>
                  </w:divBdr>
                </w:div>
              </w:divsChild>
            </w:div>
            <w:div w:id="842161566">
              <w:marLeft w:val="0"/>
              <w:marRight w:val="0"/>
              <w:marTop w:val="0"/>
              <w:marBottom w:val="0"/>
              <w:divBdr>
                <w:top w:val="none" w:sz="0" w:space="0" w:color="auto"/>
                <w:left w:val="none" w:sz="0" w:space="0" w:color="auto"/>
                <w:bottom w:val="none" w:sz="0" w:space="0" w:color="auto"/>
                <w:right w:val="none" w:sz="0" w:space="0" w:color="auto"/>
              </w:divBdr>
            </w:div>
          </w:divsChild>
        </w:div>
        <w:div w:id="715471110">
          <w:marLeft w:val="0"/>
          <w:marRight w:val="0"/>
          <w:marTop w:val="0"/>
          <w:marBottom w:val="0"/>
          <w:divBdr>
            <w:top w:val="none" w:sz="0" w:space="0" w:color="auto"/>
            <w:left w:val="none" w:sz="0" w:space="0" w:color="auto"/>
            <w:bottom w:val="none" w:sz="0" w:space="0" w:color="auto"/>
            <w:right w:val="none" w:sz="0" w:space="0" w:color="auto"/>
          </w:divBdr>
          <w:divsChild>
            <w:div w:id="1699313577">
              <w:marLeft w:val="0"/>
              <w:marRight w:val="0"/>
              <w:marTop w:val="0"/>
              <w:marBottom w:val="0"/>
              <w:divBdr>
                <w:top w:val="none" w:sz="0" w:space="0" w:color="auto"/>
                <w:left w:val="none" w:sz="0" w:space="0" w:color="auto"/>
                <w:bottom w:val="none" w:sz="0" w:space="0" w:color="auto"/>
                <w:right w:val="none" w:sz="0" w:space="0" w:color="auto"/>
              </w:divBdr>
              <w:divsChild>
                <w:div w:id="71858557">
                  <w:marLeft w:val="0"/>
                  <w:marRight w:val="0"/>
                  <w:marTop w:val="0"/>
                  <w:marBottom w:val="0"/>
                  <w:divBdr>
                    <w:top w:val="none" w:sz="0" w:space="0" w:color="auto"/>
                    <w:left w:val="none" w:sz="0" w:space="0" w:color="auto"/>
                    <w:bottom w:val="none" w:sz="0" w:space="0" w:color="auto"/>
                    <w:right w:val="none" w:sz="0" w:space="0" w:color="auto"/>
                  </w:divBdr>
                </w:div>
              </w:divsChild>
            </w:div>
            <w:div w:id="962686217">
              <w:marLeft w:val="0"/>
              <w:marRight w:val="0"/>
              <w:marTop w:val="0"/>
              <w:marBottom w:val="0"/>
              <w:divBdr>
                <w:top w:val="none" w:sz="0" w:space="0" w:color="auto"/>
                <w:left w:val="none" w:sz="0" w:space="0" w:color="auto"/>
                <w:bottom w:val="none" w:sz="0" w:space="0" w:color="auto"/>
                <w:right w:val="none" w:sz="0" w:space="0" w:color="auto"/>
              </w:divBdr>
            </w:div>
          </w:divsChild>
        </w:div>
        <w:div w:id="1013075671">
          <w:marLeft w:val="0"/>
          <w:marRight w:val="0"/>
          <w:marTop w:val="0"/>
          <w:marBottom w:val="0"/>
          <w:divBdr>
            <w:top w:val="none" w:sz="0" w:space="0" w:color="auto"/>
            <w:left w:val="none" w:sz="0" w:space="0" w:color="auto"/>
            <w:bottom w:val="none" w:sz="0" w:space="0" w:color="auto"/>
            <w:right w:val="none" w:sz="0" w:space="0" w:color="auto"/>
          </w:divBdr>
        </w:div>
        <w:div w:id="753631043">
          <w:marLeft w:val="0"/>
          <w:marRight w:val="0"/>
          <w:marTop w:val="0"/>
          <w:marBottom w:val="0"/>
          <w:divBdr>
            <w:top w:val="none" w:sz="0" w:space="0" w:color="auto"/>
            <w:left w:val="none" w:sz="0" w:space="0" w:color="auto"/>
            <w:bottom w:val="none" w:sz="0" w:space="0" w:color="auto"/>
            <w:right w:val="none" w:sz="0" w:space="0" w:color="auto"/>
          </w:divBdr>
          <w:divsChild>
            <w:div w:id="1615399731">
              <w:marLeft w:val="0"/>
              <w:marRight w:val="0"/>
              <w:marTop w:val="0"/>
              <w:marBottom w:val="0"/>
              <w:divBdr>
                <w:top w:val="none" w:sz="0" w:space="0" w:color="auto"/>
                <w:left w:val="none" w:sz="0" w:space="0" w:color="auto"/>
                <w:bottom w:val="none" w:sz="0" w:space="0" w:color="auto"/>
                <w:right w:val="none" w:sz="0" w:space="0" w:color="auto"/>
              </w:divBdr>
              <w:divsChild>
                <w:div w:id="8624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6196">
          <w:marLeft w:val="0"/>
          <w:marRight w:val="0"/>
          <w:marTop w:val="0"/>
          <w:marBottom w:val="0"/>
          <w:divBdr>
            <w:top w:val="none" w:sz="0" w:space="0" w:color="auto"/>
            <w:left w:val="none" w:sz="0" w:space="0" w:color="auto"/>
            <w:bottom w:val="none" w:sz="0" w:space="0" w:color="auto"/>
            <w:right w:val="none" w:sz="0" w:space="0" w:color="auto"/>
          </w:divBdr>
          <w:divsChild>
            <w:div w:id="878737787">
              <w:marLeft w:val="0"/>
              <w:marRight w:val="0"/>
              <w:marTop w:val="0"/>
              <w:marBottom w:val="0"/>
              <w:divBdr>
                <w:top w:val="none" w:sz="0" w:space="0" w:color="auto"/>
                <w:left w:val="none" w:sz="0" w:space="0" w:color="auto"/>
                <w:bottom w:val="none" w:sz="0" w:space="0" w:color="auto"/>
                <w:right w:val="none" w:sz="0" w:space="0" w:color="auto"/>
              </w:divBdr>
              <w:divsChild>
                <w:div w:id="850292081">
                  <w:marLeft w:val="0"/>
                  <w:marRight w:val="0"/>
                  <w:marTop w:val="0"/>
                  <w:marBottom w:val="0"/>
                  <w:divBdr>
                    <w:top w:val="none" w:sz="0" w:space="0" w:color="auto"/>
                    <w:left w:val="none" w:sz="0" w:space="0" w:color="auto"/>
                    <w:bottom w:val="none" w:sz="0" w:space="0" w:color="auto"/>
                    <w:right w:val="none" w:sz="0" w:space="0" w:color="auto"/>
                  </w:divBdr>
                  <w:divsChild>
                    <w:div w:id="1805855350">
                      <w:marLeft w:val="0"/>
                      <w:marRight w:val="0"/>
                      <w:marTop w:val="0"/>
                      <w:marBottom w:val="0"/>
                      <w:divBdr>
                        <w:top w:val="none" w:sz="0" w:space="0" w:color="auto"/>
                        <w:left w:val="none" w:sz="0" w:space="0" w:color="auto"/>
                        <w:bottom w:val="none" w:sz="0" w:space="0" w:color="auto"/>
                        <w:right w:val="none" w:sz="0" w:space="0" w:color="auto"/>
                      </w:divBdr>
                      <w:divsChild>
                        <w:div w:id="1003314422">
                          <w:marLeft w:val="0"/>
                          <w:marRight w:val="0"/>
                          <w:marTop w:val="0"/>
                          <w:marBottom w:val="0"/>
                          <w:divBdr>
                            <w:top w:val="none" w:sz="0" w:space="0" w:color="auto"/>
                            <w:left w:val="none" w:sz="0" w:space="0" w:color="auto"/>
                            <w:bottom w:val="none" w:sz="0" w:space="0" w:color="auto"/>
                            <w:right w:val="none" w:sz="0" w:space="0" w:color="auto"/>
                          </w:divBdr>
                          <w:divsChild>
                            <w:div w:id="84274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46412">
                      <w:marLeft w:val="0"/>
                      <w:marRight w:val="0"/>
                      <w:marTop w:val="0"/>
                      <w:marBottom w:val="0"/>
                      <w:divBdr>
                        <w:top w:val="none" w:sz="0" w:space="0" w:color="auto"/>
                        <w:left w:val="none" w:sz="0" w:space="0" w:color="auto"/>
                        <w:bottom w:val="none" w:sz="0" w:space="0" w:color="auto"/>
                        <w:right w:val="none" w:sz="0" w:space="0" w:color="auto"/>
                      </w:divBdr>
                      <w:divsChild>
                        <w:div w:id="2074115753">
                          <w:marLeft w:val="0"/>
                          <w:marRight w:val="0"/>
                          <w:marTop w:val="0"/>
                          <w:marBottom w:val="0"/>
                          <w:divBdr>
                            <w:top w:val="none" w:sz="0" w:space="0" w:color="auto"/>
                            <w:left w:val="none" w:sz="0" w:space="0" w:color="auto"/>
                            <w:bottom w:val="none" w:sz="0" w:space="0" w:color="auto"/>
                            <w:right w:val="none" w:sz="0" w:space="0" w:color="auto"/>
                          </w:divBdr>
                        </w:div>
                      </w:divsChild>
                    </w:div>
                    <w:div w:id="1903785611">
                      <w:marLeft w:val="0"/>
                      <w:marRight w:val="0"/>
                      <w:marTop w:val="0"/>
                      <w:marBottom w:val="0"/>
                      <w:divBdr>
                        <w:top w:val="none" w:sz="0" w:space="0" w:color="auto"/>
                        <w:left w:val="none" w:sz="0" w:space="0" w:color="auto"/>
                        <w:bottom w:val="none" w:sz="0" w:space="0" w:color="auto"/>
                        <w:right w:val="none" w:sz="0" w:space="0" w:color="auto"/>
                      </w:divBdr>
                      <w:divsChild>
                        <w:div w:id="1244534081">
                          <w:marLeft w:val="0"/>
                          <w:marRight w:val="0"/>
                          <w:marTop w:val="0"/>
                          <w:marBottom w:val="0"/>
                          <w:divBdr>
                            <w:top w:val="none" w:sz="0" w:space="0" w:color="auto"/>
                            <w:left w:val="none" w:sz="0" w:space="0" w:color="auto"/>
                            <w:bottom w:val="none" w:sz="0" w:space="0" w:color="auto"/>
                            <w:right w:val="none" w:sz="0" w:space="0" w:color="auto"/>
                          </w:divBdr>
                        </w:div>
                      </w:divsChild>
                    </w:div>
                    <w:div w:id="650791973">
                      <w:marLeft w:val="0"/>
                      <w:marRight w:val="0"/>
                      <w:marTop w:val="0"/>
                      <w:marBottom w:val="0"/>
                      <w:divBdr>
                        <w:top w:val="none" w:sz="0" w:space="0" w:color="auto"/>
                        <w:left w:val="none" w:sz="0" w:space="0" w:color="auto"/>
                        <w:bottom w:val="none" w:sz="0" w:space="0" w:color="auto"/>
                        <w:right w:val="none" w:sz="0" w:space="0" w:color="auto"/>
                      </w:divBdr>
                      <w:divsChild>
                        <w:div w:id="1877809221">
                          <w:marLeft w:val="0"/>
                          <w:marRight w:val="0"/>
                          <w:marTop w:val="0"/>
                          <w:marBottom w:val="0"/>
                          <w:divBdr>
                            <w:top w:val="none" w:sz="0" w:space="0" w:color="auto"/>
                            <w:left w:val="none" w:sz="0" w:space="0" w:color="auto"/>
                            <w:bottom w:val="none" w:sz="0" w:space="0" w:color="auto"/>
                            <w:right w:val="none" w:sz="0" w:space="0" w:color="auto"/>
                          </w:divBdr>
                        </w:div>
                      </w:divsChild>
                    </w:div>
                    <w:div w:id="544295355">
                      <w:marLeft w:val="0"/>
                      <w:marRight w:val="0"/>
                      <w:marTop w:val="0"/>
                      <w:marBottom w:val="0"/>
                      <w:divBdr>
                        <w:top w:val="none" w:sz="0" w:space="0" w:color="auto"/>
                        <w:left w:val="none" w:sz="0" w:space="0" w:color="auto"/>
                        <w:bottom w:val="none" w:sz="0" w:space="0" w:color="auto"/>
                        <w:right w:val="none" w:sz="0" w:space="0" w:color="auto"/>
                      </w:divBdr>
                      <w:divsChild>
                        <w:div w:id="1324121868">
                          <w:marLeft w:val="0"/>
                          <w:marRight w:val="0"/>
                          <w:marTop w:val="0"/>
                          <w:marBottom w:val="0"/>
                          <w:divBdr>
                            <w:top w:val="none" w:sz="0" w:space="0" w:color="auto"/>
                            <w:left w:val="none" w:sz="0" w:space="0" w:color="auto"/>
                            <w:bottom w:val="none" w:sz="0" w:space="0" w:color="auto"/>
                            <w:right w:val="none" w:sz="0" w:space="0" w:color="auto"/>
                          </w:divBdr>
                        </w:div>
                      </w:divsChild>
                    </w:div>
                    <w:div w:id="1952392436">
                      <w:marLeft w:val="0"/>
                      <w:marRight w:val="0"/>
                      <w:marTop w:val="0"/>
                      <w:marBottom w:val="0"/>
                      <w:divBdr>
                        <w:top w:val="none" w:sz="0" w:space="0" w:color="auto"/>
                        <w:left w:val="none" w:sz="0" w:space="0" w:color="auto"/>
                        <w:bottom w:val="none" w:sz="0" w:space="0" w:color="auto"/>
                        <w:right w:val="none" w:sz="0" w:space="0" w:color="auto"/>
                      </w:divBdr>
                      <w:divsChild>
                        <w:div w:id="3647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323277">
          <w:marLeft w:val="0"/>
          <w:marRight w:val="0"/>
          <w:marTop w:val="0"/>
          <w:marBottom w:val="0"/>
          <w:divBdr>
            <w:top w:val="none" w:sz="0" w:space="0" w:color="auto"/>
            <w:left w:val="none" w:sz="0" w:space="0" w:color="auto"/>
            <w:bottom w:val="none" w:sz="0" w:space="0" w:color="auto"/>
            <w:right w:val="none" w:sz="0" w:space="0" w:color="auto"/>
          </w:divBdr>
          <w:divsChild>
            <w:div w:id="1398549369">
              <w:marLeft w:val="0"/>
              <w:marRight w:val="0"/>
              <w:marTop w:val="0"/>
              <w:marBottom w:val="0"/>
              <w:divBdr>
                <w:top w:val="none" w:sz="0" w:space="0" w:color="auto"/>
                <w:left w:val="none" w:sz="0" w:space="0" w:color="auto"/>
                <w:bottom w:val="none" w:sz="0" w:space="0" w:color="auto"/>
                <w:right w:val="none" w:sz="0" w:space="0" w:color="auto"/>
              </w:divBdr>
              <w:divsChild>
                <w:div w:id="13709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21163">
          <w:marLeft w:val="0"/>
          <w:marRight w:val="0"/>
          <w:marTop w:val="0"/>
          <w:marBottom w:val="0"/>
          <w:divBdr>
            <w:top w:val="none" w:sz="0" w:space="0" w:color="auto"/>
            <w:left w:val="none" w:sz="0" w:space="0" w:color="auto"/>
            <w:bottom w:val="none" w:sz="0" w:space="0" w:color="auto"/>
            <w:right w:val="none" w:sz="0" w:space="0" w:color="auto"/>
          </w:divBdr>
          <w:divsChild>
            <w:div w:id="159663487">
              <w:marLeft w:val="0"/>
              <w:marRight w:val="0"/>
              <w:marTop w:val="0"/>
              <w:marBottom w:val="0"/>
              <w:divBdr>
                <w:top w:val="none" w:sz="0" w:space="0" w:color="auto"/>
                <w:left w:val="none" w:sz="0" w:space="0" w:color="auto"/>
                <w:bottom w:val="none" w:sz="0" w:space="0" w:color="auto"/>
                <w:right w:val="none" w:sz="0" w:space="0" w:color="auto"/>
              </w:divBdr>
              <w:divsChild>
                <w:div w:id="17850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70113">
          <w:marLeft w:val="0"/>
          <w:marRight w:val="0"/>
          <w:marTop w:val="0"/>
          <w:marBottom w:val="0"/>
          <w:divBdr>
            <w:top w:val="none" w:sz="0" w:space="0" w:color="auto"/>
            <w:left w:val="none" w:sz="0" w:space="0" w:color="auto"/>
            <w:bottom w:val="none" w:sz="0" w:space="0" w:color="auto"/>
            <w:right w:val="none" w:sz="0" w:space="0" w:color="auto"/>
          </w:divBdr>
          <w:divsChild>
            <w:div w:id="1928271576">
              <w:marLeft w:val="0"/>
              <w:marRight w:val="0"/>
              <w:marTop w:val="0"/>
              <w:marBottom w:val="0"/>
              <w:divBdr>
                <w:top w:val="none" w:sz="0" w:space="0" w:color="auto"/>
                <w:left w:val="none" w:sz="0" w:space="0" w:color="auto"/>
                <w:bottom w:val="none" w:sz="0" w:space="0" w:color="auto"/>
                <w:right w:val="none" w:sz="0" w:space="0" w:color="auto"/>
              </w:divBdr>
              <w:divsChild>
                <w:div w:id="168856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41722">
          <w:marLeft w:val="0"/>
          <w:marRight w:val="0"/>
          <w:marTop w:val="0"/>
          <w:marBottom w:val="0"/>
          <w:divBdr>
            <w:top w:val="none" w:sz="0" w:space="0" w:color="auto"/>
            <w:left w:val="none" w:sz="0" w:space="0" w:color="auto"/>
            <w:bottom w:val="none" w:sz="0" w:space="0" w:color="auto"/>
            <w:right w:val="none" w:sz="0" w:space="0" w:color="auto"/>
          </w:divBdr>
          <w:divsChild>
            <w:div w:id="711612418">
              <w:marLeft w:val="0"/>
              <w:marRight w:val="0"/>
              <w:marTop w:val="0"/>
              <w:marBottom w:val="0"/>
              <w:divBdr>
                <w:top w:val="none" w:sz="0" w:space="0" w:color="auto"/>
                <w:left w:val="none" w:sz="0" w:space="0" w:color="auto"/>
                <w:bottom w:val="none" w:sz="0" w:space="0" w:color="auto"/>
                <w:right w:val="none" w:sz="0" w:space="0" w:color="auto"/>
              </w:divBdr>
              <w:divsChild>
                <w:div w:id="197540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061">
          <w:marLeft w:val="0"/>
          <w:marRight w:val="0"/>
          <w:marTop w:val="0"/>
          <w:marBottom w:val="0"/>
          <w:divBdr>
            <w:top w:val="none" w:sz="0" w:space="0" w:color="auto"/>
            <w:left w:val="none" w:sz="0" w:space="0" w:color="auto"/>
            <w:bottom w:val="none" w:sz="0" w:space="0" w:color="auto"/>
            <w:right w:val="none" w:sz="0" w:space="0" w:color="auto"/>
          </w:divBdr>
          <w:divsChild>
            <w:div w:id="444884202">
              <w:marLeft w:val="0"/>
              <w:marRight w:val="0"/>
              <w:marTop w:val="0"/>
              <w:marBottom w:val="0"/>
              <w:divBdr>
                <w:top w:val="none" w:sz="0" w:space="0" w:color="auto"/>
                <w:left w:val="none" w:sz="0" w:space="0" w:color="auto"/>
                <w:bottom w:val="none" w:sz="0" w:space="0" w:color="auto"/>
                <w:right w:val="none" w:sz="0" w:space="0" w:color="auto"/>
              </w:divBdr>
              <w:divsChild>
                <w:div w:id="207958454">
                  <w:marLeft w:val="0"/>
                  <w:marRight w:val="0"/>
                  <w:marTop w:val="0"/>
                  <w:marBottom w:val="0"/>
                  <w:divBdr>
                    <w:top w:val="none" w:sz="0" w:space="0" w:color="auto"/>
                    <w:left w:val="none" w:sz="0" w:space="0" w:color="auto"/>
                    <w:bottom w:val="none" w:sz="0" w:space="0" w:color="auto"/>
                    <w:right w:val="none" w:sz="0" w:space="0" w:color="auto"/>
                  </w:divBdr>
                  <w:divsChild>
                    <w:div w:id="883295871">
                      <w:marLeft w:val="0"/>
                      <w:marRight w:val="0"/>
                      <w:marTop w:val="0"/>
                      <w:marBottom w:val="0"/>
                      <w:divBdr>
                        <w:top w:val="none" w:sz="0" w:space="0" w:color="auto"/>
                        <w:left w:val="none" w:sz="0" w:space="0" w:color="auto"/>
                        <w:bottom w:val="none" w:sz="0" w:space="0" w:color="auto"/>
                        <w:right w:val="none" w:sz="0" w:space="0" w:color="auto"/>
                      </w:divBdr>
                    </w:div>
                    <w:div w:id="1352680316">
                      <w:marLeft w:val="0"/>
                      <w:marRight w:val="0"/>
                      <w:marTop w:val="0"/>
                      <w:marBottom w:val="0"/>
                      <w:divBdr>
                        <w:top w:val="none" w:sz="0" w:space="0" w:color="auto"/>
                        <w:left w:val="none" w:sz="0" w:space="0" w:color="auto"/>
                        <w:bottom w:val="none" w:sz="0" w:space="0" w:color="auto"/>
                        <w:right w:val="none" w:sz="0" w:space="0" w:color="auto"/>
                      </w:divBdr>
                    </w:div>
                    <w:div w:id="19721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23857">
          <w:marLeft w:val="0"/>
          <w:marRight w:val="0"/>
          <w:marTop w:val="0"/>
          <w:marBottom w:val="0"/>
          <w:divBdr>
            <w:top w:val="none" w:sz="0" w:space="0" w:color="auto"/>
            <w:left w:val="none" w:sz="0" w:space="0" w:color="auto"/>
            <w:bottom w:val="none" w:sz="0" w:space="0" w:color="auto"/>
            <w:right w:val="none" w:sz="0" w:space="0" w:color="auto"/>
          </w:divBdr>
          <w:divsChild>
            <w:div w:id="2132360119">
              <w:marLeft w:val="0"/>
              <w:marRight w:val="0"/>
              <w:marTop w:val="0"/>
              <w:marBottom w:val="0"/>
              <w:divBdr>
                <w:top w:val="none" w:sz="0" w:space="0" w:color="auto"/>
                <w:left w:val="none" w:sz="0" w:space="0" w:color="auto"/>
                <w:bottom w:val="none" w:sz="0" w:space="0" w:color="auto"/>
                <w:right w:val="none" w:sz="0" w:space="0" w:color="auto"/>
              </w:divBdr>
              <w:divsChild>
                <w:div w:id="99807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48958">
          <w:marLeft w:val="0"/>
          <w:marRight w:val="0"/>
          <w:marTop w:val="0"/>
          <w:marBottom w:val="0"/>
          <w:divBdr>
            <w:top w:val="none" w:sz="0" w:space="0" w:color="auto"/>
            <w:left w:val="none" w:sz="0" w:space="0" w:color="auto"/>
            <w:bottom w:val="none" w:sz="0" w:space="0" w:color="auto"/>
            <w:right w:val="none" w:sz="0" w:space="0" w:color="auto"/>
          </w:divBdr>
          <w:divsChild>
            <w:div w:id="330984816">
              <w:marLeft w:val="0"/>
              <w:marRight w:val="0"/>
              <w:marTop w:val="0"/>
              <w:marBottom w:val="0"/>
              <w:divBdr>
                <w:top w:val="none" w:sz="0" w:space="0" w:color="auto"/>
                <w:left w:val="none" w:sz="0" w:space="0" w:color="auto"/>
                <w:bottom w:val="none" w:sz="0" w:space="0" w:color="auto"/>
                <w:right w:val="none" w:sz="0" w:space="0" w:color="auto"/>
              </w:divBdr>
              <w:divsChild>
                <w:div w:id="63013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5647">
          <w:marLeft w:val="0"/>
          <w:marRight w:val="0"/>
          <w:marTop w:val="0"/>
          <w:marBottom w:val="0"/>
          <w:divBdr>
            <w:top w:val="none" w:sz="0" w:space="0" w:color="auto"/>
            <w:left w:val="none" w:sz="0" w:space="0" w:color="auto"/>
            <w:bottom w:val="none" w:sz="0" w:space="0" w:color="auto"/>
            <w:right w:val="none" w:sz="0" w:space="0" w:color="auto"/>
          </w:divBdr>
          <w:divsChild>
            <w:div w:id="215511294">
              <w:marLeft w:val="0"/>
              <w:marRight w:val="0"/>
              <w:marTop w:val="0"/>
              <w:marBottom w:val="0"/>
              <w:divBdr>
                <w:top w:val="none" w:sz="0" w:space="0" w:color="auto"/>
                <w:left w:val="none" w:sz="0" w:space="0" w:color="auto"/>
                <w:bottom w:val="none" w:sz="0" w:space="0" w:color="auto"/>
                <w:right w:val="none" w:sz="0" w:space="0" w:color="auto"/>
              </w:divBdr>
              <w:divsChild>
                <w:div w:id="142642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2830">
          <w:marLeft w:val="0"/>
          <w:marRight w:val="0"/>
          <w:marTop w:val="0"/>
          <w:marBottom w:val="0"/>
          <w:divBdr>
            <w:top w:val="none" w:sz="0" w:space="0" w:color="auto"/>
            <w:left w:val="none" w:sz="0" w:space="0" w:color="auto"/>
            <w:bottom w:val="none" w:sz="0" w:space="0" w:color="auto"/>
            <w:right w:val="none" w:sz="0" w:space="0" w:color="auto"/>
          </w:divBdr>
          <w:divsChild>
            <w:div w:id="1311321872">
              <w:marLeft w:val="0"/>
              <w:marRight w:val="0"/>
              <w:marTop w:val="0"/>
              <w:marBottom w:val="0"/>
              <w:divBdr>
                <w:top w:val="none" w:sz="0" w:space="0" w:color="auto"/>
                <w:left w:val="none" w:sz="0" w:space="0" w:color="auto"/>
                <w:bottom w:val="none" w:sz="0" w:space="0" w:color="auto"/>
                <w:right w:val="none" w:sz="0" w:space="0" w:color="auto"/>
              </w:divBdr>
              <w:divsChild>
                <w:div w:id="10647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6132">
          <w:marLeft w:val="0"/>
          <w:marRight w:val="0"/>
          <w:marTop w:val="0"/>
          <w:marBottom w:val="0"/>
          <w:divBdr>
            <w:top w:val="none" w:sz="0" w:space="0" w:color="auto"/>
            <w:left w:val="none" w:sz="0" w:space="0" w:color="auto"/>
            <w:bottom w:val="none" w:sz="0" w:space="0" w:color="auto"/>
            <w:right w:val="none" w:sz="0" w:space="0" w:color="auto"/>
          </w:divBdr>
          <w:divsChild>
            <w:div w:id="1414889234">
              <w:marLeft w:val="0"/>
              <w:marRight w:val="0"/>
              <w:marTop w:val="0"/>
              <w:marBottom w:val="0"/>
              <w:divBdr>
                <w:top w:val="none" w:sz="0" w:space="0" w:color="auto"/>
                <w:left w:val="none" w:sz="0" w:space="0" w:color="auto"/>
                <w:bottom w:val="none" w:sz="0" w:space="0" w:color="auto"/>
                <w:right w:val="none" w:sz="0" w:space="0" w:color="auto"/>
              </w:divBdr>
              <w:divsChild>
                <w:div w:id="210587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5097">
          <w:marLeft w:val="0"/>
          <w:marRight w:val="0"/>
          <w:marTop w:val="0"/>
          <w:marBottom w:val="0"/>
          <w:divBdr>
            <w:top w:val="none" w:sz="0" w:space="0" w:color="auto"/>
            <w:left w:val="none" w:sz="0" w:space="0" w:color="auto"/>
            <w:bottom w:val="none" w:sz="0" w:space="0" w:color="auto"/>
            <w:right w:val="none" w:sz="0" w:space="0" w:color="auto"/>
          </w:divBdr>
          <w:divsChild>
            <w:div w:id="1898584225">
              <w:marLeft w:val="0"/>
              <w:marRight w:val="0"/>
              <w:marTop w:val="0"/>
              <w:marBottom w:val="0"/>
              <w:divBdr>
                <w:top w:val="none" w:sz="0" w:space="0" w:color="auto"/>
                <w:left w:val="none" w:sz="0" w:space="0" w:color="auto"/>
                <w:bottom w:val="none" w:sz="0" w:space="0" w:color="auto"/>
                <w:right w:val="none" w:sz="0" w:space="0" w:color="auto"/>
              </w:divBdr>
              <w:divsChild>
                <w:div w:id="82104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7909">
          <w:marLeft w:val="0"/>
          <w:marRight w:val="0"/>
          <w:marTop w:val="0"/>
          <w:marBottom w:val="0"/>
          <w:divBdr>
            <w:top w:val="none" w:sz="0" w:space="0" w:color="auto"/>
            <w:left w:val="none" w:sz="0" w:space="0" w:color="auto"/>
            <w:bottom w:val="none" w:sz="0" w:space="0" w:color="auto"/>
            <w:right w:val="none" w:sz="0" w:space="0" w:color="auto"/>
          </w:divBdr>
        </w:div>
        <w:div w:id="845944154">
          <w:marLeft w:val="0"/>
          <w:marRight w:val="0"/>
          <w:marTop w:val="0"/>
          <w:marBottom w:val="0"/>
          <w:divBdr>
            <w:top w:val="none" w:sz="0" w:space="0" w:color="auto"/>
            <w:left w:val="none" w:sz="0" w:space="0" w:color="auto"/>
            <w:bottom w:val="none" w:sz="0" w:space="0" w:color="auto"/>
            <w:right w:val="none" w:sz="0" w:space="0" w:color="auto"/>
          </w:divBdr>
          <w:divsChild>
            <w:div w:id="1951156350">
              <w:marLeft w:val="0"/>
              <w:marRight w:val="0"/>
              <w:marTop w:val="0"/>
              <w:marBottom w:val="0"/>
              <w:divBdr>
                <w:top w:val="none" w:sz="0" w:space="0" w:color="auto"/>
                <w:left w:val="none" w:sz="0" w:space="0" w:color="auto"/>
                <w:bottom w:val="none" w:sz="0" w:space="0" w:color="auto"/>
                <w:right w:val="none" w:sz="0" w:space="0" w:color="auto"/>
              </w:divBdr>
              <w:divsChild>
                <w:div w:id="185507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9174">
          <w:marLeft w:val="0"/>
          <w:marRight w:val="0"/>
          <w:marTop w:val="0"/>
          <w:marBottom w:val="0"/>
          <w:divBdr>
            <w:top w:val="none" w:sz="0" w:space="0" w:color="auto"/>
            <w:left w:val="none" w:sz="0" w:space="0" w:color="auto"/>
            <w:bottom w:val="none" w:sz="0" w:space="0" w:color="auto"/>
            <w:right w:val="none" w:sz="0" w:space="0" w:color="auto"/>
          </w:divBdr>
          <w:divsChild>
            <w:div w:id="336545941">
              <w:marLeft w:val="0"/>
              <w:marRight w:val="0"/>
              <w:marTop w:val="0"/>
              <w:marBottom w:val="0"/>
              <w:divBdr>
                <w:top w:val="none" w:sz="0" w:space="0" w:color="auto"/>
                <w:left w:val="none" w:sz="0" w:space="0" w:color="auto"/>
                <w:bottom w:val="none" w:sz="0" w:space="0" w:color="auto"/>
                <w:right w:val="none" w:sz="0" w:space="0" w:color="auto"/>
              </w:divBdr>
              <w:divsChild>
                <w:div w:id="91050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4486">
          <w:marLeft w:val="0"/>
          <w:marRight w:val="0"/>
          <w:marTop w:val="0"/>
          <w:marBottom w:val="0"/>
          <w:divBdr>
            <w:top w:val="none" w:sz="0" w:space="0" w:color="auto"/>
            <w:left w:val="none" w:sz="0" w:space="0" w:color="auto"/>
            <w:bottom w:val="none" w:sz="0" w:space="0" w:color="auto"/>
            <w:right w:val="none" w:sz="0" w:space="0" w:color="auto"/>
          </w:divBdr>
          <w:divsChild>
            <w:div w:id="1936669043">
              <w:marLeft w:val="0"/>
              <w:marRight w:val="0"/>
              <w:marTop w:val="0"/>
              <w:marBottom w:val="0"/>
              <w:divBdr>
                <w:top w:val="none" w:sz="0" w:space="0" w:color="auto"/>
                <w:left w:val="none" w:sz="0" w:space="0" w:color="auto"/>
                <w:bottom w:val="none" w:sz="0" w:space="0" w:color="auto"/>
                <w:right w:val="none" w:sz="0" w:space="0" w:color="auto"/>
              </w:divBdr>
              <w:divsChild>
                <w:div w:id="13590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0557">
          <w:marLeft w:val="0"/>
          <w:marRight w:val="0"/>
          <w:marTop w:val="0"/>
          <w:marBottom w:val="0"/>
          <w:divBdr>
            <w:top w:val="none" w:sz="0" w:space="0" w:color="auto"/>
            <w:left w:val="none" w:sz="0" w:space="0" w:color="auto"/>
            <w:bottom w:val="none" w:sz="0" w:space="0" w:color="auto"/>
            <w:right w:val="none" w:sz="0" w:space="0" w:color="auto"/>
          </w:divBdr>
          <w:divsChild>
            <w:div w:id="969092778">
              <w:marLeft w:val="0"/>
              <w:marRight w:val="0"/>
              <w:marTop w:val="0"/>
              <w:marBottom w:val="0"/>
              <w:divBdr>
                <w:top w:val="none" w:sz="0" w:space="0" w:color="auto"/>
                <w:left w:val="none" w:sz="0" w:space="0" w:color="auto"/>
                <w:bottom w:val="none" w:sz="0" w:space="0" w:color="auto"/>
                <w:right w:val="none" w:sz="0" w:space="0" w:color="auto"/>
              </w:divBdr>
              <w:divsChild>
                <w:div w:id="83842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4009">
          <w:marLeft w:val="0"/>
          <w:marRight w:val="0"/>
          <w:marTop w:val="0"/>
          <w:marBottom w:val="0"/>
          <w:divBdr>
            <w:top w:val="none" w:sz="0" w:space="0" w:color="auto"/>
            <w:left w:val="none" w:sz="0" w:space="0" w:color="auto"/>
            <w:bottom w:val="none" w:sz="0" w:space="0" w:color="auto"/>
            <w:right w:val="none" w:sz="0" w:space="0" w:color="auto"/>
          </w:divBdr>
          <w:divsChild>
            <w:div w:id="1975675830">
              <w:marLeft w:val="0"/>
              <w:marRight w:val="0"/>
              <w:marTop w:val="0"/>
              <w:marBottom w:val="0"/>
              <w:divBdr>
                <w:top w:val="none" w:sz="0" w:space="0" w:color="auto"/>
                <w:left w:val="none" w:sz="0" w:space="0" w:color="auto"/>
                <w:bottom w:val="none" w:sz="0" w:space="0" w:color="auto"/>
                <w:right w:val="none" w:sz="0" w:space="0" w:color="auto"/>
              </w:divBdr>
              <w:divsChild>
                <w:div w:id="16269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8086">
          <w:marLeft w:val="0"/>
          <w:marRight w:val="0"/>
          <w:marTop w:val="0"/>
          <w:marBottom w:val="0"/>
          <w:divBdr>
            <w:top w:val="none" w:sz="0" w:space="0" w:color="auto"/>
            <w:left w:val="none" w:sz="0" w:space="0" w:color="auto"/>
            <w:bottom w:val="none" w:sz="0" w:space="0" w:color="auto"/>
            <w:right w:val="none" w:sz="0" w:space="0" w:color="auto"/>
          </w:divBdr>
          <w:divsChild>
            <w:div w:id="583879665">
              <w:marLeft w:val="0"/>
              <w:marRight w:val="0"/>
              <w:marTop w:val="0"/>
              <w:marBottom w:val="0"/>
              <w:divBdr>
                <w:top w:val="none" w:sz="0" w:space="0" w:color="auto"/>
                <w:left w:val="none" w:sz="0" w:space="0" w:color="auto"/>
                <w:bottom w:val="none" w:sz="0" w:space="0" w:color="auto"/>
                <w:right w:val="none" w:sz="0" w:space="0" w:color="auto"/>
              </w:divBdr>
              <w:divsChild>
                <w:div w:id="91628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69626">
          <w:marLeft w:val="0"/>
          <w:marRight w:val="0"/>
          <w:marTop w:val="0"/>
          <w:marBottom w:val="0"/>
          <w:divBdr>
            <w:top w:val="none" w:sz="0" w:space="0" w:color="auto"/>
            <w:left w:val="none" w:sz="0" w:space="0" w:color="auto"/>
            <w:bottom w:val="none" w:sz="0" w:space="0" w:color="auto"/>
            <w:right w:val="none" w:sz="0" w:space="0" w:color="auto"/>
          </w:divBdr>
          <w:divsChild>
            <w:div w:id="627973427">
              <w:marLeft w:val="0"/>
              <w:marRight w:val="0"/>
              <w:marTop w:val="0"/>
              <w:marBottom w:val="0"/>
              <w:divBdr>
                <w:top w:val="none" w:sz="0" w:space="0" w:color="auto"/>
                <w:left w:val="none" w:sz="0" w:space="0" w:color="auto"/>
                <w:bottom w:val="none" w:sz="0" w:space="0" w:color="auto"/>
                <w:right w:val="none" w:sz="0" w:space="0" w:color="auto"/>
              </w:divBdr>
              <w:divsChild>
                <w:div w:id="881790180">
                  <w:marLeft w:val="0"/>
                  <w:marRight w:val="0"/>
                  <w:marTop w:val="0"/>
                  <w:marBottom w:val="0"/>
                  <w:divBdr>
                    <w:top w:val="none" w:sz="0" w:space="0" w:color="auto"/>
                    <w:left w:val="none" w:sz="0" w:space="0" w:color="auto"/>
                    <w:bottom w:val="none" w:sz="0" w:space="0" w:color="auto"/>
                    <w:right w:val="none" w:sz="0" w:space="0" w:color="auto"/>
                  </w:divBdr>
                </w:div>
              </w:divsChild>
            </w:div>
            <w:div w:id="1204707497">
              <w:marLeft w:val="0"/>
              <w:marRight w:val="0"/>
              <w:marTop w:val="0"/>
              <w:marBottom w:val="0"/>
              <w:divBdr>
                <w:top w:val="none" w:sz="0" w:space="0" w:color="auto"/>
                <w:left w:val="none" w:sz="0" w:space="0" w:color="auto"/>
                <w:bottom w:val="none" w:sz="0" w:space="0" w:color="auto"/>
                <w:right w:val="none" w:sz="0" w:space="0" w:color="auto"/>
              </w:divBdr>
            </w:div>
          </w:divsChild>
        </w:div>
        <w:div w:id="1003817232">
          <w:marLeft w:val="0"/>
          <w:marRight w:val="0"/>
          <w:marTop w:val="0"/>
          <w:marBottom w:val="0"/>
          <w:divBdr>
            <w:top w:val="none" w:sz="0" w:space="0" w:color="auto"/>
            <w:left w:val="none" w:sz="0" w:space="0" w:color="auto"/>
            <w:bottom w:val="none" w:sz="0" w:space="0" w:color="auto"/>
            <w:right w:val="none" w:sz="0" w:space="0" w:color="auto"/>
          </w:divBdr>
          <w:divsChild>
            <w:div w:id="62263882">
              <w:marLeft w:val="0"/>
              <w:marRight w:val="0"/>
              <w:marTop w:val="0"/>
              <w:marBottom w:val="0"/>
              <w:divBdr>
                <w:top w:val="none" w:sz="0" w:space="0" w:color="auto"/>
                <w:left w:val="none" w:sz="0" w:space="0" w:color="auto"/>
                <w:bottom w:val="none" w:sz="0" w:space="0" w:color="auto"/>
                <w:right w:val="none" w:sz="0" w:space="0" w:color="auto"/>
              </w:divBdr>
              <w:divsChild>
                <w:div w:id="205916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5105">
          <w:marLeft w:val="0"/>
          <w:marRight w:val="0"/>
          <w:marTop w:val="0"/>
          <w:marBottom w:val="0"/>
          <w:divBdr>
            <w:top w:val="none" w:sz="0" w:space="0" w:color="auto"/>
            <w:left w:val="none" w:sz="0" w:space="0" w:color="auto"/>
            <w:bottom w:val="none" w:sz="0" w:space="0" w:color="auto"/>
            <w:right w:val="none" w:sz="0" w:space="0" w:color="auto"/>
          </w:divBdr>
          <w:divsChild>
            <w:div w:id="1763140065">
              <w:marLeft w:val="0"/>
              <w:marRight w:val="0"/>
              <w:marTop w:val="0"/>
              <w:marBottom w:val="0"/>
              <w:divBdr>
                <w:top w:val="none" w:sz="0" w:space="0" w:color="auto"/>
                <w:left w:val="none" w:sz="0" w:space="0" w:color="auto"/>
                <w:bottom w:val="none" w:sz="0" w:space="0" w:color="auto"/>
                <w:right w:val="none" w:sz="0" w:space="0" w:color="auto"/>
              </w:divBdr>
              <w:divsChild>
                <w:div w:id="7572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431">
          <w:marLeft w:val="0"/>
          <w:marRight w:val="0"/>
          <w:marTop w:val="0"/>
          <w:marBottom w:val="0"/>
          <w:divBdr>
            <w:top w:val="none" w:sz="0" w:space="0" w:color="auto"/>
            <w:left w:val="none" w:sz="0" w:space="0" w:color="auto"/>
            <w:bottom w:val="none" w:sz="0" w:space="0" w:color="auto"/>
            <w:right w:val="none" w:sz="0" w:space="0" w:color="auto"/>
          </w:divBdr>
          <w:divsChild>
            <w:div w:id="1548377438">
              <w:marLeft w:val="0"/>
              <w:marRight w:val="0"/>
              <w:marTop w:val="0"/>
              <w:marBottom w:val="0"/>
              <w:divBdr>
                <w:top w:val="none" w:sz="0" w:space="0" w:color="auto"/>
                <w:left w:val="none" w:sz="0" w:space="0" w:color="auto"/>
                <w:bottom w:val="none" w:sz="0" w:space="0" w:color="auto"/>
                <w:right w:val="none" w:sz="0" w:space="0" w:color="auto"/>
              </w:divBdr>
              <w:divsChild>
                <w:div w:id="167275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74801">
          <w:marLeft w:val="0"/>
          <w:marRight w:val="0"/>
          <w:marTop w:val="0"/>
          <w:marBottom w:val="0"/>
          <w:divBdr>
            <w:top w:val="none" w:sz="0" w:space="0" w:color="auto"/>
            <w:left w:val="none" w:sz="0" w:space="0" w:color="auto"/>
            <w:bottom w:val="none" w:sz="0" w:space="0" w:color="auto"/>
            <w:right w:val="none" w:sz="0" w:space="0" w:color="auto"/>
          </w:divBdr>
          <w:divsChild>
            <w:div w:id="2075352536">
              <w:marLeft w:val="0"/>
              <w:marRight w:val="0"/>
              <w:marTop w:val="0"/>
              <w:marBottom w:val="0"/>
              <w:divBdr>
                <w:top w:val="none" w:sz="0" w:space="0" w:color="auto"/>
                <w:left w:val="none" w:sz="0" w:space="0" w:color="auto"/>
                <w:bottom w:val="none" w:sz="0" w:space="0" w:color="auto"/>
                <w:right w:val="none" w:sz="0" w:space="0" w:color="auto"/>
              </w:divBdr>
              <w:divsChild>
                <w:div w:id="1046375221">
                  <w:marLeft w:val="0"/>
                  <w:marRight w:val="0"/>
                  <w:marTop w:val="0"/>
                  <w:marBottom w:val="0"/>
                  <w:divBdr>
                    <w:top w:val="none" w:sz="0" w:space="0" w:color="auto"/>
                    <w:left w:val="none" w:sz="0" w:space="0" w:color="auto"/>
                    <w:bottom w:val="none" w:sz="0" w:space="0" w:color="auto"/>
                    <w:right w:val="none" w:sz="0" w:space="0" w:color="auto"/>
                  </w:divBdr>
                </w:div>
              </w:divsChild>
            </w:div>
            <w:div w:id="11620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59633">
      <w:bodyDiv w:val="1"/>
      <w:marLeft w:val="0"/>
      <w:marRight w:val="0"/>
      <w:marTop w:val="0"/>
      <w:marBottom w:val="0"/>
      <w:divBdr>
        <w:top w:val="none" w:sz="0" w:space="0" w:color="auto"/>
        <w:left w:val="none" w:sz="0" w:space="0" w:color="auto"/>
        <w:bottom w:val="none" w:sz="0" w:space="0" w:color="auto"/>
        <w:right w:val="none" w:sz="0" w:space="0" w:color="auto"/>
      </w:divBdr>
      <w:divsChild>
        <w:div w:id="128284333">
          <w:marLeft w:val="0"/>
          <w:marRight w:val="0"/>
          <w:marTop w:val="0"/>
          <w:marBottom w:val="0"/>
          <w:divBdr>
            <w:top w:val="none" w:sz="0" w:space="0" w:color="auto"/>
            <w:left w:val="none" w:sz="0" w:space="0" w:color="auto"/>
            <w:bottom w:val="none" w:sz="0" w:space="0" w:color="auto"/>
            <w:right w:val="none" w:sz="0" w:space="0" w:color="auto"/>
          </w:divBdr>
          <w:divsChild>
            <w:div w:id="742022628">
              <w:marLeft w:val="0"/>
              <w:marRight w:val="0"/>
              <w:marTop w:val="0"/>
              <w:marBottom w:val="0"/>
              <w:divBdr>
                <w:top w:val="none" w:sz="0" w:space="0" w:color="auto"/>
                <w:left w:val="none" w:sz="0" w:space="0" w:color="auto"/>
                <w:bottom w:val="none" w:sz="0" w:space="0" w:color="auto"/>
                <w:right w:val="none" w:sz="0" w:space="0" w:color="auto"/>
              </w:divBdr>
            </w:div>
          </w:divsChild>
        </w:div>
        <w:div w:id="2125153069">
          <w:marLeft w:val="0"/>
          <w:marRight w:val="0"/>
          <w:marTop w:val="0"/>
          <w:marBottom w:val="0"/>
          <w:divBdr>
            <w:top w:val="none" w:sz="0" w:space="0" w:color="auto"/>
            <w:left w:val="none" w:sz="0" w:space="0" w:color="auto"/>
            <w:bottom w:val="none" w:sz="0" w:space="0" w:color="auto"/>
            <w:right w:val="none" w:sz="0" w:space="0" w:color="auto"/>
          </w:divBdr>
          <w:divsChild>
            <w:div w:id="1752773853">
              <w:marLeft w:val="0"/>
              <w:marRight w:val="0"/>
              <w:marTop w:val="0"/>
              <w:marBottom w:val="0"/>
              <w:divBdr>
                <w:top w:val="none" w:sz="0" w:space="0" w:color="auto"/>
                <w:left w:val="none" w:sz="0" w:space="0" w:color="auto"/>
                <w:bottom w:val="none" w:sz="0" w:space="0" w:color="auto"/>
                <w:right w:val="none" w:sz="0" w:space="0" w:color="auto"/>
              </w:divBdr>
              <w:divsChild>
                <w:div w:id="131989990">
                  <w:marLeft w:val="0"/>
                  <w:marRight w:val="0"/>
                  <w:marTop w:val="0"/>
                  <w:marBottom w:val="0"/>
                  <w:divBdr>
                    <w:top w:val="none" w:sz="0" w:space="0" w:color="auto"/>
                    <w:left w:val="none" w:sz="0" w:space="0" w:color="auto"/>
                    <w:bottom w:val="none" w:sz="0" w:space="0" w:color="auto"/>
                    <w:right w:val="none" w:sz="0" w:space="0" w:color="auto"/>
                  </w:divBdr>
                </w:div>
              </w:divsChild>
            </w:div>
            <w:div w:id="332728507">
              <w:marLeft w:val="0"/>
              <w:marRight w:val="0"/>
              <w:marTop w:val="0"/>
              <w:marBottom w:val="0"/>
              <w:divBdr>
                <w:top w:val="none" w:sz="0" w:space="0" w:color="auto"/>
                <w:left w:val="none" w:sz="0" w:space="0" w:color="auto"/>
                <w:bottom w:val="none" w:sz="0" w:space="0" w:color="auto"/>
                <w:right w:val="none" w:sz="0" w:space="0" w:color="auto"/>
              </w:divBdr>
            </w:div>
          </w:divsChild>
        </w:div>
        <w:div w:id="1532457400">
          <w:marLeft w:val="0"/>
          <w:marRight w:val="0"/>
          <w:marTop w:val="0"/>
          <w:marBottom w:val="0"/>
          <w:divBdr>
            <w:top w:val="none" w:sz="0" w:space="0" w:color="auto"/>
            <w:left w:val="none" w:sz="0" w:space="0" w:color="auto"/>
            <w:bottom w:val="none" w:sz="0" w:space="0" w:color="auto"/>
            <w:right w:val="none" w:sz="0" w:space="0" w:color="auto"/>
          </w:divBdr>
          <w:divsChild>
            <w:div w:id="124082036">
              <w:marLeft w:val="0"/>
              <w:marRight w:val="0"/>
              <w:marTop w:val="0"/>
              <w:marBottom w:val="0"/>
              <w:divBdr>
                <w:top w:val="none" w:sz="0" w:space="0" w:color="auto"/>
                <w:left w:val="none" w:sz="0" w:space="0" w:color="auto"/>
                <w:bottom w:val="none" w:sz="0" w:space="0" w:color="auto"/>
                <w:right w:val="none" w:sz="0" w:space="0" w:color="auto"/>
              </w:divBdr>
              <w:divsChild>
                <w:div w:id="649099816">
                  <w:marLeft w:val="0"/>
                  <w:marRight w:val="0"/>
                  <w:marTop w:val="0"/>
                  <w:marBottom w:val="0"/>
                  <w:divBdr>
                    <w:top w:val="none" w:sz="0" w:space="0" w:color="auto"/>
                    <w:left w:val="none" w:sz="0" w:space="0" w:color="auto"/>
                    <w:bottom w:val="none" w:sz="0" w:space="0" w:color="auto"/>
                    <w:right w:val="none" w:sz="0" w:space="0" w:color="auto"/>
                  </w:divBdr>
                </w:div>
              </w:divsChild>
            </w:div>
            <w:div w:id="479619702">
              <w:marLeft w:val="0"/>
              <w:marRight w:val="0"/>
              <w:marTop w:val="0"/>
              <w:marBottom w:val="0"/>
              <w:divBdr>
                <w:top w:val="none" w:sz="0" w:space="0" w:color="auto"/>
                <w:left w:val="none" w:sz="0" w:space="0" w:color="auto"/>
                <w:bottom w:val="none" w:sz="0" w:space="0" w:color="auto"/>
                <w:right w:val="none" w:sz="0" w:space="0" w:color="auto"/>
              </w:divBdr>
            </w:div>
          </w:divsChild>
        </w:div>
        <w:div w:id="1448888666">
          <w:marLeft w:val="0"/>
          <w:marRight w:val="0"/>
          <w:marTop w:val="0"/>
          <w:marBottom w:val="0"/>
          <w:divBdr>
            <w:top w:val="none" w:sz="0" w:space="0" w:color="auto"/>
            <w:left w:val="none" w:sz="0" w:space="0" w:color="auto"/>
            <w:bottom w:val="none" w:sz="0" w:space="0" w:color="auto"/>
            <w:right w:val="none" w:sz="0" w:space="0" w:color="auto"/>
          </w:divBdr>
        </w:div>
        <w:div w:id="653215301">
          <w:marLeft w:val="0"/>
          <w:marRight w:val="0"/>
          <w:marTop w:val="0"/>
          <w:marBottom w:val="0"/>
          <w:divBdr>
            <w:top w:val="none" w:sz="0" w:space="0" w:color="auto"/>
            <w:left w:val="none" w:sz="0" w:space="0" w:color="auto"/>
            <w:bottom w:val="none" w:sz="0" w:space="0" w:color="auto"/>
            <w:right w:val="none" w:sz="0" w:space="0" w:color="auto"/>
          </w:divBdr>
        </w:div>
        <w:div w:id="1562907254">
          <w:marLeft w:val="0"/>
          <w:marRight w:val="0"/>
          <w:marTop w:val="0"/>
          <w:marBottom w:val="0"/>
          <w:divBdr>
            <w:top w:val="none" w:sz="0" w:space="0" w:color="auto"/>
            <w:left w:val="none" w:sz="0" w:space="0" w:color="auto"/>
            <w:bottom w:val="none" w:sz="0" w:space="0" w:color="auto"/>
            <w:right w:val="none" w:sz="0" w:space="0" w:color="auto"/>
          </w:divBdr>
          <w:divsChild>
            <w:div w:id="941380903">
              <w:marLeft w:val="0"/>
              <w:marRight w:val="0"/>
              <w:marTop w:val="0"/>
              <w:marBottom w:val="0"/>
              <w:divBdr>
                <w:top w:val="none" w:sz="0" w:space="0" w:color="auto"/>
                <w:left w:val="none" w:sz="0" w:space="0" w:color="auto"/>
                <w:bottom w:val="none" w:sz="0" w:space="0" w:color="auto"/>
                <w:right w:val="none" w:sz="0" w:space="0" w:color="auto"/>
              </w:divBdr>
              <w:divsChild>
                <w:div w:id="1523401284">
                  <w:marLeft w:val="0"/>
                  <w:marRight w:val="0"/>
                  <w:marTop w:val="0"/>
                  <w:marBottom w:val="0"/>
                  <w:divBdr>
                    <w:top w:val="none" w:sz="0" w:space="0" w:color="auto"/>
                    <w:left w:val="none" w:sz="0" w:space="0" w:color="auto"/>
                    <w:bottom w:val="none" w:sz="0" w:space="0" w:color="auto"/>
                    <w:right w:val="none" w:sz="0" w:space="0" w:color="auto"/>
                  </w:divBdr>
                  <w:divsChild>
                    <w:div w:id="1399785925">
                      <w:marLeft w:val="0"/>
                      <w:marRight w:val="0"/>
                      <w:marTop w:val="0"/>
                      <w:marBottom w:val="0"/>
                      <w:divBdr>
                        <w:top w:val="none" w:sz="0" w:space="0" w:color="auto"/>
                        <w:left w:val="none" w:sz="0" w:space="0" w:color="auto"/>
                        <w:bottom w:val="none" w:sz="0" w:space="0" w:color="auto"/>
                        <w:right w:val="none" w:sz="0" w:space="0" w:color="auto"/>
                      </w:divBdr>
                    </w:div>
                    <w:div w:id="1258633911">
                      <w:marLeft w:val="0"/>
                      <w:marRight w:val="0"/>
                      <w:marTop w:val="0"/>
                      <w:marBottom w:val="0"/>
                      <w:divBdr>
                        <w:top w:val="none" w:sz="0" w:space="0" w:color="auto"/>
                        <w:left w:val="none" w:sz="0" w:space="0" w:color="auto"/>
                        <w:bottom w:val="none" w:sz="0" w:space="0" w:color="auto"/>
                        <w:right w:val="none" w:sz="0" w:space="0" w:color="auto"/>
                      </w:divBdr>
                    </w:div>
                    <w:div w:id="46832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338985">
          <w:marLeft w:val="0"/>
          <w:marRight w:val="0"/>
          <w:marTop w:val="0"/>
          <w:marBottom w:val="0"/>
          <w:divBdr>
            <w:top w:val="none" w:sz="0" w:space="0" w:color="auto"/>
            <w:left w:val="none" w:sz="0" w:space="0" w:color="auto"/>
            <w:bottom w:val="none" w:sz="0" w:space="0" w:color="auto"/>
            <w:right w:val="none" w:sz="0" w:space="0" w:color="auto"/>
          </w:divBdr>
          <w:divsChild>
            <w:div w:id="903879140">
              <w:marLeft w:val="0"/>
              <w:marRight w:val="0"/>
              <w:marTop w:val="0"/>
              <w:marBottom w:val="0"/>
              <w:divBdr>
                <w:top w:val="none" w:sz="0" w:space="0" w:color="auto"/>
                <w:left w:val="none" w:sz="0" w:space="0" w:color="auto"/>
                <w:bottom w:val="none" w:sz="0" w:space="0" w:color="auto"/>
                <w:right w:val="none" w:sz="0" w:space="0" w:color="auto"/>
              </w:divBdr>
              <w:divsChild>
                <w:div w:id="14120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0041">
          <w:marLeft w:val="0"/>
          <w:marRight w:val="0"/>
          <w:marTop w:val="0"/>
          <w:marBottom w:val="0"/>
          <w:divBdr>
            <w:top w:val="none" w:sz="0" w:space="0" w:color="auto"/>
            <w:left w:val="none" w:sz="0" w:space="0" w:color="auto"/>
            <w:bottom w:val="none" w:sz="0" w:space="0" w:color="auto"/>
            <w:right w:val="none" w:sz="0" w:space="0" w:color="auto"/>
          </w:divBdr>
          <w:divsChild>
            <w:div w:id="1883663314">
              <w:marLeft w:val="0"/>
              <w:marRight w:val="0"/>
              <w:marTop w:val="0"/>
              <w:marBottom w:val="0"/>
              <w:divBdr>
                <w:top w:val="none" w:sz="0" w:space="0" w:color="auto"/>
                <w:left w:val="none" w:sz="0" w:space="0" w:color="auto"/>
                <w:bottom w:val="none" w:sz="0" w:space="0" w:color="auto"/>
                <w:right w:val="none" w:sz="0" w:space="0" w:color="auto"/>
              </w:divBdr>
              <w:divsChild>
                <w:div w:id="10063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7295">
          <w:marLeft w:val="0"/>
          <w:marRight w:val="0"/>
          <w:marTop w:val="0"/>
          <w:marBottom w:val="0"/>
          <w:divBdr>
            <w:top w:val="none" w:sz="0" w:space="0" w:color="auto"/>
            <w:left w:val="none" w:sz="0" w:space="0" w:color="auto"/>
            <w:bottom w:val="none" w:sz="0" w:space="0" w:color="auto"/>
            <w:right w:val="none" w:sz="0" w:space="0" w:color="auto"/>
          </w:divBdr>
          <w:divsChild>
            <w:div w:id="2067096462">
              <w:marLeft w:val="0"/>
              <w:marRight w:val="0"/>
              <w:marTop w:val="0"/>
              <w:marBottom w:val="0"/>
              <w:divBdr>
                <w:top w:val="none" w:sz="0" w:space="0" w:color="auto"/>
                <w:left w:val="none" w:sz="0" w:space="0" w:color="auto"/>
                <w:bottom w:val="none" w:sz="0" w:space="0" w:color="auto"/>
                <w:right w:val="none" w:sz="0" w:space="0" w:color="auto"/>
              </w:divBdr>
              <w:divsChild>
                <w:div w:id="86024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60497">
          <w:marLeft w:val="0"/>
          <w:marRight w:val="0"/>
          <w:marTop w:val="0"/>
          <w:marBottom w:val="0"/>
          <w:divBdr>
            <w:top w:val="none" w:sz="0" w:space="0" w:color="auto"/>
            <w:left w:val="none" w:sz="0" w:space="0" w:color="auto"/>
            <w:bottom w:val="none" w:sz="0" w:space="0" w:color="auto"/>
            <w:right w:val="none" w:sz="0" w:space="0" w:color="auto"/>
          </w:divBdr>
          <w:divsChild>
            <w:div w:id="1987078752">
              <w:marLeft w:val="0"/>
              <w:marRight w:val="0"/>
              <w:marTop w:val="0"/>
              <w:marBottom w:val="0"/>
              <w:divBdr>
                <w:top w:val="none" w:sz="0" w:space="0" w:color="auto"/>
                <w:left w:val="none" w:sz="0" w:space="0" w:color="auto"/>
                <w:bottom w:val="none" w:sz="0" w:space="0" w:color="auto"/>
                <w:right w:val="none" w:sz="0" w:space="0" w:color="auto"/>
              </w:divBdr>
              <w:divsChild>
                <w:div w:id="147733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97736">
          <w:marLeft w:val="0"/>
          <w:marRight w:val="0"/>
          <w:marTop w:val="0"/>
          <w:marBottom w:val="0"/>
          <w:divBdr>
            <w:top w:val="none" w:sz="0" w:space="0" w:color="auto"/>
            <w:left w:val="none" w:sz="0" w:space="0" w:color="auto"/>
            <w:bottom w:val="none" w:sz="0" w:space="0" w:color="auto"/>
            <w:right w:val="none" w:sz="0" w:space="0" w:color="auto"/>
          </w:divBdr>
          <w:divsChild>
            <w:div w:id="1328750913">
              <w:marLeft w:val="0"/>
              <w:marRight w:val="0"/>
              <w:marTop w:val="0"/>
              <w:marBottom w:val="0"/>
              <w:divBdr>
                <w:top w:val="none" w:sz="0" w:space="0" w:color="auto"/>
                <w:left w:val="none" w:sz="0" w:space="0" w:color="auto"/>
                <w:bottom w:val="none" w:sz="0" w:space="0" w:color="auto"/>
                <w:right w:val="none" w:sz="0" w:space="0" w:color="auto"/>
              </w:divBdr>
              <w:divsChild>
                <w:div w:id="203149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32179">
          <w:marLeft w:val="0"/>
          <w:marRight w:val="0"/>
          <w:marTop w:val="0"/>
          <w:marBottom w:val="0"/>
          <w:divBdr>
            <w:top w:val="none" w:sz="0" w:space="0" w:color="auto"/>
            <w:left w:val="none" w:sz="0" w:space="0" w:color="auto"/>
            <w:bottom w:val="none" w:sz="0" w:space="0" w:color="auto"/>
            <w:right w:val="none" w:sz="0" w:space="0" w:color="auto"/>
          </w:divBdr>
        </w:div>
        <w:div w:id="1617757394">
          <w:marLeft w:val="0"/>
          <w:marRight w:val="0"/>
          <w:marTop w:val="0"/>
          <w:marBottom w:val="0"/>
          <w:divBdr>
            <w:top w:val="none" w:sz="0" w:space="0" w:color="auto"/>
            <w:left w:val="none" w:sz="0" w:space="0" w:color="auto"/>
            <w:bottom w:val="none" w:sz="0" w:space="0" w:color="auto"/>
            <w:right w:val="none" w:sz="0" w:space="0" w:color="auto"/>
          </w:divBdr>
          <w:divsChild>
            <w:div w:id="1899709304">
              <w:marLeft w:val="0"/>
              <w:marRight w:val="0"/>
              <w:marTop w:val="0"/>
              <w:marBottom w:val="0"/>
              <w:divBdr>
                <w:top w:val="none" w:sz="0" w:space="0" w:color="auto"/>
                <w:left w:val="none" w:sz="0" w:space="0" w:color="auto"/>
                <w:bottom w:val="none" w:sz="0" w:space="0" w:color="auto"/>
                <w:right w:val="none" w:sz="0" w:space="0" w:color="auto"/>
              </w:divBdr>
              <w:divsChild>
                <w:div w:id="140962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7047">
          <w:marLeft w:val="0"/>
          <w:marRight w:val="0"/>
          <w:marTop w:val="0"/>
          <w:marBottom w:val="0"/>
          <w:divBdr>
            <w:top w:val="none" w:sz="0" w:space="0" w:color="auto"/>
            <w:left w:val="none" w:sz="0" w:space="0" w:color="auto"/>
            <w:bottom w:val="none" w:sz="0" w:space="0" w:color="auto"/>
            <w:right w:val="none" w:sz="0" w:space="0" w:color="auto"/>
          </w:divBdr>
          <w:divsChild>
            <w:div w:id="1010987269">
              <w:marLeft w:val="0"/>
              <w:marRight w:val="0"/>
              <w:marTop w:val="0"/>
              <w:marBottom w:val="0"/>
              <w:divBdr>
                <w:top w:val="none" w:sz="0" w:space="0" w:color="auto"/>
                <w:left w:val="none" w:sz="0" w:space="0" w:color="auto"/>
                <w:bottom w:val="none" w:sz="0" w:space="0" w:color="auto"/>
                <w:right w:val="none" w:sz="0" w:space="0" w:color="auto"/>
              </w:divBdr>
              <w:divsChild>
                <w:div w:id="197054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66113">
          <w:marLeft w:val="0"/>
          <w:marRight w:val="0"/>
          <w:marTop w:val="0"/>
          <w:marBottom w:val="0"/>
          <w:divBdr>
            <w:top w:val="none" w:sz="0" w:space="0" w:color="auto"/>
            <w:left w:val="none" w:sz="0" w:space="0" w:color="auto"/>
            <w:bottom w:val="none" w:sz="0" w:space="0" w:color="auto"/>
            <w:right w:val="none" w:sz="0" w:space="0" w:color="auto"/>
          </w:divBdr>
          <w:divsChild>
            <w:div w:id="1631477854">
              <w:marLeft w:val="0"/>
              <w:marRight w:val="0"/>
              <w:marTop w:val="0"/>
              <w:marBottom w:val="0"/>
              <w:divBdr>
                <w:top w:val="none" w:sz="0" w:space="0" w:color="auto"/>
                <w:left w:val="none" w:sz="0" w:space="0" w:color="auto"/>
                <w:bottom w:val="none" w:sz="0" w:space="0" w:color="auto"/>
                <w:right w:val="none" w:sz="0" w:space="0" w:color="auto"/>
              </w:divBdr>
              <w:divsChild>
                <w:div w:id="208154433">
                  <w:marLeft w:val="0"/>
                  <w:marRight w:val="0"/>
                  <w:marTop w:val="0"/>
                  <w:marBottom w:val="0"/>
                  <w:divBdr>
                    <w:top w:val="none" w:sz="0" w:space="0" w:color="auto"/>
                    <w:left w:val="none" w:sz="0" w:space="0" w:color="auto"/>
                    <w:bottom w:val="none" w:sz="0" w:space="0" w:color="auto"/>
                    <w:right w:val="none" w:sz="0" w:space="0" w:color="auto"/>
                  </w:divBdr>
                </w:div>
              </w:divsChild>
            </w:div>
            <w:div w:id="554438593">
              <w:marLeft w:val="0"/>
              <w:marRight w:val="0"/>
              <w:marTop w:val="0"/>
              <w:marBottom w:val="0"/>
              <w:divBdr>
                <w:top w:val="none" w:sz="0" w:space="0" w:color="auto"/>
                <w:left w:val="none" w:sz="0" w:space="0" w:color="auto"/>
                <w:bottom w:val="none" w:sz="0" w:space="0" w:color="auto"/>
                <w:right w:val="none" w:sz="0" w:space="0" w:color="auto"/>
              </w:divBdr>
            </w:div>
          </w:divsChild>
        </w:div>
        <w:div w:id="1456634354">
          <w:marLeft w:val="0"/>
          <w:marRight w:val="0"/>
          <w:marTop w:val="0"/>
          <w:marBottom w:val="0"/>
          <w:divBdr>
            <w:top w:val="none" w:sz="0" w:space="0" w:color="auto"/>
            <w:left w:val="none" w:sz="0" w:space="0" w:color="auto"/>
            <w:bottom w:val="none" w:sz="0" w:space="0" w:color="auto"/>
            <w:right w:val="none" w:sz="0" w:space="0" w:color="auto"/>
          </w:divBdr>
        </w:div>
        <w:div w:id="766340839">
          <w:marLeft w:val="0"/>
          <w:marRight w:val="0"/>
          <w:marTop w:val="0"/>
          <w:marBottom w:val="0"/>
          <w:divBdr>
            <w:top w:val="none" w:sz="0" w:space="0" w:color="auto"/>
            <w:left w:val="none" w:sz="0" w:space="0" w:color="auto"/>
            <w:bottom w:val="none" w:sz="0" w:space="0" w:color="auto"/>
            <w:right w:val="none" w:sz="0" w:space="0" w:color="auto"/>
          </w:divBdr>
          <w:divsChild>
            <w:div w:id="485509383">
              <w:marLeft w:val="0"/>
              <w:marRight w:val="0"/>
              <w:marTop w:val="0"/>
              <w:marBottom w:val="0"/>
              <w:divBdr>
                <w:top w:val="none" w:sz="0" w:space="0" w:color="auto"/>
                <w:left w:val="none" w:sz="0" w:space="0" w:color="auto"/>
                <w:bottom w:val="none" w:sz="0" w:space="0" w:color="auto"/>
                <w:right w:val="none" w:sz="0" w:space="0" w:color="auto"/>
              </w:divBdr>
              <w:divsChild>
                <w:div w:id="192233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88798">
          <w:marLeft w:val="0"/>
          <w:marRight w:val="0"/>
          <w:marTop w:val="0"/>
          <w:marBottom w:val="0"/>
          <w:divBdr>
            <w:top w:val="none" w:sz="0" w:space="0" w:color="auto"/>
            <w:left w:val="none" w:sz="0" w:space="0" w:color="auto"/>
            <w:bottom w:val="none" w:sz="0" w:space="0" w:color="auto"/>
            <w:right w:val="none" w:sz="0" w:space="0" w:color="auto"/>
          </w:divBdr>
          <w:divsChild>
            <w:div w:id="1377199498">
              <w:marLeft w:val="0"/>
              <w:marRight w:val="0"/>
              <w:marTop w:val="0"/>
              <w:marBottom w:val="0"/>
              <w:divBdr>
                <w:top w:val="none" w:sz="0" w:space="0" w:color="auto"/>
                <w:left w:val="none" w:sz="0" w:space="0" w:color="auto"/>
                <w:bottom w:val="none" w:sz="0" w:space="0" w:color="auto"/>
                <w:right w:val="none" w:sz="0" w:space="0" w:color="auto"/>
              </w:divBdr>
              <w:divsChild>
                <w:div w:id="1114324071">
                  <w:marLeft w:val="0"/>
                  <w:marRight w:val="0"/>
                  <w:marTop w:val="0"/>
                  <w:marBottom w:val="0"/>
                  <w:divBdr>
                    <w:top w:val="none" w:sz="0" w:space="0" w:color="auto"/>
                    <w:left w:val="none" w:sz="0" w:space="0" w:color="auto"/>
                    <w:bottom w:val="none" w:sz="0" w:space="0" w:color="auto"/>
                    <w:right w:val="none" w:sz="0" w:space="0" w:color="auto"/>
                  </w:divBdr>
                </w:div>
              </w:divsChild>
            </w:div>
            <w:div w:id="2013023200">
              <w:marLeft w:val="0"/>
              <w:marRight w:val="0"/>
              <w:marTop w:val="0"/>
              <w:marBottom w:val="0"/>
              <w:divBdr>
                <w:top w:val="none" w:sz="0" w:space="0" w:color="auto"/>
                <w:left w:val="none" w:sz="0" w:space="0" w:color="auto"/>
                <w:bottom w:val="none" w:sz="0" w:space="0" w:color="auto"/>
                <w:right w:val="none" w:sz="0" w:space="0" w:color="auto"/>
              </w:divBdr>
            </w:div>
          </w:divsChild>
        </w:div>
        <w:div w:id="1746106367">
          <w:marLeft w:val="0"/>
          <w:marRight w:val="0"/>
          <w:marTop w:val="0"/>
          <w:marBottom w:val="0"/>
          <w:divBdr>
            <w:top w:val="none" w:sz="0" w:space="0" w:color="auto"/>
            <w:left w:val="none" w:sz="0" w:space="0" w:color="auto"/>
            <w:bottom w:val="none" w:sz="0" w:space="0" w:color="auto"/>
            <w:right w:val="none" w:sz="0" w:space="0" w:color="auto"/>
          </w:divBdr>
          <w:divsChild>
            <w:div w:id="352271625">
              <w:marLeft w:val="0"/>
              <w:marRight w:val="0"/>
              <w:marTop w:val="0"/>
              <w:marBottom w:val="0"/>
              <w:divBdr>
                <w:top w:val="none" w:sz="0" w:space="0" w:color="auto"/>
                <w:left w:val="none" w:sz="0" w:space="0" w:color="auto"/>
                <w:bottom w:val="none" w:sz="0" w:space="0" w:color="auto"/>
                <w:right w:val="none" w:sz="0" w:space="0" w:color="auto"/>
              </w:divBdr>
              <w:divsChild>
                <w:div w:id="546841756">
                  <w:marLeft w:val="0"/>
                  <w:marRight w:val="0"/>
                  <w:marTop w:val="0"/>
                  <w:marBottom w:val="0"/>
                  <w:divBdr>
                    <w:top w:val="none" w:sz="0" w:space="0" w:color="auto"/>
                    <w:left w:val="none" w:sz="0" w:space="0" w:color="auto"/>
                    <w:bottom w:val="none" w:sz="0" w:space="0" w:color="auto"/>
                    <w:right w:val="none" w:sz="0" w:space="0" w:color="auto"/>
                  </w:divBdr>
                </w:div>
              </w:divsChild>
            </w:div>
            <w:div w:id="330333599">
              <w:marLeft w:val="0"/>
              <w:marRight w:val="0"/>
              <w:marTop w:val="0"/>
              <w:marBottom w:val="0"/>
              <w:divBdr>
                <w:top w:val="none" w:sz="0" w:space="0" w:color="auto"/>
                <w:left w:val="none" w:sz="0" w:space="0" w:color="auto"/>
                <w:bottom w:val="none" w:sz="0" w:space="0" w:color="auto"/>
                <w:right w:val="none" w:sz="0" w:space="0" w:color="auto"/>
              </w:divBdr>
            </w:div>
          </w:divsChild>
        </w:div>
        <w:div w:id="1909026345">
          <w:marLeft w:val="0"/>
          <w:marRight w:val="0"/>
          <w:marTop w:val="0"/>
          <w:marBottom w:val="0"/>
          <w:divBdr>
            <w:top w:val="none" w:sz="0" w:space="0" w:color="auto"/>
            <w:left w:val="none" w:sz="0" w:space="0" w:color="auto"/>
            <w:bottom w:val="none" w:sz="0" w:space="0" w:color="auto"/>
            <w:right w:val="none" w:sz="0" w:space="0" w:color="auto"/>
          </w:divBdr>
          <w:divsChild>
            <w:div w:id="532426321">
              <w:marLeft w:val="0"/>
              <w:marRight w:val="0"/>
              <w:marTop w:val="0"/>
              <w:marBottom w:val="0"/>
              <w:divBdr>
                <w:top w:val="none" w:sz="0" w:space="0" w:color="auto"/>
                <w:left w:val="none" w:sz="0" w:space="0" w:color="auto"/>
                <w:bottom w:val="none" w:sz="0" w:space="0" w:color="auto"/>
                <w:right w:val="none" w:sz="0" w:space="0" w:color="auto"/>
              </w:divBdr>
              <w:divsChild>
                <w:div w:id="2729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0139">
          <w:marLeft w:val="0"/>
          <w:marRight w:val="0"/>
          <w:marTop w:val="0"/>
          <w:marBottom w:val="0"/>
          <w:divBdr>
            <w:top w:val="none" w:sz="0" w:space="0" w:color="auto"/>
            <w:left w:val="none" w:sz="0" w:space="0" w:color="auto"/>
            <w:bottom w:val="none" w:sz="0" w:space="0" w:color="auto"/>
            <w:right w:val="none" w:sz="0" w:space="0" w:color="auto"/>
          </w:divBdr>
          <w:divsChild>
            <w:div w:id="718869711">
              <w:marLeft w:val="0"/>
              <w:marRight w:val="0"/>
              <w:marTop w:val="0"/>
              <w:marBottom w:val="0"/>
              <w:divBdr>
                <w:top w:val="none" w:sz="0" w:space="0" w:color="auto"/>
                <w:left w:val="none" w:sz="0" w:space="0" w:color="auto"/>
                <w:bottom w:val="none" w:sz="0" w:space="0" w:color="auto"/>
                <w:right w:val="none" w:sz="0" w:space="0" w:color="auto"/>
              </w:divBdr>
              <w:divsChild>
                <w:div w:id="8664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10543">
          <w:marLeft w:val="0"/>
          <w:marRight w:val="0"/>
          <w:marTop w:val="0"/>
          <w:marBottom w:val="0"/>
          <w:divBdr>
            <w:top w:val="none" w:sz="0" w:space="0" w:color="auto"/>
            <w:left w:val="none" w:sz="0" w:space="0" w:color="auto"/>
            <w:bottom w:val="none" w:sz="0" w:space="0" w:color="auto"/>
            <w:right w:val="none" w:sz="0" w:space="0" w:color="auto"/>
          </w:divBdr>
          <w:divsChild>
            <w:div w:id="2053263855">
              <w:marLeft w:val="0"/>
              <w:marRight w:val="0"/>
              <w:marTop w:val="0"/>
              <w:marBottom w:val="0"/>
              <w:divBdr>
                <w:top w:val="none" w:sz="0" w:space="0" w:color="auto"/>
                <w:left w:val="none" w:sz="0" w:space="0" w:color="auto"/>
                <w:bottom w:val="none" w:sz="0" w:space="0" w:color="auto"/>
                <w:right w:val="none" w:sz="0" w:space="0" w:color="auto"/>
              </w:divBdr>
              <w:divsChild>
                <w:div w:id="17828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938">
          <w:marLeft w:val="0"/>
          <w:marRight w:val="0"/>
          <w:marTop w:val="0"/>
          <w:marBottom w:val="0"/>
          <w:divBdr>
            <w:top w:val="none" w:sz="0" w:space="0" w:color="auto"/>
            <w:left w:val="none" w:sz="0" w:space="0" w:color="auto"/>
            <w:bottom w:val="none" w:sz="0" w:space="0" w:color="auto"/>
            <w:right w:val="none" w:sz="0" w:space="0" w:color="auto"/>
          </w:divBdr>
          <w:divsChild>
            <w:div w:id="792359215">
              <w:marLeft w:val="0"/>
              <w:marRight w:val="0"/>
              <w:marTop w:val="0"/>
              <w:marBottom w:val="0"/>
              <w:divBdr>
                <w:top w:val="none" w:sz="0" w:space="0" w:color="auto"/>
                <w:left w:val="none" w:sz="0" w:space="0" w:color="auto"/>
                <w:bottom w:val="none" w:sz="0" w:space="0" w:color="auto"/>
                <w:right w:val="none" w:sz="0" w:space="0" w:color="auto"/>
              </w:divBdr>
              <w:divsChild>
                <w:div w:id="130633915">
                  <w:marLeft w:val="0"/>
                  <w:marRight w:val="0"/>
                  <w:marTop w:val="0"/>
                  <w:marBottom w:val="0"/>
                  <w:divBdr>
                    <w:top w:val="none" w:sz="0" w:space="0" w:color="auto"/>
                    <w:left w:val="none" w:sz="0" w:space="0" w:color="auto"/>
                    <w:bottom w:val="none" w:sz="0" w:space="0" w:color="auto"/>
                    <w:right w:val="none" w:sz="0" w:space="0" w:color="auto"/>
                  </w:divBdr>
                </w:div>
              </w:divsChild>
            </w:div>
            <w:div w:id="1178234600">
              <w:marLeft w:val="0"/>
              <w:marRight w:val="0"/>
              <w:marTop w:val="0"/>
              <w:marBottom w:val="0"/>
              <w:divBdr>
                <w:top w:val="none" w:sz="0" w:space="0" w:color="auto"/>
                <w:left w:val="none" w:sz="0" w:space="0" w:color="auto"/>
                <w:bottom w:val="none" w:sz="0" w:space="0" w:color="auto"/>
                <w:right w:val="none" w:sz="0" w:space="0" w:color="auto"/>
              </w:divBdr>
            </w:div>
          </w:divsChild>
        </w:div>
        <w:div w:id="1313870527">
          <w:marLeft w:val="0"/>
          <w:marRight w:val="0"/>
          <w:marTop w:val="0"/>
          <w:marBottom w:val="0"/>
          <w:divBdr>
            <w:top w:val="none" w:sz="0" w:space="0" w:color="auto"/>
            <w:left w:val="none" w:sz="0" w:space="0" w:color="auto"/>
            <w:bottom w:val="none" w:sz="0" w:space="0" w:color="auto"/>
            <w:right w:val="none" w:sz="0" w:space="0" w:color="auto"/>
          </w:divBdr>
        </w:div>
        <w:div w:id="19940051">
          <w:marLeft w:val="0"/>
          <w:marRight w:val="0"/>
          <w:marTop w:val="0"/>
          <w:marBottom w:val="0"/>
          <w:divBdr>
            <w:top w:val="none" w:sz="0" w:space="0" w:color="auto"/>
            <w:left w:val="none" w:sz="0" w:space="0" w:color="auto"/>
            <w:bottom w:val="none" w:sz="0" w:space="0" w:color="auto"/>
            <w:right w:val="none" w:sz="0" w:space="0" w:color="auto"/>
          </w:divBdr>
          <w:divsChild>
            <w:div w:id="458380354">
              <w:marLeft w:val="0"/>
              <w:marRight w:val="0"/>
              <w:marTop w:val="0"/>
              <w:marBottom w:val="0"/>
              <w:divBdr>
                <w:top w:val="none" w:sz="0" w:space="0" w:color="auto"/>
                <w:left w:val="none" w:sz="0" w:space="0" w:color="auto"/>
                <w:bottom w:val="none" w:sz="0" w:space="0" w:color="auto"/>
                <w:right w:val="none" w:sz="0" w:space="0" w:color="auto"/>
              </w:divBdr>
              <w:divsChild>
                <w:div w:id="7153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950">
          <w:marLeft w:val="0"/>
          <w:marRight w:val="0"/>
          <w:marTop w:val="0"/>
          <w:marBottom w:val="0"/>
          <w:divBdr>
            <w:top w:val="none" w:sz="0" w:space="0" w:color="auto"/>
            <w:left w:val="none" w:sz="0" w:space="0" w:color="auto"/>
            <w:bottom w:val="none" w:sz="0" w:space="0" w:color="auto"/>
            <w:right w:val="none" w:sz="0" w:space="0" w:color="auto"/>
          </w:divBdr>
          <w:divsChild>
            <w:div w:id="1279994555">
              <w:marLeft w:val="0"/>
              <w:marRight w:val="0"/>
              <w:marTop w:val="0"/>
              <w:marBottom w:val="0"/>
              <w:divBdr>
                <w:top w:val="none" w:sz="0" w:space="0" w:color="auto"/>
                <w:left w:val="none" w:sz="0" w:space="0" w:color="auto"/>
                <w:bottom w:val="none" w:sz="0" w:space="0" w:color="auto"/>
                <w:right w:val="none" w:sz="0" w:space="0" w:color="auto"/>
              </w:divBdr>
              <w:divsChild>
                <w:div w:id="894312192">
                  <w:marLeft w:val="0"/>
                  <w:marRight w:val="0"/>
                  <w:marTop w:val="0"/>
                  <w:marBottom w:val="0"/>
                  <w:divBdr>
                    <w:top w:val="none" w:sz="0" w:space="0" w:color="auto"/>
                    <w:left w:val="none" w:sz="0" w:space="0" w:color="auto"/>
                    <w:bottom w:val="none" w:sz="0" w:space="0" w:color="auto"/>
                    <w:right w:val="none" w:sz="0" w:space="0" w:color="auto"/>
                  </w:divBdr>
                </w:div>
              </w:divsChild>
            </w:div>
            <w:div w:id="1685471607">
              <w:marLeft w:val="0"/>
              <w:marRight w:val="0"/>
              <w:marTop w:val="0"/>
              <w:marBottom w:val="0"/>
              <w:divBdr>
                <w:top w:val="none" w:sz="0" w:space="0" w:color="auto"/>
                <w:left w:val="none" w:sz="0" w:space="0" w:color="auto"/>
                <w:bottom w:val="none" w:sz="0" w:space="0" w:color="auto"/>
                <w:right w:val="none" w:sz="0" w:space="0" w:color="auto"/>
              </w:divBdr>
            </w:div>
          </w:divsChild>
        </w:div>
        <w:div w:id="1422796822">
          <w:marLeft w:val="0"/>
          <w:marRight w:val="0"/>
          <w:marTop w:val="0"/>
          <w:marBottom w:val="0"/>
          <w:divBdr>
            <w:top w:val="none" w:sz="0" w:space="0" w:color="auto"/>
            <w:left w:val="none" w:sz="0" w:space="0" w:color="auto"/>
            <w:bottom w:val="none" w:sz="0" w:space="0" w:color="auto"/>
            <w:right w:val="none" w:sz="0" w:space="0" w:color="auto"/>
          </w:divBdr>
          <w:divsChild>
            <w:div w:id="656690789">
              <w:marLeft w:val="0"/>
              <w:marRight w:val="0"/>
              <w:marTop w:val="0"/>
              <w:marBottom w:val="0"/>
              <w:divBdr>
                <w:top w:val="none" w:sz="0" w:space="0" w:color="auto"/>
                <w:left w:val="none" w:sz="0" w:space="0" w:color="auto"/>
                <w:bottom w:val="none" w:sz="0" w:space="0" w:color="auto"/>
                <w:right w:val="none" w:sz="0" w:space="0" w:color="auto"/>
              </w:divBdr>
              <w:divsChild>
                <w:div w:id="1139571248">
                  <w:marLeft w:val="0"/>
                  <w:marRight w:val="0"/>
                  <w:marTop w:val="0"/>
                  <w:marBottom w:val="0"/>
                  <w:divBdr>
                    <w:top w:val="none" w:sz="0" w:space="0" w:color="auto"/>
                    <w:left w:val="none" w:sz="0" w:space="0" w:color="auto"/>
                    <w:bottom w:val="none" w:sz="0" w:space="0" w:color="auto"/>
                    <w:right w:val="none" w:sz="0" w:space="0" w:color="auto"/>
                  </w:divBdr>
                </w:div>
              </w:divsChild>
            </w:div>
            <w:div w:id="618799739">
              <w:marLeft w:val="0"/>
              <w:marRight w:val="0"/>
              <w:marTop w:val="0"/>
              <w:marBottom w:val="0"/>
              <w:divBdr>
                <w:top w:val="none" w:sz="0" w:space="0" w:color="auto"/>
                <w:left w:val="none" w:sz="0" w:space="0" w:color="auto"/>
                <w:bottom w:val="none" w:sz="0" w:space="0" w:color="auto"/>
                <w:right w:val="none" w:sz="0" w:space="0" w:color="auto"/>
              </w:divBdr>
            </w:div>
          </w:divsChild>
        </w:div>
        <w:div w:id="1762142926">
          <w:marLeft w:val="0"/>
          <w:marRight w:val="0"/>
          <w:marTop w:val="0"/>
          <w:marBottom w:val="0"/>
          <w:divBdr>
            <w:top w:val="none" w:sz="0" w:space="0" w:color="auto"/>
            <w:left w:val="none" w:sz="0" w:space="0" w:color="auto"/>
            <w:bottom w:val="none" w:sz="0" w:space="0" w:color="auto"/>
            <w:right w:val="none" w:sz="0" w:space="0" w:color="auto"/>
          </w:divBdr>
        </w:div>
        <w:div w:id="1293513240">
          <w:marLeft w:val="0"/>
          <w:marRight w:val="0"/>
          <w:marTop w:val="0"/>
          <w:marBottom w:val="0"/>
          <w:divBdr>
            <w:top w:val="none" w:sz="0" w:space="0" w:color="auto"/>
            <w:left w:val="none" w:sz="0" w:space="0" w:color="auto"/>
            <w:bottom w:val="none" w:sz="0" w:space="0" w:color="auto"/>
            <w:right w:val="none" w:sz="0" w:space="0" w:color="auto"/>
          </w:divBdr>
          <w:divsChild>
            <w:div w:id="1290277965">
              <w:marLeft w:val="0"/>
              <w:marRight w:val="0"/>
              <w:marTop w:val="0"/>
              <w:marBottom w:val="0"/>
              <w:divBdr>
                <w:top w:val="none" w:sz="0" w:space="0" w:color="auto"/>
                <w:left w:val="none" w:sz="0" w:space="0" w:color="auto"/>
                <w:bottom w:val="none" w:sz="0" w:space="0" w:color="auto"/>
                <w:right w:val="none" w:sz="0" w:space="0" w:color="auto"/>
              </w:divBdr>
              <w:divsChild>
                <w:div w:id="7035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64310">
          <w:marLeft w:val="0"/>
          <w:marRight w:val="0"/>
          <w:marTop w:val="0"/>
          <w:marBottom w:val="0"/>
          <w:divBdr>
            <w:top w:val="none" w:sz="0" w:space="0" w:color="auto"/>
            <w:left w:val="none" w:sz="0" w:space="0" w:color="auto"/>
            <w:bottom w:val="none" w:sz="0" w:space="0" w:color="auto"/>
            <w:right w:val="none" w:sz="0" w:space="0" w:color="auto"/>
          </w:divBdr>
          <w:divsChild>
            <w:div w:id="342979583">
              <w:marLeft w:val="0"/>
              <w:marRight w:val="0"/>
              <w:marTop w:val="0"/>
              <w:marBottom w:val="0"/>
              <w:divBdr>
                <w:top w:val="none" w:sz="0" w:space="0" w:color="auto"/>
                <w:left w:val="none" w:sz="0" w:space="0" w:color="auto"/>
                <w:bottom w:val="none" w:sz="0" w:space="0" w:color="auto"/>
                <w:right w:val="none" w:sz="0" w:space="0" w:color="auto"/>
              </w:divBdr>
              <w:divsChild>
                <w:div w:id="1922329892">
                  <w:marLeft w:val="0"/>
                  <w:marRight w:val="0"/>
                  <w:marTop w:val="0"/>
                  <w:marBottom w:val="0"/>
                  <w:divBdr>
                    <w:top w:val="none" w:sz="0" w:space="0" w:color="auto"/>
                    <w:left w:val="none" w:sz="0" w:space="0" w:color="auto"/>
                    <w:bottom w:val="none" w:sz="0" w:space="0" w:color="auto"/>
                    <w:right w:val="none" w:sz="0" w:space="0" w:color="auto"/>
                  </w:divBdr>
                  <w:divsChild>
                    <w:div w:id="1143353540">
                      <w:marLeft w:val="0"/>
                      <w:marRight w:val="0"/>
                      <w:marTop w:val="0"/>
                      <w:marBottom w:val="0"/>
                      <w:divBdr>
                        <w:top w:val="none" w:sz="0" w:space="0" w:color="auto"/>
                        <w:left w:val="none" w:sz="0" w:space="0" w:color="auto"/>
                        <w:bottom w:val="none" w:sz="0" w:space="0" w:color="auto"/>
                        <w:right w:val="none" w:sz="0" w:space="0" w:color="auto"/>
                      </w:divBdr>
                      <w:divsChild>
                        <w:div w:id="1132675919">
                          <w:marLeft w:val="0"/>
                          <w:marRight w:val="0"/>
                          <w:marTop w:val="0"/>
                          <w:marBottom w:val="0"/>
                          <w:divBdr>
                            <w:top w:val="none" w:sz="0" w:space="0" w:color="auto"/>
                            <w:left w:val="none" w:sz="0" w:space="0" w:color="auto"/>
                            <w:bottom w:val="none" w:sz="0" w:space="0" w:color="auto"/>
                            <w:right w:val="none" w:sz="0" w:space="0" w:color="auto"/>
                          </w:divBdr>
                          <w:divsChild>
                            <w:div w:id="3158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6282">
                      <w:marLeft w:val="0"/>
                      <w:marRight w:val="0"/>
                      <w:marTop w:val="0"/>
                      <w:marBottom w:val="0"/>
                      <w:divBdr>
                        <w:top w:val="none" w:sz="0" w:space="0" w:color="auto"/>
                        <w:left w:val="none" w:sz="0" w:space="0" w:color="auto"/>
                        <w:bottom w:val="none" w:sz="0" w:space="0" w:color="auto"/>
                        <w:right w:val="none" w:sz="0" w:space="0" w:color="auto"/>
                      </w:divBdr>
                      <w:divsChild>
                        <w:div w:id="1817842794">
                          <w:marLeft w:val="0"/>
                          <w:marRight w:val="0"/>
                          <w:marTop w:val="0"/>
                          <w:marBottom w:val="0"/>
                          <w:divBdr>
                            <w:top w:val="none" w:sz="0" w:space="0" w:color="auto"/>
                            <w:left w:val="none" w:sz="0" w:space="0" w:color="auto"/>
                            <w:bottom w:val="none" w:sz="0" w:space="0" w:color="auto"/>
                            <w:right w:val="none" w:sz="0" w:space="0" w:color="auto"/>
                          </w:divBdr>
                        </w:div>
                      </w:divsChild>
                    </w:div>
                    <w:div w:id="2048948832">
                      <w:marLeft w:val="0"/>
                      <w:marRight w:val="0"/>
                      <w:marTop w:val="0"/>
                      <w:marBottom w:val="0"/>
                      <w:divBdr>
                        <w:top w:val="none" w:sz="0" w:space="0" w:color="auto"/>
                        <w:left w:val="none" w:sz="0" w:space="0" w:color="auto"/>
                        <w:bottom w:val="none" w:sz="0" w:space="0" w:color="auto"/>
                        <w:right w:val="none" w:sz="0" w:space="0" w:color="auto"/>
                      </w:divBdr>
                      <w:divsChild>
                        <w:div w:id="1978147315">
                          <w:marLeft w:val="0"/>
                          <w:marRight w:val="0"/>
                          <w:marTop w:val="0"/>
                          <w:marBottom w:val="0"/>
                          <w:divBdr>
                            <w:top w:val="none" w:sz="0" w:space="0" w:color="auto"/>
                            <w:left w:val="none" w:sz="0" w:space="0" w:color="auto"/>
                            <w:bottom w:val="none" w:sz="0" w:space="0" w:color="auto"/>
                            <w:right w:val="none" w:sz="0" w:space="0" w:color="auto"/>
                          </w:divBdr>
                        </w:div>
                      </w:divsChild>
                    </w:div>
                    <w:div w:id="2017228635">
                      <w:marLeft w:val="0"/>
                      <w:marRight w:val="0"/>
                      <w:marTop w:val="0"/>
                      <w:marBottom w:val="0"/>
                      <w:divBdr>
                        <w:top w:val="none" w:sz="0" w:space="0" w:color="auto"/>
                        <w:left w:val="none" w:sz="0" w:space="0" w:color="auto"/>
                        <w:bottom w:val="none" w:sz="0" w:space="0" w:color="auto"/>
                        <w:right w:val="none" w:sz="0" w:space="0" w:color="auto"/>
                      </w:divBdr>
                      <w:divsChild>
                        <w:div w:id="1821724417">
                          <w:marLeft w:val="0"/>
                          <w:marRight w:val="0"/>
                          <w:marTop w:val="0"/>
                          <w:marBottom w:val="0"/>
                          <w:divBdr>
                            <w:top w:val="none" w:sz="0" w:space="0" w:color="auto"/>
                            <w:left w:val="none" w:sz="0" w:space="0" w:color="auto"/>
                            <w:bottom w:val="none" w:sz="0" w:space="0" w:color="auto"/>
                            <w:right w:val="none" w:sz="0" w:space="0" w:color="auto"/>
                          </w:divBdr>
                        </w:div>
                      </w:divsChild>
                    </w:div>
                    <w:div w:id="1199472530">
                      <w:marLeft w:val="0"/>
                      <w:marRight w:val="0"/>
                      <w:marTop w:val="0"/>
                      <w:marBottom w:val="0"/>
                      <w:divBdr>
                        <w:top w:val="none" w:sz="0" w:space="0" w:color="auto"/>
                        <w:left w:val="none" w:sz="0" w:space="0" w:color="auto"/>
                        <w:bottom w:val="none" w:sz="0" w:space="0" w:color="auto"/>
                        <w:right w:val="none" w:sz="0" w:space="0" w:color="auto"/>
                      </w:divBdr>
                      <w:divsChild>
                        <w:div w:id="152912949">
                          <w:marLeft w:val="0"/>
                          <w:marRight w:val="0"/>
                          <w:marTop w:val="0"/>
                          <w:marBottom w:val="0"/>
                          <w:divBdr>
                            <w:top w:val="none" w:sz="0" w:space="0" w:color="auto"/>
                            <w:left w:val="none" w:sz="0" w:space="0" w:color="auto"/>
                            <w:bottom w:val="none" w:sz="0" w:space="0" w:color="auto"/>
                            <w:right w:val="none" w:sz="0" w:space="0" w:color="auto"/>
                          </w:divBdr>
                        </w:div>
                      </w:divsChild>
                    </w:div>
                    <w:div w:id="403572853">
                      <w:marLeft w:val="0"/>
                      <w:marRight w:val="0"/>
                      <w:marTop w:val="0"/>
                      <w:marBottom w:val="0"/>
                      <w:divBdr>
                        <w:top w:val="none" w:sz="0" w:space="0" w:color="auto"/>
                        <w:left w:val="none" w:sz="0" w:space="0" w:color="auto"/>
                        <w:bottom w:val="none" w:sz="0" w:space="0" w:color="auto"/>
                        <w:right w:val="none" w:sz="0" w:space="0" w:color="auto"/>
                      </w:divBdr>
                      <w:divsChild>
                        <w:div w:id="109971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439299">
          <w:marLeft w:val="0"/>
          <w:marRight w:val="0"/>
          <w:marTop w:val="0"/>
          <w:marBottom w:val="0"/>
          <w:divBdr>
            <w:top w:val="none" w:sz="0" w:space="0" w:color="auto"/>
            <w:left w:val="none" w:sz="0" w:space="0" w:color="auto"/>
            <w:bottom w:val="none" w:sz="0" w:space="0" w:color="auto"/>
            <w:right w:val="none" w:sz="0" w:space="0" w:color="auto"/>
          </w:divBdr>
          <w:divsChild>
            <w:div w:id="1747266437">
              <w:marLeft w:val="0"/>
              <w:marRight w:val="0"/>
              <w:marTop w:val="0"/>
              <w:marBottom w:val="0"/>
              <w:divBdr>
                <w:top w:val="none" w:sz="0" w:space="0" w:color="auto"/>
                <w:left w:val="none" w:sz="0" w:space="0" w:color="auto"/>
                <w:bottom w:val="none" w:sz="0" w:space="0" w:color="auto"/>
                <w:right w:val="none" w:sz="0" w:space="0" w:color="auto"/>
              </w:divBdr>
              <w:divsChild>
                <w:div w:id="7098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38801">
          <w:marLeft w:val="0"/>
          <w:marRight w:val="0"/>
          <w:marTop w:val="0"/>
          <w:marBottom w:val="0"/>
          <w:divBdr>
            <w:top w:val="none" w:sz="0" w:space="0" w:color="auto"/>
            <w:left w:val="none" w:sz="0" w:space="0" w:color="auto"/>
            <w:bottom w:val="none" w:sz="0" w:space="0" w:color="auto"/>
            <w:right w:val="none" w:sz="0" w:space="0" w:color="auto"/>
          </w:divBdr>
          <w:divsChild>
            <w:div w:id="1514147275">
              <w:marLeft w:val="0"/>
              <w:marRight w:val="0"/>
              <w:marTop w:val="0"/>
              <w:marBottom w:val="0"/>
              <w:divBdr>
                <w:top w:val="none" w:sz="0" w:space="0" w:color="auto"/>
                <w:left w:val="none" w:sz="0" w:space="0" w:color="auto"/>
                <w:bottom w:val="none" w:sz="0" w:space="0" w:color="auto"/>
                <w:right w:val="none" w:sz="0" w:space="0" w:color="auto"/>
              </w:divBdr>
              <w:divsChild>
                <w:div w:id="37266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10391">
          <w:marLeft w:val="0"/>
          <w:marRight w:val="0"/>
          <w:marTop w:val="0"/>
          <w:marBottom w:val="0"/>
          <w:divBdr>
            <w:top w:val="none" w:sz="0" w:space="0" w:color="auto"/>
            <w:left w:val="none" w:sz="0" w:space="0" w:color="auto"/>
            <w:bottom w:val="none" w:sz="0" w:space="0" w:color="auto"/>
            <w:right w:val="none" w:sz="0" w:space="0" w:color="auto"/>
          </w:divBdr>
          <w:divsChild>
            <w:div w:id="552161969">
              <w:marLeft w:val="0"/>
              <w:marRight w:val="0"/>
              <w:marTop w:val="0"/>
              <w:marBottom w:val="0"/>
              <w:divBdr>
                <w:top w:val="none" w:sz="0" w:space="0" w:color="auto"/>
                <w:left w:val="none" w:sz="0" w:space="0" w:color="auto"/>
                <w:bottom w:val="none" w:sz="0" w:space="0" w:color="auto"/>
                <w:right w:val="none" w:sz="0" w:space="0" w:color="auto"/>
              </w:divBdr>
              <w:divsChild>
                <w:div w:id="147213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5045">
          <w:marLeft w:val="0"/>
          <w:marRight w:val="0"/>
          <w:marTop w:val="0"/>
          <w:marBottom w:val="0"/>
          <w:divBdr>
            <w:top w:val="none" w:sz="0" w:space="0" w:color="auto"/>
            <w:left w:val="none" w:sz="0" w:space="0" w:color="auto"/>
            <w:bottom w:val="none" w:sz="0" w:space="0" w:color="auto"/>
            <w:right w:val="none" w:sz="0" w:space="0" w:color="auto"/>
          </w:divBdr>
          <w:divsChild>
            <w:div w:id="980499951">
              <w:marLeft w:val="0"/>
              <w:marRight w:val="0"/>
              <w:marTop w:val="0"/>
              <w:marBottom w:val="0"/>
              <w:divBdr>
                <w:top w:val="none" w:sz="0" w:space="0" w:color="auto"/>
                <w:left w:val="none" w:sz="0" w:space="0" w:color="auto"/>
                <w:bottom w:val="none" w:sz="0" w:space="0" w:color="auto"/>
                <w:right w:val="none" w:sz="0" w:space="0" w:color="auto"/>
              </w:divBdr>
              <w:divsChild>
                <w:div w:id="67404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9325">
          <w:marLeft w:val="0"/>
          <w:marRight w:val="0"/>
          <w:marTop w:val="0"/>
          <w:marBottom w:val="0"/>
          <w:divBdr>
            <w:top w:val="none" w:sz="0" w:space="0" w:color="auto"/>
            <w:left w:val="none" w:sz="0" w:space="0" w:color="auto"/>
            <w:bottom w:val="none" w:sz="0" w:space="0" w:color="auto"/>
            <w:right w:val="none" w:sz="0" w:space="0" w:color="auto"/>
          </w:divBdr>
          <w:divsChild>
            <w:div w:id="775752700">
              <w:marLeft w:val="0"/>
              <w:marRight w:val="0"/>
              <w:marTop w:val="0"/>
              <w:marBottom w:val="0"/>
              <w:divBdr>
                <w:top w:val="none" w:sz="0" w:space="0" w:color="auto"/>
                <w:left w:val="none" w:sz="0" w:space="0" w:color="auto"/>
                <w:bottom w:val="none" w:sz="0" w:space="0" w:color="auto"/>
                <w:right w:val="none" w:sz="0" w:space="0" w:color="auto"/>
              </w:divBdr>
              <w:divsChild>
                <w:div w:id="1555199285">
                  <w:marLeft w:val="0"/>
                  <w:marRight w:val="0"/>
                  <w:marTop w:val="0"/>
                  <w:marBottom w:val="0"/>
                  <w:divBdr>
                    <w:top w:val="none" w:sz="0" w:space="0" w:color="auto"/>
                    <w:left w:val="none" w:sz="0" w:space="0" w:color="auto"/>
                    <w:bottom w:val="none" w:sz="0" w:space="0" w:color="auto"/>
                    <w:right w:val="none" w:sz="0" w:space="0" w:color="auto"/>
                  </w:divBdr>
                  <w:divsChild>
                    <w:div w:id="35394872">
                      <w:marLeft w:val="0"/>
                      <w:marRight w:val="0"/>
                      <w:marTop w:val="0"/>
                      <w:marBottom w:val="0"/>
                      <w:divBdr>
                        <w:top w:val="none" w:sz="0" w:space="0" w:color="auto"/>
                        <w:left w:val="none" w:sz="0" w:space="0" w:color="auto"/>
                        <w:bottom w:val="none" w:sz="0" w:space="0" w:color="auto"/>
                        <w:right w:val="none" w:sz="0" w:space="0" w:color="auto"/>
                      </w:divBdr>
                    </w:div>
                    <w:div w:id="293953099">
                      <w:marLeft w:val="0"/>
                      <w:marRight w:val="0"/>
                      <w:marTop w:val="0"/>
                      <w:marBottom w:val="0"/>
                      <w:divBdr>
                        <w:top w:val="none" w:sz="0" w:space="0" w:color="auto"/>
                        <w:left w:val="none" w:sz="0" w:space="0" w:color="auto"/>
                        <w:bottom w:val="none" w:sz="0" w:space="0" w:color="auto"/>
                        <w:right w:val="none" w:sz="0" w:space="0" w:color="auto"/>
                      </w:divBdr>
                    </w:div>
                    <w:div w:id="4969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1787">
          <w:marLeft w:val="0"/>
          <w:marRight w:val="0"/>
          <w:marTop w:val="0"/>
          <w:marBottom w:val="0"/>
          <w:divBdr>
            <w:top w:val="none" w:sz="0" w:space="0" w:color="auto"/>
            <w:left w:val="none" w:sz="0" w:space="0" w:color="auto"/>
            <w:bottom w:val="none" w:sz="0" w:space="0" w:color="auto"/>
            <w:right w:val="none" w:sz="0" w:space="0" w:color="auto"/>
          </w:divBdr>
          <w:divsChild>
            <w:div w:id="45960253">
              <w:marLeft w:val="0"/>
              <w:marRight w:val="0"/>
              <w:marTop w:val="0"/>
              <w:marBottom w:val="0"/>
              <w:divBdr>
                <w:top w:val="none" w:sz="0" w:space="0" w:color="auto"/>
                <w:left w:val="none" w:sz="0" w:space="0" w:color="auto"/>
                <w:bottom w:val="none" w:sz="0" w:space="0" w:color="auto"/>
                <w:right w:val="none" w:sz="0" w:space="0" w:color="auto"/>
              </w:divBdr>
              <w:divsChild>
                <w:div w:id="11307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5776">
          <w:marLeft w:val="0"/>
          <w:marRight w:val="0"/>
          <w:marTop w:val="0"/>
          <w:marBottom w:val="0"/>
          <w:divBdr>
            <w:top w:val="none" w:sz="0" w:space="0" w:color="auto"/>
            <w:left w:val="none" w:sz="0" w:space="0" w:color="auto"/>
            <w:bottom w:val="none" w:sz="0" w:space="0" w:color="auto"/>
            <w:right w:val="none" w:sz="0" w:space="0" w:color="auto"/>
          </w:divBdr>
          <w:divsChild>
            <w:div w:id="1509061112">
              <w:marLeft w:val="0"/>
              <w:marRight w:val="0"/>
              <w:marTop w:val="0"/>
              <w:marBottom w:val="0"/>
              <w:divBdr>
                <w:top w:val="none" w:sz="0" w:space="0" w:color="auto"/>
                <w:left w:val="none" w:sz="0" w:space="0" w:color="auto"/>
                <w:bottom w:val="none" w:sz="0" w:space="0" w:color="auto"/>
                <w:right w:val="none" w:sz="0" w:space="0" w:color="auto"/>
              </w:divBdr>
              <w:divsChild>
                <w:div w:id="16398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3236">
          <w:marLeft w:val="0"/>
          <w:marRight w:val="0"/>
          <w:marTop w:val="0"/>
          <w:marBottom w:val="0"/>
          <w:divBdr>
            <w:top w:val="none" w:sz="0" w:space="0" w:color="auto"/>
            <w:left w:val="none" w:sz="0" w:space="0" w:color="auto"/>
            <w:bottom w:val="none" w:sz="0" w:space="0" w:color="auto"/>
            <w:right w:val="none" w:sz="0" w:space="0" w:color="auto"/>
          </w:divBdr>
          <w:divsChild>
            <w:div w:id="1086461416">
              <w:marLeft w:val="0"/>
              <w:marRight w:val="0"/>
              <w:marTop w:val="0"/>
              <w:marBottom w:val="0"/>
              <w:divBdr>
                <w:top w:val="none" w:sz="0" w:space="0" w:color="auto"/>
                <w:left w:val="none" w:sz="0" w:space="0" w:color="auto"/>
                <w:bottom w:val="none" w:sz="0" w:space="0" w:color="auto"/>
                <w:right w:val="none" w:sz="0" w:space="0" w:color="auto"/>
              </w:divBdr>
              <w:divsChild>
                <w:div w:id="189970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6745">
          <w:marLeft w:val="0"/>
          <w:marRight w:val="0"/>
          <w:marTop w:val="0"/>
          <w:marBottom w:val="0"/>
          <w:divBdr>
            <w:top w:val="none" w:sz="0" w:space="0" w:color="auto"/>
            <w:left w:val="none" w:sz="0" w:space="0" w:color="auto"/>
            <w:bottom w:val="none" w:sz="0" w:space="0" w:color="auto"/>
            <w:right w:val="none" w:sz="0" w:space="0" w:color="auto"/>
          </w:divBdr>
          <w:divsChild>
            <w:div w:id="494423000">
              <w:marLeft w:val="0"/>
              <w:marRight w:val="0"/>
              <w:marTop w:val="0"/>
              <w:marBottom w:val="0"/>
              <w:divBdr>
                <w:top w:val="none" w:sz="0" w:space="0" w:color="auto"/>
                <w:left w:val="none" w:sz="0" w:space="0" w:color="auto"/>
                <w:bottom w:val="none" w:sz="0" w:space="0" w:color="auto"/>
                <w:right w:val="none" w:sz="0" w:space="0" w:color="auto"/>
              </w:divBdr>
              <w:divsChild>
                <w:div w:id="1347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562">
          <w:marLeft w:val="0"/>
          <w:marRight w:val="0"/>
          <w:marTop w:val="0"/>
          <w:marBottom w:val="0"/>
          <w:divBdr>
            <w:top w:val="none" w:sz="0" w:space="0" w:color="auto"/>
            <w:left w:val="none" w:sz="0" w:space="0" w:color="auto"/>
            <w:bottom w:val="none" w:sz="0" w:space="0" w:color="auto"/>
            <w:right w:val="none" w:sz="0" w:space="0" w:color="auto"/>
          </w:divBdr>
          <w:divsChild>
            <w:div w:id="932784431">
              <w:marLeft w:val="0"/>
              <w:marRight w:val="0"/>
              <w:marTop w:val="0"/>
              <w:marBottom w:val="0"/>
              <w:divBdr>
                <w:top w:val="none" w:sz="0" w:space="0" w:color="auto"/>
                <w:left w:val="none" w:sz="0" w:space="0" w:color="auto"/>
                <w:bottom w:val="none" w:sz="0" w:space="0" w:color="auto"/>
                <w:right w:val="none" w:sz="0" w:space="0" w:color="auto"/>
              </w:divBdr>
              <w:divsChild>
                <w:div w:id="24434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35650">
          <w:marLeft w:val="0"/>
          <w:marRight w:val="0"/>
          <w:marTop w:val="0"/>
          <w:marBottom w:val="0"/>
          <w:divBdr>
            <w:top w:val="none" w:sz="0" w:space="0" w:color="auto"/>
            <w:left w:val="none" w:sz="0" w:space="0" w:color="auto"/>
            <w:bottom w:val="none" w:sz="0" w:space="0" w:color="auto"/>
            <w:right w:val="none" w:sz="0" w:space="0" w:color="auto"/>
          </w:divBdr>
          <w:divsChild>
            <w:div w:id="414060686">
              <w:marLeft w:val="0"/>
              <w:marRight w:val="0"/>
              <w:marTop w:val="0"/>
              <w:marBottom w:val="0"/>
              <w:divBdr>
                <w:top w:val="none" w:sz="0" w:space="0" w:color="auto"/>
                <w:left w:val="none" w:sz="0" w:space="0" w:color="auto"/>
                <w:bottom w:val="none" w:sz="0" w:space="0" w:color="auto"/>
                <w:right w:val="none" w:sz="0" w:space="0" w:color="auto"/>
              </w:divBdr>
              <w:divsChild>
                <w:div w:id="61224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6051">
          <w:marLeft w:val="0"/>
          <w:marRight w:val="0"/>
          <w:marTop w:val="0"/>
          <w:marBottom w:val="0"/>
          <w:divBdr>
            <w:top w:val="none" w:sz="0" w:space="0" w:color="auto"/>
            <w:left w:val="none" w:sz="0" w:space="0" w:color="auto"/>
            <w:bottom w:val="none" w:sz="0" w:space="0" w:color="auto"/>
            <w:right w:val="none" w:sz="0" w:space="0" w:color="auto"/>
          </w:divBdr>
        </w:div>
        <w:div w:id="42796092">
          <w:marLeft w:val="0"/>
          <w:marRight w:val="0"/>
          <w:marTop w:val="0"/>
          <w:marBottom w:val="0"/>
          <w:divBdr>
            <w:top w:val="none" w:sz="0" w:space="0" w:color="auto"/>
            <w:left w:val="none" w:sz="0" w:space="0" w:color="auto"/>
            <w:bottom w:val="none" w:sz="0" w:space="0" w:color="auto"/>
            <w:right w:val="none" w:sz="0" w:space="0" w:color="auto"/>
          </w:divBdr>
          <w:divsChild>
            <w:div w:id="663095376">
              <w:marLeft w:val="0"/>
              <w:marRight w:val="0"/>
              <w:marTop w:val="0"/>
              <w:marBottom w:val="0"/>
              <w:divBdr>
                <w:top w:val="none" w:sz="0" w:space="0" w:color="auto"/>
                <w:left w:val="none" w:sz="0" w:space="0" w:color="auto"/>
                <w:bottom w:val="none" w:sz="0" w:space="0" w:color="auto"/>
                <w:right w:val="none" w:sz="0" w:space="0" w:color="auto"/>
              </w:divBdr>
              <w:divsChild>
                <w:div w:id="125941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8619">
          <w:marLeft w:val="0"/>
          <w:marRight w:val="0"/>
          <w:marTop w:val="0"/>
          <w:marBottom w:val="0"/>
          <w:divBdr>
            <w:top w:val="none" w:sz="0" w:space="0" w:color="auto"/>
            <w:left w:val="none" w:sz="0" w:space="0" w:color="auto"/>
            <w:bottom w:val="none" w:sz="0" w:space="0" w:color="auto"/>
            <w:right w:val="none" w:sz="0" w:space="0" w:color="auto"/>
          </w:divBdr>
          <w:divsChild>
            <w:div w:id="615260323">
              <w:marLeft w:val="0"/>
              <w:marRight w:val="0"/>
              <w:marTop w:val="0"/>
              <w:marBottom w:val="0"/>
              <w:divBdr>
                <w:top w:val="none" w:sz="0" w:space="0" w:color="auto"/>
                <w:left w:val="none" w:sz="0" w:space="0" w:color="auto"/>
                <w:bottom w:val="none" w:sz="0" w:space="0" w:color="auto"/>
                <w:right w:val="none" w:sz="0" w:space="0" w:color="auto"/>
              </w:divBdr>
              <w:divsChild>
                <w:div w:id="177648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25775">
          <w:marLeft w:val="0"/>
          <w:marRight w:val="0"/>
          <w:marTop w:val="0"/>
          <w:marBottom w:val="0"/>
          <w:divBdr>
            <w:top w:val="none" w:sz="0" w:space="0" w:color="auto"/>
            <w:left w:val="none" w:sz="0" w:space="0" w:color="auto"/>
            <w:bottom w:val="none" w:sz="0" w:space="0" w:color="auto"/>
            <w:right w:val="none" w:sz="0" w:space="0" w:color="auto"/>
          </w:divBdr>
          <w:divsChild>
            <w:div w:id="1044401106">
              <w:marLeft w:val="0"/>
              <w:marRight w:val="0"/>
              <w:marTop w:val="0"/>
              <w:marBottom w:val="0"/>
              <w:divBdr>
                <w:top w:val="none" w:sz="0" w:space="0" w:color="auto"/>
                <w:left w:val="none" w:sz="0" w:space="0" w:color="auto"/>
                <w:bottom w:val="none" w:sz="0" w:space="0" w:color="auto"/>
                <w:right w:val="none" w:sz="0" w:space="0" w:color="auto"/>
              </w:divBdr>
              <w:divsChild>
                <w:div w:id="40175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7654">
          <w:marLeft w:val="0"/>
          <w:marRight w:val="0"/>
          <w:marTop w:val="0"/>
          <w:marBottom w:val="0"/>
          <w:divBdr>
            <w:top w:val="none" w:sz="0" w:space="0" w:color="auto"/>
            <w:left w:val="none" w:sz="0" w:space="0" w:color="auto"/>
            <w:bottom w:val="none" w:sz="0" w:space="0" w:color="auto"/>
            <w:right w:val="none" w:sz="0" w:space="0" w:color="auto"/>
          </w:divBdr>
          <w:divsChild>
            <w:div w:id="2126268955">
              <w:marLeft w:val="0"/>
              <w:marRight w:val="0"/>
              <w:marTop w:val="0"/>
              <w:marBottom w:val="0"/>
              <w:divBdr>
                <w:top w:val="none" w:sz="0" w:space="0" w:color="auto"/>
                <w:left w:val="none" w:sz="0" w:space="0" w:color="auto"/>
                <w:bottom w:val="none" w:sz="0" w:space="0" w:color="auto"/>
                <w:right w:val="none" w:sz="0" w:space="0" w:color="auto"/>
              </w:divBdr>
              <w:divsChild>
                <w:div w:id="144219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5819">
          <w:marLeft w:val="0"/>
          <w:marRight w:val="0"/>
          <w:marTop w:val="0"/>
          <w:marBottom w:val="0"/>
          <w:divBdr>
            <w:top w:val="none" w:sz="0" w:space="0" w:color="auto"/>
            <w:left w:val="none" w:sz="0" w:space="0" w:color="auto"/>
            <w:bottom w:val="none" w:sz="0" w:space="0" w:color="auto"/>
            <w:right w:val="none" w:sz="0" w:space="0" w:color="auto"/>
          </w:divBdr>
          <w:divsChild>
            <w:div w:id="1858693398">
              <w:marLeft w:val="0"/>
              <w:marRight w:val="0"/>
              <w:marTop w:val="0"/>
              <w:marBottom w:val="0"/>
              <w:divBdr>
                <w:top w:val="none" w:sz="0" w:space="0" w:color="auto"/>
                <w:left w:val="none" w:sz="0" w:space="0" w:color="auto"/>
                <w:bottom w:val="none" w:sz="0" w:space="0" w:color="auto"/>
                <w:right w:val="none" w:sz="0" w:space="0" w:color="auto"/>
              </w:divBdr>
              <w:divsChild>
                <w:div w:id="19609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0627">
          <w:marLeft w:val="0"/>
          <w:marRight w:val="0"/>
          <w:marTop w:val="0"/>
          <w:marBottom w:val="0"/>
          <w:divBdr>
            <w:top w:val="none" w:sz="0" w:space="0" w:color="auto"/>
            <w:left w:val="none" w:sz="0" w:space="0" w:color="auto"/>
            <w:bottom w:val="none" w:sz="0" w:space="0" w:color="auto"/>
            <w:right w:val="none" w:sz="0" w:space="0" w:color="auto"/>
          </w:divBdr>
          <w:divsChild>
            <w:div w:id="1886332212">
              <w:marLeft w:val="0"/>
              <w:marRight w:val="0"/>
              <w:marTop w:val="0"/>
              <w:marBottom w:val="0"/>
              <w:divBdr>
                <w:top w:val="none" w:sz="0" w:space="0" w:color="auto"/>
                <w:left w:val="none" w:sz="0" w:space="0" w:color="auto"/>
                <w:bottom w:val="none" w:sz="0" w:space="0" w:color="auto"/>
                <w:right w:val="none" w:sz="0" w:space="0" w:color="auto"/>
              </w:divBdr>
              <w:divsChild>
                <w:div w:id="152752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89427">
          <w:marLeft w:val="0"/>
          <w:marRight w:val="0"/>
          <w:marTop w:val="0"/>
          <w:marBottom w:val="0"/>
          <w:divBdr>
            <w:top w:val="none" w:sz="0" w:space="0" w:color="auto"/>
            <w:left w:val="none" w:sz="0" w:space="0" w:color="auto"/>
            <w:bottom w:val="none" w:sz="0" w:space="0" w:color="auto"/>
            <w:right w:val="none" w:sz="0" w:space="0" w:color="auto"/>
          </w:divBdr>
          <w:divsChild>
            <w:div w:id="732965904">
              <w:marLeft w:val="0"/>
              <w:marRight w:val="0"/>
              <w:marTop w:val="0"/>
              <w:marBottom w:val="0"/>
              <w:divBdr>
                <w:top w:val="none" w:sz="0" w:space="0" w:color="auto"/>
                <w:left w:val="none" w:sz="0" w:space="0" w:color="auto"/>
                <w:bottom w:val="none" w:sz="0" w:space="0" w:color="auto"/>
                <w:right w:val="none" w:sz="0" w:space="0" w:color="auto"/>
              </w:divBdr>
              <w:divsChild>
                <w:div w:id="1385176951">
                  <w:marLeft w:val="0"/>
                  <w:marRight w:val="0"/>
                  <w:marTop w:val="0"/>
                  <w:marBottom w:val="0"/>
                  <w:divBdr>
                    <w:top w:val="none" w:sz="0" w:space="0" w:color="auto"/>
                    <w:left w:val="none" w:sz="0" w:space="0" w:color="auto"/>
                    <w:bottom w:val="none" w:sz="0" w:space="0" w:color="auto"/>
                    <w:right w:val="none" w:sz="0" w:space="0" w:color="auto"/>
                  </w:divBdr>
                </w:div>
              </w:divsChild>
            </w:div>
            <w:div w:id="33970916">
              <w:marLeft w:val="0"/>
              <w:marRight w:val="0"/>
              <w:marTop w:val="0"/>
              <w:marBottom w:val="0"/>
              <w:divBdr>
                <w:top w:val="none" w:sz="0" w:space="0" w:color="auto"/>
                <w:left w:val="none" w:sz="0" w:space="0" w:color="auto"/>
                <w:bottom w:val="none" w:sz="0" w:space="0" w:color="auto"/>
                <w:right w:val="none" w:sz="0" w:space="0" w:color="auto"/>
              </w:divBdr>
            </w:div>
          </w:divsChild>
        </w:div>
        <w:div w:id="23290536">
          <w:marLeft w:val="0"/>
          <w:marRight w:val="0"/>
          <w:marTop w:val="0"/>
          <w:marBottom w:val="0"/>
          <w:divBdr>
            <w:top w:val="none" w:sz="0" w:space="0" w:color="auto"/>
            <w:left w:val="none" w:sz="0" w:space="0" w:color="auto"/>
            <w:bottom w:val="none" w:sz="0" w:space="0" w:color="auto"/>
            <w:right w:val="none" w:sz="0" w:space="0" w:color="auto"/>
          </w:divBdr>
          <w:divsChild>
            <w:div w:id="1389722062">
              <w:marLeft w:val="0"/>
              <w:marRight w:val="0"/>
              <w:marTop w:val="0"/>
              <w:marBottom w:val="0"/>
              <w:divBdr>
                <w:top w:val="none" w:sz="0" w:space="0" w:color="auto"/>
                <w:left w:val="none" w:sz="0" w:space="0" w:color="auto"/>
                <w:bottom w:val="none" w:sz="0" w:space="0" w:color="auto"/>
                <w:right w:val="none" w:sz="0" w:space="0" w:color="auto"/>
              </w:divBdr>
              <w:divsChild>
                <w:div w:id="168285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01940">
          <w:marLeft w:val="0"/>
          <w:marRight w:val="0"/>
          <w:marTop w:val="0"/>
          <w:marBottom w:val="0"/>
          <w:divBdr>
            <w:top w:val="none" w:sz="0" w:space="0" w:color="auto"/>
            <w:left w:val="none" w:sz="0" w:space="0" w:color="auto"/>
            <w:bottom w:val="none" w:sz="0" w:space="0" w:color="auto"/>
            <w:right w:val="none" w:sz="0" w:space="0" w:color="auto"/>
          </w:divBdr>
          <w:divsChild>
            <w:div w:id="1495758826">
              <w:marLeft w:val="0"/>
              <w:marRight w:val="0"/>
              <w:marTop w:val="0"/>
              <w:marBottom w:val="0"/>
              <w:divBdr>
                <w:top w:val="none" w:sz="0" w:space="0" w:color="auto"/>
                <w:left w:val="none" w:sz="0" w:space="0" w:color="auto"/>
                <w:bottom w:val="none" w:sz="0" w:space="0" w:color="auto"/>
                <w:right w:val="none" w:sz="0" w:space="0" w:color="auto"/>
              </w:divBdr>
              <w:divsChild>
                <w:div w:id="196465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82000">
          <w:marLeft w:val="0"/>
          <w:marRight w:val="0"/>
          <w:marTop w:val="0"/>
          <w:marBottom w:val="0"/>
          <w:divBdr>
            <w:top w:val="none" w:sz="0" w:space="0" w:color="auto"/>
            <w:left w:val="none" w:sz="0" w:space="0" w:color="auto"/>
            <w:bottom w:val="none" w:sz="0" w:space="0" w:color="auto"/>
            <w:right w:val="none" w:sz="0" w:space="0" w:color="auto"/>
          </w:divBdr>
          <w:divsChild>
            <w:div w:id="1260673613">
              <w:marLeft w:val="0"/>
              <w:marRight w:val="0"/>
              <w:marTop w:val="0"/>
              <w:marBottom w:val="0"/>
              <w:divBdr>
                <w:top w:val="none" w:sz="0" w:space="0" w:color="auto"/>
                <w:left w:val="none" w:sz="0" w:space="0" w:color="auto"/>
                <w:bottom w:val="none" w:sz="0" w:space="0" w:color="auto"/>
                <w:right w:val="none" w:sz="0" w:space="0" w:color="auto"/>
              </w:divBdr>
              <w:divsChild>
                <w:div w:id="179898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50006">
          <w:marLeft w:val="0"/>
          <w:marRight w:val="0"/>
          <w:marTop w:val="0"/>
          <w:marBottom w:val="0"/>
          <w:divBdr>
            <w:top w:val="none" w:sz="0" w:space="0" w:color="auto"/>
            <w:left w:val="none" w:sz="0" w:space="0" w:color="auto"/>
            <w:bottom w:val="none" w:sz="0" w:space="0" w:color="auto"/>
            <w:right w:val="none" w:sz="0" w:space="0" w:color="auto"/>
          </w:divBdr>
          <w:divsChild>
            <w:div w:id="797528547">
              <w:marLeft w:val="0"/>
              <w:marRight w:val="0"/>
              <w:marTop w:val="0"/>
              <w:marBottom w:val="0"/>
              <w:divBdr>
                <w:top w:val="none" w:sz="0" w:space="0" w:color="auto"/>
                <w:left w:val="none" w:sz="0" w:space="0" w:color="auto"/>
                <w:bottom w:val="none" w:sz="0" w:space="0" w:color="auto"/>
                <w:right w:val="none" w:sz="0" w:space="0" w:color="auto"/>
              </w:divBdr>
              <w:divsChild>
                <w:div w:id="1869023751">
                  <w:marLeft w:val="0"/>
                  <w:marRight w:val="0"/>
                  <w:marTop w:val="0"/>
                  <w:marBottom w:val="0"/>
                  <w:divBdr>
                    <w:top w:val="none" w:sz="0" w:space="0" w:color="auto"/>
                    <w:left w:val="none" w:sz="0" w:space="0" w:color="auto"/>
                    <w:bottom w:val="none" w:sz="0" w:space="0" w:color="auto"/>
                    <w:right w:val="none" w:sz="0" w:space="0" w:color="auto"/>
                  </w:divBdr>
                </w:div>
              </w:divsChild>
            </w:div>
            <w:div w:id="18737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00854">
      <w:bodyDiv w:val="1"/>
      <w:marLeft w:val="0"/>
      <w:marRight w:val="0"/>
      <w:marTop w:val="0"/>
      <w:marBottom w:val="0"/>
      <w:divBdr>
        <w:top w:val="none" w:sz="0" w:space="0" w:color="auto"/>
        <w:left w:val="none" w:sz="0" w:space="0" w:color="auto"/>
        <w:bottom w:val="none" w:sz="0" w:space="0" w:color="auto"/>
        <w:right w:val="none" w:sz="0" w:space="0" w:color="auto"/>
      </w:divBdr>
      <w:divsChild>
        <w:div w:id="1790468813">
          <w:marLeft w:val="0"/>
          <w:marRight w:val="0"/>
          <w:marTop w:val="0"/>
          <w:marBottom w:val="0"/>
          <w:divBdr>
            <w:top w:val="none" w:sz="0" w:space="0" w:color="auto"/>
            <w:left w:val="none" w:sz="0" w:space="0" w:color="auto"/>
            <w:bottom w:val="none" w:sz="0" w:space="0" w:color="auto"/>
            <w:right w:val="none" w:sz="0" w:space="0" w:color="auto"/>
          </w:divBdr>
          <w:divsChild>
            <w:div w:id="329068543">
              <w:marLeft w:val="0"/>
              <w:marRight w:val="0"/>
              <w:marTop w:val="0"/>
              <w:marBottom w:val="0"/>
              <w:divBdr>
                <w:top w:val="none" w:sz="0" w:space="0" w:color="auto"/>
                <w:left w:val="none" w:sz="0" w:space="0" w:color="auto"/>
                <w:bottom w:val="none" w:sz="0" w:space="0" w:color="auto"/>
                <w:right w:val="none" w:sz="0" w:space="0" w:color="auto"/>
              </w:divBdr>
              <w:divsChild>
                <w:div w:id="201937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nfpa.org/publications/59A/2023/annexes/A/groups/11" TargetMode="External"/><Relationship Id="rId18" Type="http://schemas.openxmlformats.org/officeDocument/2006/relationships/hyperlink" Target="https://link.nfpa.org/publications/59A/2023/chapters/11" TargetMode="External"/><Relationship Id="rId26" Type="http://schemas.openxmlformats.org/officeDocument/2006/relationships/image" Target="media/image5.jpeg"/><Relationship Id="rId39" Type="http://schemas.openxmlformats.org/officeDocument/2006/relationships/hyperlink" Target="https://link.nfpa.org/publications/59A/2023/annexes/A/groups/11" TargetMode="External"/><Relationship Id="rId21" Type="http://schemas.openxmlformats.org/officeDocument/2006/relationships/hyperlink" Target="https://link.nfpa.org/publications/59A/2023/chapters/11" TargetMode="External"/><Relationship Id="rId34" Type="http://schemas.openxmlformats.org/officeDocument/2006/relationships/hyperlink" Target="https://link.nfpa.org/publications/59A/2023/chapters/11" TargetMode="External"/><Relationship Id="rId42" Type="http://schemas.openxmlformats.org/officeDocument/2006/relationships/theme" Target="theme/theme1.xml"/><Relationship Id="rId7" Type="http://schemas.openxmlformats.org/officeDocument/2006/relationships/hyperlink" Target="https://link.nfpa.org/publications/59A/2023/chapters/11" TargetMode="External"/><Relationship Id="rId2" Type="http://schemas.openxmlformats.org/officeDocument/2006/relationships/styles" Target="styles.xml"/><Relationship Id="rId16" Type="http://schemas.openxmlformats.org/officeDocument/2006/relationships/hyperlink" Target="https://link.nfpa.org/publications/59A/2023/chapters/11" TargetMode="External"/><Relationship Id="rId20" Type="http://schemas.openxmlformats.org/officeDocument/2006/relationships/hyperlink" Target="https://link.nfpa.org/publications/59A/2023/chapters/11" TargetMode="External"/><Relationship Id="rId29" Type="http://schemas.openxmlformats.org/officeDocument/2006/relationships/hyperlink" Target="https://link.nfpa.org/publications/59A/2023/chapters/11"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ink.nfpa.org/publications/59A/2023/annexes/A/groups/11" TargetMode="External"/><Relationship Id="rId11" Type="http://schemas.openxmlformats.org/officeDocument/2006/relationships/hyperlink" Target="https://link.nfpa.org/publications/59A/2023/chapters/18" TargetMode="External"/><Relationship Id="rId24" Type="http://schemas.openxmlformats.org/officeDocument/2006/relationships/image" Target="media/image3.jpeg"/><Relationship Id="rId32" Type="http://schemas.openxmlformats.org/officeDocument/2006/relationships/hyperlink" Target="https://link.nfpa.org/publications/59A/2023/chapters/11" TargetMode="External"/><Relationship Id="rId37" Type="http://schemas.openxmlformats.org/officeDocument/2006/relationships/hyperlink" Target="https://link.nfpa.org/publications/59A/2023/annexes/A/groups/11" TargetMode="External"/><Relationship Id="rId40" Type="http://schemas.openxmlformats.org/officeDocument/2006/relationships/hyperlink" Target="https://link.nfpa.org/publications/59A/2023/chapters/11" TargetMode="External"/><Relationship Id="rId5" Type="http://schemas.openxmlformats.org/officeDocument/2006/relationships/hyperlink" Target="https://link.nfpa.org/publications/59A/2023/annexes/A/groups/11" TargetMode="External"/><Relationship Id="rId15" Type="http://schemas.openxmlformats.org/officeDocument/2006/relationships/hyperlink" Target="https://link.nfpa.org/publications/59A/2023/chapters/11" TargetMode="External"/><Relationship Id="rId23" Type="http://schemas.openxmlformats.org/officeDocument/2006/relationships/image" Target="media/image2.jpeg"/><Relationship Id="rId28" Type="http://schemas.openxmlformats.org/officeDocument/2006/relationships/hyperlink" Target="https://link.nfpa.org/publications/59A/2023/chapters/11" TargetMode="External"/><Relationship Id="rId36" Type="http://schemas.openxmlformats.org/officeDocument/2006/relationships/hyperlink" Target="https://link.nfpa.org/publications/59A/2023/chapters/11" TargetMode="External"/><Relationship Id="rId10" Type="http://schemas.openxmlformats.org/officeDocument/2006/relationships/hyperlink" Target="https://link.nfpa.org/publications/59A/2023/annexes/A/groups/11" TargetMode="External"/><Relationship Id="rId19" Type="http://schemas.openxmlformats.org/officeDocument/2006/relationships/hyperlink" Target="https://link.nfpa.org/publications/59A/2023/chapters/11" TargetMode="External"/><Relationship Id="rId31" Type="http://schemas.openxmlformats.org/officeDocument/2006/relationships/hyperlink" Target="https://link.nfpa.org/publications/59A/2023/annexes/A/groups/11" TargetMode="External"/><Relationship Id="rId4" Type="http://schemas.openxmlformats.org/officeDocument/2006/relationships/webSettings" Target="webSettings.xml"/><Relationship Id="rId9" Type="http://schemas.openxmlformats.org/officeDocument/2006/relationships/hyperlink" Target="https://link.nfpa.org/publications/59A/2023/chapters/11" TargetMode="External"/><Relationship Id="rId14" Type="http://schemas.openxmlformats.org/officeDocument/2006/relationships/hyperlink" Target="https://link.nfpa.org/publications/59A/2023/annexes/A/groups/11" TargetMode="External"/><Relationship Id="rId22" Type="http://schemas.openxmlformats.org/officeDocument/2006/relationships/image" Target="media/image1.jpeg"/><Relationship Id="rId27" Type="http://schemas.openxmlformats.org/officeDocument/2006/relationships/hyperlink" Target="https://link.nfpa.org/publications/59A/2023/annexes/A/groups/11" TargetMode="External"/><Relationship Id="rId30" Type="http://schemas.openxmlformats.org/officeDocument/2006/relationships/hyperlink" Target="https://link.nfpa.org/publications/59A/2023/chapters/11" TargetMode="External"/><Relationship Id="rId35" Type="http://schemas.openxmlformats.org/officeDocument/2006/relationships/hyperlink" Target="https://link.nfpa.org/publications/59A/2023/chapters/11" TargetMode="External"/><Relationship Id="rId8" Type="http://schemas.openxmlformats.org/officeDocument/2006/relationships/hyperlink" Target="https://link.nfpa.org/publications/59A/2023/chapters/11" TargetMode="External"/><Relationship Id="rId3" Type="http://schemas.openxmlformats.org/officeDocument/2006/relationships/settings" Target="settings.xml"/><Relationship Id="rId12" Type="http://schemas.openxmlformats.org/officeDocument/2006/relationships/hyperlink" Target="https://link.nfpa.org/publications/59A/2023/annexes/A/groups/11" TargetMode="External"/><Relationship Id="rId17" Type="http://schemas.openxmlformats.org/officeDocument/2006/relationships/hyperlink" Target="https://link.nfpa.org/publications/59A/2023/chapters/11" TargetMode="External"/><Relationship Id="rId25" Type="http://schemas.openxmlformats.org/officeDocument/2006/relationships/image" Target="media/image4.jpeg"/><Relationship Id="rId33" Type="http://schemas.openxmlformats.org/officeDocument/2006/relationships/hyperlink" Target="https://link.nfpa.org/publications/59A/2023/chapters/11" TargetMode="External"/><Relationship Id="rId38" Type="http://schemas.openxmlformats.org/officeDocument/2006/relationships/hyperlink" Target="https://link.nfpa.org/publications/59A/2023/annexes/A/groups/1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3193</Words>
  <Characters>17562</Characters>
  <Application>Microsoft Office Word</Application>
  <DocSecurity>0</DocSecurity>
  <Lines>146</Lines>
  <Paragraphs>41</Paragraphs>
  <ScaleCrop>false</ScaleCrop>
  <Company/>
  <LinksUpToDate>false</LinksUpToDate>
  <CharactersWithSpaces>20714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I202403378 (Arias LEDESMA,LUIS ALBERTO)</dc:creator>
  <cp:keywords/>
  <dc:description/>
  <cp:lastModifiedBy>I202403378 (Arias LEDESMA,LUIS ALBERTO)</cp:lastModifiedBy>
  <cp:revision>3</cp:revision>
  <dcterms:created xsi:type="dcterms:W3CDTF">2025-05-07T21:50:00Z</dcterms:created>
  <dcterms:modified xsi:type="dcterms:W3CDTF">2025-05-07T21:53:00Z</dcterms:modified>
</cp:coreProperties>
</file>