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FD82" w14:textId="40FBD652" w:rsidR="00BF74A5" w:rsidRPr="00BF74A5" w:rsidRDefault="00BF74A5" w:rsidP="00BF74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F74A5"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Manual de Usuario – Tablero Predictivo “Transporte Minero”</w:t>
      </w:r>
    </w:p>
    <w:p w14:paraId="5CECF451" w14:textId="1859D6EB" w:rsidR="00BF74A5" w:rsidRPr="00BF74A5" w:rsidRDefault="00BF74A5" w:rsidP="00BF74A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4A5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Descripción general</w:t>
      </w:r>
    </w:p>
    <w:p w14:paraId="0965A2C4" w14:textId="77777777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El tablero “Transporte Minero Predictivo” permite visualizar el comportamiento operativo de los camiones 793 y realizar predicciones sobre detenciones improductivas y eficiencia de los ciclos.</w:t>
      </w:r>
    </w:p>
    <w:p w14:paraId="01EBA515" w14:textId="32C46AEC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Está desarrollado en </w:t>
      </w:r>
      <w:proofErr w:type="spellStart"/>
      <w:r w:rsidRPr="00BF74A5">
        <w:rPr>
          <w:rFonts w:eastAsia="Times New Roman" w:cs="Times New Roman"/>
          <w:kern w:val="0"/>
          <w:lang w:eastAsia="es-MX"/>
          <w14:ligatures w14:val="none"/>
        </w:rPr>
        <w:t>Dash</w:t>
      </w:r>
      <w:proofErr w:type="spellEnd"/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 (</w:t>
      </w:r>
      <w:proofErr w:type="spellStart"/>
      <w:r w:rsidRPr="00BF74A5">
        <w:rPr>
          <w:rFonts w:eastAsia="Times New Roman" w:cs="Times New Roman"/>
          <w:kern w:val="0"/>
          <w:lang w:eastAsia="es-MX"/>
          <w14:ligatures w14:val="none"/>
        </w:rPr>
        <w:t>Plotly</w:t>
      </w:r>
      <w:proofErr w:type="spellEnd"/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) y desplegado junto a una API de </w:t>
      </w:r>
      <w:proofErr w:type="spellStart"/>
      <w:r w:rsidRPr="00BF74A5">
        <w:rPr>
          <w:rFonts w:eastAsia="Times New Roman" w:cs="Times New Roman"/>
          <w:kern w:val="0"/>
          <w:lang w:eastAsia="es-MX"/>
          <w14:ligatures w14:val="none"/>
        </w:rPr>
        <w:t>FastAPI</w:t>
      </w:r>
      <w:proofErr w:type="spellEnd"/>
      <w:r w:rsidRPr="00BF74A5">
        <w:rPr>
          <w:rFonts w:eastAsia="Times New Roman" w:cs="Times New Roman"/>
          <w:kern w:val="0"/>
          <w:lang w:eastAsia="es-MX"/>
          <w14:ligatures w14:val="none"/>
        </w:rPr>
        <w:t>, la cual ejecuta los modelos predictivos entrenados en Python.</w:t>
      </w:r>
    </w:p>
    <w:p w14:paraId="4828C5FC" w14:textId="77777777" w:rsidR="00BF74A5" w:rsidRPr="00BF74A5" w:rsidRDefault="00BF74A5" w:rsidP="00BF74A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4A5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Acceso al tablero</w:t>
      </w:r>
    </w:p>
    <w:p w14:paraId="5F402698" w14:textId="77777777" w:rsidR="00BF74A5" w:rsidRPr="00BF74A5" w:rsidRDefault="00BF74A5" w:rsidP="00BF7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Modo local:</w:t>
      </w:r>
    </w:p>
    <w:p w14:paraId="3B158217" w14:textId="77777777" w:rsidR="00BF74A5" w:rsidRPr="00BF74A5" w:rsidRDefault="00BF74A5" w:rsidP="00BF74A5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Si se ejecuta con Docker, el tablero se accede desde el navegador en:</w:t>
      </w:r>
    </w:p>
    <w:p w14:paraId="432C8346" w14:textId="57FA8AE1" w:rsidR="00BF74A5" w:rsidRPr="00BF74A5" w:rsidRDefault="00BF74A5" w:rsidP="00BF74A5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http://127.0.0.1:8550</w:t>
      </w:r>
    </w:p>
    <w:p w14:paraId="1DB4E2E2" w14:textId="513F34A8" w:rsidR="00BF74A5" w:rsidRPr="00BF74A5" w:rsidRDefault="00BF74A5" w:rsidP="00BF7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Modo nube (EC2</w:t>
      </w:r>
      <w:r>
        <w:rPr>
          <w:rFonts w:eastAsia="Times New Roman" w:cs="Times New Roman"/>
          <w:kern w:val="0"/>
          <w:lang w:eastAsia="es-MX"/>
          <w14:ligatures w14:val="none"/>
        </w:rPr>
        <w:t>)</w:t>
      </w:r>
      <w:r w:rsidRPr="00BF74A5">
        <w:rPr>
          <w:rFonts w:eastAsia="Times New Roman" w:cs="Times New Roman"/>
          <w:kern w:val="0"/>
          <w:lang w:eastAsia="es-MX"/>
          <w14:ligatures w14:val="none"/>
        </w:rPr>
        <w:t>:</w:t>
      </w:r>
    </w:p>
    <w:p w14:paraId="3F70B265" w14:textId="77777777" w:rsidR="00BF74A5" w:rsidRPr="00BF74A5" w:rsidRDefault="00BF74A5" w:rsidP="00BF74A5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Desde cualquier navegador, reemplazar 127.0.0.1 por la IP pública del servidor:</w:t>
      </w:r>
    </w:p>
    <w:p w14:paraId="6E6B2C20" w14:textId="69062596" w:rsidR="00BF74A5" w:rsidRPr="00BF74A5" w:rsidRDefault="00BF74A5" w:rsidP="00BF74A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http://&lt;</w:t>
      </w:r>
      <w:r w:rsidRPr="00BF74A5">
        <w:rPr>
          <w:rFonts w:eastAsia="Times New Roman" w:cs="Times New Roman"/>
          <w:kern w:val="0"/>
          <w:highlight w:val="yellow"/>
          <w:lang w:eastAsia="es-MX"/>
          <w14:ligatures w14:val="none"/>
        </w:rPr>
        <w:t>IP-PUBLICA</w:t>
      </w:r>
      <w:r w:rsidRPr="00BF74A5">
        <w:rPr>
          <w:rFonts w:eastAsia="Times New Roman" w:cs="Times New Roman"/>
          <w:kern w:val="0"/>
          <w:lang w:eastAsia="es-MX"/>
          <w14:ligatures w14:val="none"/>
        </w:rPr>
        <w:t>&gt;:8550</w:t>
      </w:r>
    </w:p>
    <w:p w14:paraId="38057D2E" w14:textId="00D3F8BC" w:rsidR="00BF74A5" w:rsidRPr="00BF74A5" w:rsidRDefault="00BF74A5" w:rsidP="00BF74A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4A5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Estructura del tablero</w:t>
      </w:r>
    </w:p>
    <w:p w14:paraId="2BC6C1A6" w14:textId="5EFA06C2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El tablero se divide en cuatro secciones principales:</w:t>
      </w:r>
    </w:p>
    <w:p w14:paraId="02FFB4C1" w14:textId="77777777" w:rsidR="00BF74A5" w:rsidRPr="00BF74A5" w:rsidRDefault="00BF74A5" w:rsidP="00BF74A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b/>
          <w:bCs/>
          <w:kern w:val="0"/>
          <w:lang w:eastAsia="es-MX"/>
          <w14:ligatures w14:val="none"/>
        </w:rPr>
        <w:t>A. Indicadores generales</w:t>
      </w:r>
    </w:p>
    <w:p w14:paraId="26C6137A" w14:textId="77777777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Ubicados en la parte superior, muestran información resumida del </w:t>
      </w:r>
      <w:proofErr w:type="spellStart"/>
      <w:r w:rsidRPr="00BF74A5">
        <w:rPr>
          <w:rFonts w:eastAsia="Times New Roman" w:cs="Times New Roman"/>
          <w:kern w:val="0"/>
          <w:lang w:eastAsia="es-MX"/>
          <w14:ligatures w14:val="none"/>
        </w:rPr>
        <w:t>dataset</w:t>
      </w:r>
      <w:proofErr w:type="spellEnd"/>
      <w:r w:rsidRPr="00BF74A5">
        <w:rPr>
          <w:rFonts w:eastAsia="Times New Roman" w:cs="Times New Roman"/>
          <w:kern w:val="0"/>
          <w:lang w:eastAsia="es-MX"/>
          <w14:ligatures w14:val="none"/>
        </w:rPr>
        <w:t>:</w:t>
      </w:r>
    </w:p>
    <w:p w14:paraId="17E5EE1E" w14:textId="77777777" w:rsidR="00BF74A5" w:rsidRPr="00BF74A5" w:rsidRDefault="00BF74A5" w:rsidP="00BF7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Ciclos eficientes (%): proporción de ciclos calificados como eficientes.</w:t>
      </w:r>
    </w:p>
    <w:p w14:paraId="6AECA141" w14:textId="77777777" w:rsidR="00BF74A5" w:rsidRPr="00BF74A5" w:rsidRDefault="00BF74A5" w:rsidP="00BF7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Detenciones camión vacío &gt; 6 min: número de eventos detectados con tiempo detenido superior a 6 minutos.</w:t>
      </w:r>
    </w:p>
    <w:p w14:paraId="12F328D6" w14:textId="77777777" w:rsidR="00BF74A5" w:rsidRPr="00BF74A5" w:rsidRDefault="00BF74A5" w:rsidP="00BF7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Detenciones camión cargado &gt; 6 min: número de eventos de detención con carga.</w:t>
      </w:r>
    </w:p>
    <w:p w14:paraId="5E28A215" w14:textId="419B9A12" w:rsidR="00BF74A5" w:rsidRPr="00BF74A5" w:rsidRDefault="00BF74A5" w:rsidP="00BF7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Total de ciclos registrados: cantidad total de observaciones disponibles en la base de datos.</w:t>
      </w:r>
    </w:p>
    <w:p w14:paraId="1CB3D1F9" w14:textId="5BCFDF16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kern w:val="0"/>
          <w:lang w:eastAsia="es-MX"/>
          <w14:ligatures w14:val="none"/>
        </w:rPr>
        <w:lastRenderedPageBreak/>
        <w:t>**</w:t>
      </w:r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Estos indicadores se calculan automáticamente al cargar el </w:t>
      </w:r>
      <w:proofErr w:type="spellStart"/>
      <w:r w:rsidRPr="00BF74A5">
        <w:rPr>
          <w:rFonts w:eastAsia="Times New Roman" w:cs="Times New Roman"/>
          <w:kern w:val="0"/>
          <w:lang w:eastAsia="es-MX"/>
          <w14:ligatures w14:val="none"/>
        </w:rPr>
        <w:t>dataset</w:t>
      </w:r>
      <w:proofErr w:type="spellEnd"/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 df_final.csv.</w:t>
      </w:r>
    </w:p>
    <w:p w14:paraId="398B0251" w14:textId="77777777" w:rsidR="00BF74A5" w:rsidRPr="00BF74A5" w:rsidRDefault="00BF74A5" w:rsidP="00BF74A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b/>
          <w:bCs/>
          <w:kern w:val="0"/>
          <w:lang w:eastAsia="es-MX"/>
          <w14:ligatures w14:val="none"/>
        </w:rPr>
        <w:t>B. Distribución de eficiencia (Gráfica circular)</w:t>
      </w:r>
    </w:p>
    <w:p w14:paraId="24E4B47F" w14:textId="77777777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Presenta la proporción de ciclos eficientes e ineficientes en el </w:t>
      </w:r>
      <w:proofErr w:type="spellStart"/>
      <w:r w:rsidRPr="00BF74A5">
        <w:rPr>
          <w:rFonts w:eastAsia="Times New Roman" w:cs="Times New Roman"/>
          <w:kern w:val="0"/>
          <w:lang w:eastAsia="es-MX"/>
          <w14:ligatures w14:val="none"/>
        </w:rPr>
        <w:t>dataset</w:t>
      </w:r>
      <w:proofErr w:type="spellEnd"/>
      <w:r w:rsidRPr="00BF74A5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74ED2228" w14:textId="77777777" w:rsidR="00BF74A5" w:rsidRPr="00BF74A5" w:rsidRDefault="00BF74A5" w:rsidP="00BF74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Color verde: Eficientes</w:t>
      </w:r>
    </w:p>
    <w:p w14:paraId="00D6586E" w14:textId="69378CAE" w:rsidR="00BF74A5" w:rsidRPr="00BF74A5" w:rsidRDefault="00BF74A5" w:rsidP="00BF74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Color rojo: Ineficientes</w:t>
      </w:r>
    </w:p>
    <w:p w14:paraId="591FE36B" w14:textId="536ADD1C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Permite identificar rápidamente el porcentaje de operaciones que presentan buen desempeño.</w:t>
      </w:r>
    </w:p>
    <w:p w14:paraId="376473A3" w14:textId="77777777" w:rsidR="00BF74A5" w:rsidRPr="00BF74A5" w:rsidRDefault="00BF74A5" w:rsidP="00BF74A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b/>
          <w:bCs/>
          <w:kern w:val="0"/>
          <w:lang w:eastAsia="es-MX"/>
          <w14:ligatures w14:val="none"/>
        </w:rPr>
        <w:t>C. Gráficas de tendencia</w:t>
      </w:r>
    </w:p>
    <w:p w14:paraId="23B5000B" w14:textId="77777777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Dos visualizaciones interactivas permiten explorar los datos según la hora del día y el turno:</w:t>
      </w:r>
    </w:p>
    <w:p w14:paraId="71CF78F0" w14:textId="77777777" w:rsidR="00BF74A5" w:rsidRPr="00BF74A5" w:rsidRDefault="00BF74A5" w:rsidP="00BF74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Tendencia del </w:t>
      </w:r>
      <w:proofErr w:type="spellStart"/>
      <w:r w:rsidRPr="00BF74A5">
        <w:rPr>
          <w:rFonts w:eastAsia="Times New Roman" w:cs="Times New Roman"/>
          <w:kern w:val="0"/>
          <w:lang w:eastAsia="es-MX"/>
          <w14:ligatures w14:val="none"/>
        </w:rPr>
        <w:t>CycleTime</w:t>
      </w:r>
      <w:proofErr w:type="spellEnd"/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 promedio por hora</w:t>
      </w:r>
    </w:p>
    <w:p w14:paraId="3F5F9250" w14:textId="77777777" w:rsidR="00BF74A5" w:rsidRPr="00BF74A5" w:rsidRDefault="00BF74A5" w:rsidP="00BF74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Muestra el tiempo promedio de ciclo en minutos para cada hora.</w:t>
      </w:r>
    </w:p>
    <w:p w14:paraId="507CDBF5" w14:textId="77777777" w:rsidR="00BF74A5" w:rsidRPr="00BF74A5" w:rsidRDefault="00BF74A5" w:rsidP="00BF74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Comparativo de detenciones (Vacío vs. Cargue)</w:t>
      </w:r>
    </w:p>
    <w:p w14:paraId="1B1D6077" w14:textId="7C3601C4" w:rsidR="00BF74A5" w:rsidRPr="00BF74A5" w:rsidRDefault="00BF74A5" w:rsidP="00BF74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Grafica las medias horarias de detención en ambos estados.</w:t>
      </w:r>
    </w:p>
    <w:p w14:paraId="5B78BB07" w14:textId="41ABD336" w:rsid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El usuario puede filtrar por turno (Día, Noche o Todos) mediante un menú desplegable.</w:t>
      </w:r>
    </w:p>
    <w:p w14:paraId="626C71FD" w14:textId="77777777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p w14:paraId="6FC68F08" w14:textId="77777777" w:rsidR="00BF74A5" w:rsidRPr="00BF74A5" w:rsidRDefault="00BF74A5" w:rsidP="00BF74A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b/>
          <w:bCs/>
          <w:kern w:val="0"/>
          <w:lang w:eastAsia="es-MX"/>
          <w14:ligatures w14:val="none"/>
        </w:rPr>
        <w:t>D. Predicciones de modelos</w:t>
      </w:r>
    </w:p>
    <w:p w14:paraId="160B5482" w14:textId="755DE0A2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El tablero integra tres formularios predictivos, conectados a la API:</w:t>
      </w:r>
    </w:p>
    <w:p w14:paraId="4BB5BEEA" w14:textId="358ABA56" w:rsidR="00BF74A5" w:rsidRPr="00BF74A5" w:rsidRDefault="00BF74A5" w:rsidP="00BF74A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4"/>
        <w:rPr>
          <w:rFonts w:eastAsia="Times New Roman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BF74A5">
        <w:rPr>
          <w:rFonts w:eastAsia="Times New Roman" w:cs="Times New Roman"/>
          <w:b/>
          <w:bCs/>
          <w:kern w:val="0"/>
          <w:sz w:val="20"/>
          <w:szCs w:val="20"/>
          <w:lang w:eastAsia="es-MX"/>
          <w14:ligatures w14:val="none"/>
        </w:rPr>
        <w:t>Modelo – Tiempo detenido en vacío</w:t>
      </w:r>
    </w:p>
    <w:p w14:paraId="1669FFFC" w14:textId="77777777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Predice la duración esperada de detención (en minutos) cuando el camión se encuentra vacío.</w:t>
      </w:r>
    </w:p>
    <w:p w14:paraId="7B8E2C60" w14:textId="77777777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Campos requeridos:</w:t>
      </w:r>
    </w:p>
    <w:p w14:paraId="537AC0DF" w14:textId="351C6BF7" w:rsidR="00BF74A5" w:rsidRPr="00BF74A5" w:rsidRDefault="00BF74A5" w:rsidP="00BF74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MX"/>
          <w14:ligatures w14:val="none"/>
        </w:rPr>
      </w:pPr>
      <w:r w:rsidRPr="00BF74A5">
        <w:rPr>
          <w:rFonts w:eastAsia="Times New Roman" w:cs="Times New Roman"/>
          <w:kern w:val="0"/>
          <w:lang w:val="en-US" w:eastAsia="es-MX"/>
          <w14:ligatures w14:val="none"/>
        </w:rPr>
        <w:t xml:space="preserve">Payload, </w:t>
      </w:r>
      <w:proofErr w:type="spellStart"/>
      <w:r w:rsidRPr="00BF74A5">
        <w:rPr>
          <w:rFonts w:eastAsia="Times New Roman" w:cs="Times New Roman"/>
          <w:kern w:val="0"/>
          <w:lang w:val="en-US" w:eastAsia="es-MX"/>
          <w14:ligatures w14:val="none"/>
        </w:rPr>
        <w:t>FuelBurned</w:t>
      </w:r>
      <w:proofErr w:type="spellEnd"/>
      <w:r w:rsidRPr="00BF74A5">
        <w:rPr>
          <w:rFonts w:eastAsia="Times New Roman" w:cs="Times New Roman"/>
          <w:kern w:val="0"/>
          <w:lang w:val="en-US" w:eastAsia="es-MX"/>
          <w14:ligatures w14:val="none"/>
        </w:rPr>
        <w:t xml:space="preserve">, </w:t>
      </w:r>
      <w:proofErr w:type="spellStart"/>
      <w:r w:rsidRPr="00BF74A5">
        <w:rPr>
          <w:rFonts w:eastAsia="Times New Roman" w:cs="Times New Roman"/>
          <w:kern w:val="0"/>
          <w:lang w:val="en-US" w:eastAsia="es-MX"/>
          <w14:ligatures w14:val="none"/>
        </w:rPr>
        <w:t>CycleTime</w:t>
      </w:r>
      <w:proofErr w:type="spellEnd"/>
      <w:r w:rsidRPr="00BF74A5">
        <w:rPr>
          <w:rFonts w:eastAsia="Times New Roman" w:cs="Times New Roman"/>
          <w:kern w:val="0"/>
          <w:lang w:val="en-US" w:eastAsia="es-MX"/>
          <w14:ligatures w14:val="none"/>
        </w:rPr>
        <w:t xml:space="preserve">, </w:t>
      </w:r>
      <w:proofErr w:type="spellStart"/>
      <w:r w:rsidRPr="00BF74A5">
        <w:rPr>
          <w:rFonts w:eastAsia="Times New Roman" w:cs="Times New Roman"/>
          <w:kern w:val="0"/>
          <w:lang w:val="en-US" w:eastAsia="es-MX"/>
          <w14:ligatures w14:val="none"/>
        </w:rPr>
        <w:t>EmptyTravelTime</w:t>
      </w:r>
      <w:proofErr w:type="spellEnd"/>
      <w:r w:rsidRPr="00BF74A5">
        <w:rPr>
          <w:rFonts w:eastAsia="Times New Roman" w:cs="Times New Roman"/>
          <w:kern w:val="0"/>
          <w:lang w:val="en-US" w:eastAsia="es-MX"/>
          <w14:ligatures w14:val="none"/>
        </w:rPr>
        <w:t xml:space="preserve">, </w:t>
      </w:r>
      <w:proofErr w:type="spellStart"/>
      <w:r w:rsidRPr="00BF74A5">
        <w:rPr>
          <w:rFonts w:eastAsia="Times New Roman" w:cs="Times New Roman"/>
          <w:kern w:val="0"/>
          <w:lang w:val="en-US" w:eastAsia="es-MX"/>
          <w14:ligatures w14:val="none"/>
        </w:rPr>
        <w:t>LoadTime</w:t>
      </w:r>
      <w:proofErr w:type="spellEnd"/>
      <w:r w:rsidRPr="00BF74A5">
        <w:rPr>
          <w:rFonts w:eastAsia="Times New Roman" w:cs="Times New Roman"/>
          <w:kern w:val="0"/>
          <w:lang w:val="en-US" w:eastAsia="es-MX"/>
          <w14:ligatures w14:val="none"/>
        </w:rPr>
        <w:t xml:space="preserve">, </w:t>
      </w:r>
      <w:proofErr w:type="spellStart"/>
      <w:r w:rsidRPr="00BF74A5">
        <w:rPr>
          <w:rFonts w:eastAsia="Times New Roman" w:cs="Times New Roman"/>
          <w:kern w:val="0"/>
          <w:lang w:val="en-US" w:eastAsia="es-MX"/>
          <w14:ligatures w14:val="none"/>
        </w:rPr>
        <w:t>LoadTravelTime</w:t>
      </w:r>
      <w:proofErr w:type="spellEnd"/>
      <w:r w:rsidRPr="00BF74A5">
        <w:rPr>
          <w:rFonts w:eastAsia="Times New Roman" w:cs="Times New Roman"/>
          <w:kern w:val="0"/>
          <w:lang w:val="en-US" w:eastAsia="es-MX"/>
          <w14:ligatures w14:val="none"/>
        </w:rPr>
        <w:t xml:space="preserve">, Hour, </w:t>
      </w:r>
      <w:proofErr w:type="spellStart"/>
      <w:r w:rsidRPr="00BF74A5">
        <w:rPr>
          <w:rFonts w:eastAsia="Times New Roman" w:cs="Times New Roman"/>
          <w:kern w:val="0"/>
          <w:lang w:val="en-US" w:eastAsia="es-MX"/>
          <w14:ligatures w14:val="none"/>
        </w:rPr>
        <w:t>Turno</w:t>
      </w:r>
      <w:proofErr w:type="spellEnd"/>
      <w:r w:rsidRPr="00BF74A5">
        <w:rPr>
          <w:rFonts w:eastAsia="Times New Roman" w:cs="Times New Roman"/>
          <w:kern w:val="0"/>
          <w:lang w:val="en-US" w:eastAsia="es-MX"/>
          <w14:ligatures w14:val="none"/>
        </w:rPr>
        <w:t xml:space="preserve"> (día/</w:t>
      </w:r>
      <w:proofErr w:type="spellStart"/>
      <w:r w:rsidRPr="00BF74A5">
        <w:rPr>
          <w:rFonts w:eastAsia="Times New Roman" w:cs="Times New Roman"/>
          <w:kern w:val="0"/>
          <w:lang w:val="en-US" w:eastAsia="es-MX"/>
          <w14:ligatures w14:val="none"/>
        </w:rPr>
        <w:t>noche</w:t>
      </w:r>
      <w:proofErr w:type="spellEnd"/>
      <w:r w:rsidRPr="00BF74A5">
        <w:rPr>
          <w:rFonts w:eastAsia="Times New Roman" w:cs="Times New Roman"/>
          <w:kern w:val="0"/>
          <w:lang w:val="en-US" w:eastAsia="es-MX"/>
          <w14:ligatures w14:val="none"/>
        </w:rPr>
        <w:t>)</w:t>
      </w:r>
    </w:p>
    <w:p w14:paraId="45C47EE4" w14:textId="285521C9" w:rsid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Al presionar “Predecir ciclo vacío”, se obtiene el valor estimado de detención.</w:t>
      </w:r>
    </w:p>
    <w:p w14:paraId="65B36657" w14:textId="77777777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p w14:paraId="1E44CCD8" w14:textId="4659D954" w:rsidR="00BF74A5" w:rsidRPr="00BF74A5" w:rsidRDefault="00BF74A5" w:rsidP="00BF74A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4"/>
        <w:rPr>
          <w:rFonts w:eastAsia="Times New Roman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BF74A5">
        <w:rPr>
          <w:rFonts w:eastAsia="Times New Roman" w:cs="Times New Roman"/>
          <w:b/>
          <w:bCs/>
          <w:kern w:val="0"/>
          <w:sz w:val="20"/>
          <w:szCs w:val="20"/>
          <w:lang w:eastAsia="es-MX"/>
          <w14:ligatures w14:val="none"/>
        </w:rPr>
        <w:lastRenderedPageBreak/>
        <w:t>Modelo – Tiempo detenido en cargue</w:t>
      </w:r>
    </w:p>
    <w:p w14:paraId="5073300B" w14:textId="77777777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Predice el tiempo de detención durante el proceso de carga.</w:t>
      </w:r>
    </w:p>
    <w:p w14:paraId="6E06EAF6" w14:textId="77777777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Campos similares al anterior.</w:t>
      </w:r>
    </w:p>
    <w:p w14:paraId="1A70DED3" w14:textId="77777777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El resultado se presenta en minutos.</w:t>
      </w:r>
    </w:p>
    <w:p w14:paraId="7720F713" w14:textId="77777777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p w14:paraId="46B39D78" w14:textId="4985C3D2" w:rsidR="00BF74A5" w:rsidRPr="00BF74A5" w:rsidRDefault="00BF74A5" w:rsidP="00BF74A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4"/>
        <w:rPr>
          <w:rFonts w:eastAsia="Times New Roman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BF74A5">
        <w:rPr>
          <w:rFonts w:eastAsia="Times New Roman" w:cs="Times New Roman"/>
          <w:b/>
          <w:bCs/>
          <w:kern w:val="0"/>
          <w:sz w:val="20"/>
          <w:szCs w:val="20"/>
          <w:lang w:eastAsia="es-MX"/>
          <w14:ligatures w14:val="none"/>
        </w:rPr>
        <w:t>Modelo – Clasificación de ciclo eficiente/ineficiente</w:t>
      </w:r>
    </w:p>
    <w:p w14:paraId="73ACF150" w14:textId="77777777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Determina si un ciclo completo es eficiente o no, junto con su probabilidad.</w:t>
      </w:r>
    </w:p>
    <w:p w14:paraId="4CB27968" w14:textId="77777777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Campos requeridos:</w:t>
      </w:r>
    </w:p>
    <w:p w14:paraId="6EF03EDD" w14:textId="2C56AE0A" w:rsidR="00BF74A5" w:rsidRPr="00BF74A5" w:rsidRDefault="00BF74A5" w:rsidP="00BF74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Variables operativas como </w:t>
      </w:r>
      <w:proofErr w:type="spellStart"/>
      <w:r w:rsidRPr="00BF74A5">
        <w:rPr>
          <w:rFonts w:eastAsia="Times New Roman" w:cs="Times New Roman"/>
          <w:kern w:val="0"/>
          <w:lang w:eastAsia="es-MX"/>
          <w14:ligatures w14:val="none"/>
        </w:rPr>
        <w:t>Payload</w:t>
      </w:r>
      <w:proofErr w:type="spellEnd"/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BF74A5">
        <w:rPr>
          <w:rFonts w:eastAsia="Times New Roman" w:cs="Times New Roman"/>
          <w:kern w:val="0"/>
          <w:lang w:eastAsia="es-MX"/>
          <w14:ligatures w14:val="none"/>
        </w:rPr>
        <w:t>FuelBurned</w:t>
      </w:r>
      <w:proofErr w:type="spellEnd"/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, Distancias, Tiempos de viaje, </w:t>
      </w:r>
      <w:proofErr w:type="spellStart"/>
      <w:r w:rsidRPr="00BF74A5">
        <w:rPr>
          <w:rFonts w:eastAsia="Times New Roman" w:cs="Times New Roman"/>
          <w:kern w:val="0"/>
          <w:lang w:eastAsia="es-MX"/>
          <w14:ligatures w14:val="none"/>
        </w:rPr>
        <w:t>TotalStopTime</w:t>
      </w:r>
      <w:proofErr w:type="spellEnd"/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BF74A5">
        <w:rPr>
          <w:rFonts w:eastAsia="Times New Roman" w:cs="Times New Roman"/>
          <w:kern w:val="0"/>
          <w:lang w:eastAsia="es-MX"/>
          <w14:ligatures w14:val="none"/>
        </w:rPr>
        <w:t>Hour</w:t>
      </w:r>
      <w:proofErr w:type="spellEnd"/>
      <w:r w:rsidRPr="00BF74A5">
        <w:rPr>
          <w:rFonts w:eastAsia="Times New Roman" w:cs="Times New Roman"/>
          <w:kern w:val="0"/>
          <w:lang w:eastAsia="es-MX"/>
          <w14:ligatures w14:val="none"/>
        </w:rPr>
        <w:t>, Turno.</w:t>
      </w:r>
    </w:p>
    <w:p w14:paraId="0ADB4245" w14:textId="2F411B74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El botón “Ejecutar predicción de eficiencia” devuelve una etiqueta (Eficiente o Ineficiente) y una probabilidad asociada.</w:t>
      </w:r>
    </w:p>
    <w:p w14:paraId="1889F7E2" w14:textId="77777777" w:rsidR="00BF74A5" w:rsidRPr="00BF74A5" w:rsidRDefault="00BF74A5" w:rsidP="00BF74A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4A5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Interpretación de resultados</w:t>
      </w:r>
    </w:p>
    <w:p w14:paraId="7FF75005" w14:textId="77777777" w:rsidR="00BF74A5" w:rsidRPr="00BF74A5" w:rsidRDefault="00BF74A5" w:rsidP="00BF74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Los valores predichos en minutos indican la magnitud estimada de la detención.</w:t>
      </w:r>
    </w:p>
    <w:p w14:paraId="4DC5D57D" w14:textId="77777777" w:rsidR="00BF74A5" w:rsidRPr="00BF74A5" w:rsidRDefault="00BF74A5" w:rsidP="00BF74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En el modelo de eficiencia, una probabilidad cercana a 1 indica alta confianza en que el ciclo será eficiente.</w:t>
      </w:r>
    </w:p>
    <w:p w14:paraId="2F87C3D2" w14:textId="5BE0D5E1" w:rsidR="00BF74A5" w:rsidRPr="00BF74A5" w:rsidRDefault="00BF74A5" w:rsidP="00BF74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Se recomienda analizar las predicciones junto a los gráficos para identificar patrones operativos.</w:t>
      </w:r>
    </w:p>
    <w:p w14:paraId="06701281" w14:textId="77777777" w:rsidR="00BF74A5" w:rsidRPr="00BF74A5" w:rsidRDefault="00BF74A5" w:rsidP="00BF74A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4A5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Errores comunes</w:t>
      </w:r>
    </w:p>
    <w:p w14:paraId="14828FB8" w14:textId="77777777" w:rsidR="00BF74A5" w:rsidRPr="00BF74A5" w:rsidRDefault="00BF74A5" w:rsidP="00BF74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Si el tablero muestra Error: conexión rechazada, asegúrese de que la API esté activa en el puerto 8500.</w:t>
      </w:r>
    </w:p>
    <w:p w14:paraId="6FD049CD" w14:textId="77777777" w:rsidR="00BF74A5" w:rsidRPr="00BF74A5" w:rsidRDefault="00BF74A5" w:rsidP="00BF74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Si aparece </w:t>
      </w:r>
      <w:proofErr w:type="spellStart"/>
      <w:r w:rsidRPr="00BF74A5">
        <w:rPr>
          <w:rFonts w:eastAsia="Times New Roman" w:cs="Times New Roman"/>
          <w:kern w:val="0"/>
          <w:lang w:eastAsia="es-MX"/>
          <w14:ligatures w14:val="none"/>
        </w:rPr>
        <w:t>Expecting</w:t>
      </w:r>
      <w:proofErr w:type="spellEnd"/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BF74A5">
        <w:rPr>
          <w:rFonts w:eastAsia="Times New Roman" w:cs="Times New Roman"/>
          <w:kern w:val="0"/>
          <w:lang w:eastAsia="es-MX"/>
          <w14:ligatures w14:val="none"/>
        </w:rPr>
        <w:t>value</w:t>
      </w:r>
      <w:proofErr w:type="spellEnd"/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: line 1 </w:t>
      </w:r>
      <w:proofErr w:type="spellStart"/>
      <w:r w:rsidRPr="00BF74A5">
        <w:rPr>
          <w:rFonts w:eastAsia="Times New Roman" w:cs="Times New Roman"/>
          <w:kern w:val="0"/>
          <w:lang w:eastAsia="es-MX"/>
          <w14:ligatures w14:val="none"/>
        </w:rPr>
        <w:t>column</w:t>
      </w:r>
      <w:proofErr w:type="spellEnd"/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 1, puede deberse a campos vacíos o datos no numéricos.</w:t>
      </w:r>
    </w:p>
    <w:p w14:paraId="7D541833" w14:textId="78075287" w:rsidR="00BF74A5" w:rsidRDefault="00BF74A5" w:rsidP="00BF74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Verifique que los modelos .</w:t>
      </w:r>
      <w:proofErr w:type="spellStart"/>
      <w:r w:rsidRPr="00BF74A5">
        <w:rPr>
          <w:rFonts w:eastAsia="Times New Roman" w:cs="Times New Roman"/>
          <w:kern w:val="0"/>
          <w:lang w:eastAsia="es-MX"/>
          <w14:ligatures w14:val="none"/>
        </w:rPr>
        <w:t>pkl</w:t>
      </w:r>
      <w:proofErr w:type="spellEnd"/>
      <w:r w:rsidRPr="00BF74A5">
        <w:rPr>
          <w:rFonts w:eastAsia="Times New Roman" w:cs="Times New Roman"/>
          <w:kern w:val="0"/>
          <w:lang w:eastAsia="es-MX"/>
          <w14:ligatures w14:val="none"/>
        </w:rPr>
        <w:t xml:space="preserve"> estén correctamente ubicados en la carpeta /</w:t>
      </w:r>
      <w:proofErr w:type="spellStart"/>
      <w:r w:rsidRPr="00BF74A5">
        <w:rPr>
          <w:rFonts w:eastAsia="Times New Roman" w:cs="Times New Roman"/>
          <w:kern w:val="0"/>
          <w:lang w:eastAsia="es-MX"/>
          <w14:ligatures w14:val="none"/>
        </w:rPr>
        <w:t>models</w:t>
      </w:r>
      <w:proofErr w:type="spellEnd"/>
      <w:r w:rsidRPr="00BF74A5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073BFD91" w14:textId="77777777" w:rsid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p w14:paraId="4C4CF60A" w14:textId="77777777" w:rsidR="00BF74A5" w:rsidRPr="00BF74A5" w:rsidRDefault="00BF74A5" w:rsidP="00BF74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p w14:paraId="1E3156D0" w14:textId="77777777" w:rsidR="00BF74A5" w:rsidRPr="00BF74A5" w:rsidRDefault="00BF74A5" w:rsidP="00BF74A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4A5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6. Requisitos del sistema</w:t>
      </w:r>
    </w:p>
    <w:p w14:paraId="65DC2DD2" w14:textId="77777777" w:rsidR="00BF74A5" w:rsidRPr="00BF74A5" w:rsidRDefault="00BF74A5" w:rsidP="00BF74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Python 3.10+</w:t>
      </w:r>
    </w:p>
    <w:p w14:paraId="4AD6BD56" w14:textId="77777777" w:rsidR="00BF74A5" w:rsidRPr="00BF74A5" w:rsidRDefault="00BF74A5" w:rsidP="00BF74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Dependencias instaladas desde requirements.txt</w:t>
      </w:r>
    </w:p>
    <w:p w14:paraId="2B2A633C" w14:textId="77777777" w:rsidR="00BF74A5" w:rsidRPr="00BF74A5" w:rsidRDefault="00BF74A5" w:rsidP="00BF74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Navegador actualizado (Google Chrome recomendado)</w:t>
      </w:r>
    </w:p>
    <w:p w14:paraId="142DCA38" w14:textId="77777777" w:rsidR="00BF74A5" w:rsidRPr="00BF74A5" w:rsidRDefault="00BF74A5" w:rsidP="00BF74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BF74A5">
        <w:rPr>
          <w:rFonts w:eastAsia="Times New Roman" w:cs="Times New Roman"/>
          <w:kern w:val="0"/>
          <w:lang w:eastAsia="es-MX"/>
          <w14:ligatures w14:val="none"/>
        </w:rPr>
        <w:t>Docker (opcional para despliegue rápido)</w:t>
      </w:r>
    </w:p>
    <w:p w14:paraId="77EA8649" w14:textId="10CDA96F" w:rsidR="00C12C97" w:rsidRPr="00BF74A5" w:rsidRDefault="00C12C97" w:rsidP="00BF74A5">
      <w:pPr>
        <w:spacing w:line="240" w:lineRule="auto"/>
      </w:pPr>
    </w:p>
    <w:sectPr w:rsidR="00C12C97" w:rsidRPr="00BF74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11815"/>
    <w:multiLevelType w:val="multilevel"/>
    <w:tmpl w:val="0A7E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C3E87"/>
    <w:multiLevelType w:val="multilevel"/>
    <w:tmpl w:val="EEEC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D7570"/>
    <w:multiLevelType w:val="multilevel"/>
    <w:tmpl w:val="21FC2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14257"/>
    <w:multiLevelType w:val="hybridMultilevel"/>
    <w:tmpl w:val="69A0A760"/>
    <w:lvl w:ilvl="0" w:tplc="8586F22E">
      <w:start w:val="1"/>
      <w:numFmt w:val="bullet"/>
      <w:lvlText w:val="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C71C87"/>
    <w:multiLevelType w:val="hybridMultilevel"/>
    <w:tmpl w:val="E500C7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D47BF"/>
    <w:multiLevelType w:val="multilevel"/>
    <w:tmpl w:val="555E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63D4D"/>
    <w:multiLevelType w:val="multilevel"/>
    <w:tmpl w:val="C60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83910"/>
    <w:multiLevelType w:val="multilevel"/>
    <w:tmpl w:val="ADC0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F3699"/>
    <w:multiLevelType w:val="multilevel"/>
    <w:tmpl w:val="91D8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227DE"/>
    <w:multiLevelType w:val="multilevel"/>
    <w:tmpl w:val="6F40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D5393"/>
    <w:multiLevelType w:val="multilevel"/>
    <w:tmpl w:val="D780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89380">
    <w:abstractNumId w:val="9"/>
  </w:num>
  <w:num w:numId="2" w16cid:durableId="172501646">
    <w:abstractNumId w:val="5"/>
  </w:num>
  <w:num w:numId="3" w16cid:durableId="1315181302">
    <w:abstractNumId w:val="8"/>
  </w:num>
  <w:num w:numId="4" w16cid:durableId="791750471">
    <w:abstractNumId w:val="2"/>
  </w:num>
  <w:num w:numId="5" w16cid:durableId="535048686">
    <w:abstractNumId w:val="0"/>
  </w:num>
  <w:num w:numId="6" w16cid:durableId="1816221272">
    <w:abstractNumId w:val="1"/>
  </w:num>
  <w:num w:numId="7" w16cid:durableId="1071662085">
    <w:abstractNumId w:val="6"/>
  </w:num>
  <w:num w:numId="8" w16cid:durableId="1557424667">
    <w:abstractNumId w:val="7"/>
  </w:num>
  <w:num w:numId="9" w16cid:durableId="194003986">
    <w:abstractNumId w:val="10"/>
  </w:num>
  <w:num w:numId="10" w16cid:durableId="815223390">
    <w:abstractNumId w:val="3"/>
  </w:num>
  <w:num w:numId="11" w16cid:durableId="800538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A5"/>
    <w:rsid w:val="00154D7D"/>
    <w:rsid w:val="00245083"/>
    <w:rsid w:val="00570C4B"/>
    <w:rsid w:val="00BF74A5"/>
    <w:rsid w:val="00C12C97"/>
    <w:rsid w:val="00C21303"/>
    <w:rsid w:val="00DB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5B75A"/>
  <w15:chartTrackingRefBased/>
  <w15:docId w15:val="{7D3A649A-6B01-2D48-89BB-34976A9F0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F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F7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7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7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7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7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7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F7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F7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F74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BF74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74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74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74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74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7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7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7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7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74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74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74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7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74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74A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F7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BF74A5"/>
  </w:style>
  <w:style w:type="paragraph" w:customStyle="1" w:styleId="p2">
    <w:name w:val="p2"/>
    <w:basedOn w:val="Normal"/>
    <w:rsid w:val="00BF7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2">
    <w:name w:val="s2"/>
    <w:basedOn w:val="Fuentedeprrafopredeter"/>
    <w:rsid w:val="00BF74A5"/>
  </w:style>
  <w:style w:type="paragraph" w:customStyle="1" w:styleId="p3">
    <w:name w:val="p3"/>
    <w:basedOn w:val="Normal"/>
    <w:rsid w:val="00BF7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BF74A5"/>
  </w:style>
  <w:style w:type="character" w:customStyle="1" w:styleId="s4">
    <w:name w:val="s4"/>
    <w:basedOn w:val="Fuentedeprrafopredeter"/>
    <w:rsid w:val="00BF7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572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Cortes</dc:creator>
  <cp:keywords/>
  <dc:description/>
  <cp:lastModifiedBy>Luis Eduardo Cortes</cp:lastModifiedBy>
  <cp:revision>1</cp:revision>
  <dcterms:created xsi:type="dcterms:W3CDTF">2025-11-22T03:21:00Z</dcterms:created>
  <dcterms:modified xsi:type="dcterms:W3CDTF">2025-11-22T03:44:00Z</dcterms:modified>
</cp:coreProperties>
</file>