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LG STUDIO</w:t>
      </w:r>
    </w:p>
    <w:p>
      <w:pPr>
        <w:pStyle w:val="Title"/>
      </w:pPr>
      <w:r>
        <w:t>Homepage Redesign</w:t>
        <w:br/>
        <w:t>Master Implementation Brief</w:t>
      </w:r>
    </w:p>
    <w:p>
      <w:pPr>
        <w:pStyle w:val="Subtitle"/>
      </w:pPr>
      <w:r>
        <w:t>Diagnostic-first positioning. Editorial warmth. Evidence-led conversion.</w:t>
      </w:r>
    </w:p>
    <w:tbl>
      <w:tblPr>
        <w:tblW w:type="auto" w:w="0"/>
        <w:jc w:val="left"/>
        <w:tblLayout w:type="fixed"/>
        <w:tblLook w:firstColumn="1" w:firstRow="1" w:lastColumn="0" w:lastRow="0" w:noHBand="0" w:noVBand="1" w:val="04A0"/>
      </w:tblPr>
      <w:tblGrid>
        <w:gridCol w:w="5083"/>
        <w:gridCol w:w="5083"/>
      </w:tblGrid>
      <w:tr>
        <w:tc>
          <w:tcPr>
            <w:tcW w:type="dxa" w:w="2376"/>
            <w:shd w:fill="E7DDD0"/>
            <w:tcMar>
              <w:top w:w="150" w:type="dxa"/>
              <w:start w:w="180" w:type="dxa"/>
              <w:bottom w:w="150" w:type="dxa"/>
              <w:end w:w="180" w:type="dxa"/>
            </w:tcMar>
          </w:tcPr>
          <w:p>
            <w:r>
              <w:rPr>
                <w:b/>
                <w:color w:val="D86F50"/>
                <w:sz w:val="16"/>
              </w:rPr>
              <w:t>AUDIENCE</w:t>
            </w:r>
          </w:p>
        </w:tc>
        <w:tc>
          <w:tcPr>
            <w:tcW w:type="dxa" w:w="8496"/>
            <w:shd w:fill="F7F1E8"/>
            <w:tcMar>
              <w:top w:w="150" w:type="dxa"/>
              <w:start w:w="180" w:type="dxa"/>
              <w:bottom w:w="150" w:type="dxa"/>
              <w:end w:w="180" w:type="dxa"/>
            </w:tcMar>
          </w:tcPr>
          <w:p>
            <w:r>
              <w:rPr>
                <w:sz w:val="20"/>
              </w:rPr>
              <w:t>Systems architect, design lead, front-end engineer, Cursor AI</w:t>
            </w:r>
          </w:p>
        </w:tc>
      </w:tr>
      <w:tr>
        <w:tc>
          <w:tcPr>
            <w:tcW w:type="dxa" w:w="2376"/>
            <w:shd w:fill="E7DDD0"/>
            <w:tcMar>
              <w:top w:w="150" w:type="dxa"/>
              <w:start w:w="180" w:type="dxa"/>
              <w:bottom w:w="150" w:type="dxa"/>
              <w:end w:w="180" w:type="dxa"/>
            </w:tcMar>
          </w:tcPr>
          <w:p>
            <w:r>
              <w:rPr>
                <w:b/>
                <w:color w:val="D86F50"/>
                <w:sz w:val="16"/>
              </w:rPr>
              <w:t>STARTING POINT</w:t>
            </w:r>
          </w:p>
        </w:tc>
        <w:tc>
          <w:tcPr>
            <w:tcW w:type="dxa" w:w="8496"/>
            <w:shd w:fill="F7F1E8"/>
            <w:tcMar>
              <w:top w:w="150" w:type="dxa"/>
              <w:start w:w="180" w:type="dxa"/>
              <w:bottom w:w="150" w:type="dxa"/>
              <w:end w:w="180" w:type="dxa"/>
            </w:tcMar>
          </w:tcPr>
          <w:p>
            <w:r>
              <w:rPr>
                <w:sz w:val="20"/>
              </w:rPr>
              <w:t>Current static HTML/CSS/JavaScript LG Studio homepage</w:t>
            </w:r>
          </w:p>
        </w:tc>
      </w:tr>
      <w:tr>
        <w:tc>
          <w:tcPr>
            <w:tcW w:type="dxa" w:w="2376"/>
            <w:shd w:fill="E7DDD0"/>
            <w:tcMar>
              <w:top w:w="150" w:type="dxa"/>
              <w:start w:w="180" w:type="dxa"/>
              <w:bottom w:w="150" w:type="dxa"/>
              <w:end w:w="180" w:type="dxa"/>
            </w:tcMar>
          </w:tcPr>
          <w:p>
            <w:r>
              <w:rPr>
                <w:b/>
                <w:color w:val="D86F50"/>
                <w:sz w:val="16"/>
              </w:rPr>
              <w:t>PRIMARY GOAL</w:t>
            </w:r>
          </w:p>
        </w:tc>
        <w:tc>
          <w:tcPr>
            <w:tcW w:type="dxa" w:w="8496"/>
            <w:shd w:fill="F7F1E8"/>
            <w:tcMar>
              <w:top w:w="150" w:type="dxa"/>
              <w:start w:w="180" w:type="dxa"/>
              <w:bottom w:w="150" w:type="dxa"/>
              <w:end w:w="180" w:type="dxa"/>
            </w:tcMar>
          </w:tcPr>
          <w:p>
            <w:r>
              <w:rPr>
                <w:sz w:val="20"/>
              </w:rPr>
              <w:t>Make the diagnostic lens understandable within 30 seconds and convert it into a credible path into StrategyIQ Light, a Strategic Read, Advisory, or Build.</w:t>
            </w:r>
          </w:p>
        </w:tc>
      </w:tr>
    </w:tbl>
    <w:p/>
    <w:p>
      <w:pPr>
        <w:pStyle w:val="Eyebrow"/>
      </w:pPr>
      <w:r>
        <w:t>The governing idea</w:t>
      </w:r>
    </w:p>
    <w:p>
      <w:pPr>
        <w:pStyle w:val="Callout"/>
      </w:pPr>
      <w:r>
        <w:t>LG Studio finds what the visible marketing problem is really pointing to before recommending what to do next.</w:t>
      </w:r>
    </w:p>
    <w:p>
      <w:r>
        <w:br w:type="page"/>
      </w:r>
    </w:p>
    <w:p>
      <w:pPr>
        <w:pStyle w:val="Heading1"/>
      </w:pPr>
      <w:r>
        <w:t>01  Executive Direction</w:t>
      </w:r>
    </w:p>
    <w:p>
      <w:pPr>
        <w:pStyle w:val="SectionIntro"/>
      </w:pPr>
      <w:r>
        <w:t>The homepage must evolve from a premium strategy consultancy page into a diagnostic-first experience. LG Studio does not begin with tactics or deliverables. It begins by reading the conditions underneath the visible request.</w:t>
      </w:r>
    </w:p>
    <w:p>
      <w:pPr>
        <w:pStyle w:val="Heading2"/>
      </w:pPr>
      <w:r>
        <w:t>Positioning definition</w:t>
      </w:r>
    </w:p>
    <w:p>
      <w:r>
        <w:t>LG Studio is a strategic marketing advisory and systems practice. It reads the business and operating conditions that marketing depends on, identifies the most likely constraint behind the visible problem, sets direction, and builds what the situation actually requires.</w:t>
      </w:r>
    </w:p>
    <w:p>
      <w:pPr>
        <w:pStyle w:val="Heading2"/>
      </w:pPr>
      <w:r>
        <w:t>Scope boundary</w:t>
      </w:r>
    </w:p>
    <w:p>
      <w:r>
        <w:t>LG Studio may identify offer ambiguity, audience mismatch, weak positioning, priority conflict, decision friction, capacity limits, customer-experience breakdowns, or operating conditions that prevent marketing from working. It is not a general management consultancy, financial advisory, or outsourced operations function. It does not manage client budgets, financial models, or organizational performance as a whole.</w:t>
      </w:r>
    </w:p>
    <w:p>
      <w:pPr>
        <w:pStyle w:val="Heading2"/>
      </w:pPr>
      <w:r>
        <w:t>Desired visitor takeaway</w:t>
      </w:r>
    </w:p>
    <w:p>
      <w:pPr>
        <w:pStyle w:val="ListBullet"/>
      </w:pPr>
      <w:r>
        <w:t>Not: LG Studio offers a collection of strategy, design, and AI services.</w:t>
      </w:r>
    </w:p>
    <w:p>
      <w:pPr>
        <w:pStyle w:val="ListBullet"/>
      </w:pPr>
      <w:r>
        <w:t>Not: LG Studio has a clever framework.</w:t>
      </w:r>
    </w:p>
    <w:p>
      <w:pPr>
        <w:pStyle w:val="ListBullet"/>
      </w:pPr>
      <w:r>
        <w:t>Yes: LG Studio finds what the visible marketing problem is really pointing to, then directs and builds what the work needs next.</w:t>
      </w:r>
    </w:p>
    <w:p>
      <w:pPr>
        <w:pStyle w:val="Heading2"/>
      </w:pPr>
      <w:r>
        <w:t>Primary business promise</w:t>
      </w:r>
    </w:p>
    <w:p>
      <w:pPr>
        <w:pStyle w:val="Callout"/>
      </w:pPr>
      <w:r>
        <w:t>A closer read of what is getting in the way, followed by clear direction and useful work.</w:t>
      </w:r>
    </w:p>
    <w:p>
      <w:pPr>
        <w:pStyle w:val="Heading2"/>
      </w:pPr>
      <w:r>
        <w:t>The role of StrategyIQ</w:t>
      </w:r>
    </w:p>
    <w:p>
      <w:r>
        <w:t>StrategyIQ is the proprietary operating system behind the read. It captures signals, structures patterns, and surfaces likely constraints. It is not positioned as magic, software theater, or a generic assessment. The system maps the pattern. Luis reads what it means, sets direction, and remains accountable for what follows.</w:t>
      </w:r>
    </w:p>
    <w:p>
      <w:r>
        <w:br w:type="page"/>
      </w:r>
    </w:p>
    <w:p>
      <w:pPr>
        <w:pStyle w:val="Heading1"/>
      </w:pPr>
      <w:r>
        <w:t>02  Narrative Architecture</w:t>
      </w:r>
    </w:p>
    <w:p>
      <w:pPr>
        <w:pStyle w:val="SectionIntro"/>
      </w:pPr>
      <w:r>
        <w:t>The page should advance one argument in a deliberate sequence. Each section earns the next.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51412"/>
            <w:tcMar>
              <w:top w:w="120" w:type="dxa"/>
              <w:start w:w="140" w:type="dxa"/>
              <w:bottom w:w="120" w:type="dxa"/>
              <w:end w:w="140" w:type="dxa"/>
            </w:tcMar>
          </w:tcPr>
          <w:p>
            <w:r>
              <w:rPr>
                <w:b/>
                <w:color w:val="FFFFFF"/>
                <w:sz w:val="16"/>
              </w:rPr>
              <w:t>#</w:t>
            </w:r>
          </w:p>
        </w:tc>
        <w:tc>
          <w:tcPr>
            <w:tcW w:type="dxa" w:w="2664"/>
            <w:shd w:fill="151412"/>
            <w:tcMar>
              <w:top w:w="120" w:type="dxa"/>
              <w:start w:w="140" w:type="dxa"/>
              <w:bottom w:w="120" w:type="dxa"/>
              <w:end w:w="140" w:type="dxa"/>
            </w:tcMar>
          </w:tcPr>
          <w:p>
            <w:r>
              <w:rPr>
                <w:b/>
                <w:color w:val="FFFFFF"/>
                <w:sz w:val="16"/>
              </w:rPr>
              <w:t>SECTION</w:t>
            </w:r>
          </w:p>
        </w:tc>
        <w:tc>
          <w:tcPr>
            <w:tcW w:type="dxa" w:w="7056"/>
            <w:shd w:fill="151412"/>
            <w:tcMar>
              <w:top w:w="120" w:type="dxa"/>
              <w:start w:w="140" w:type="dxa"/>
              <w:bottom w:w="120" w:type="dxa"/>
              <w:end w:w="140" w:type="dxa"/>
            </w:tcMar>
          </w:tcPr>
          <w:p>
            <w:r>
              <w:rPr>
                <w:b/>
                <w:color w:val="FFFFFF"/>
                <w:sz w:val="16"/>
              </w:rPr>
              <w:t>JOB TO BE DONE</w:t>
            </w:r>
          </w:p>
        </w:tc>
      </w:tr>
      <w:tr>
        <w:tc>
          <w:tcPr>
            <w:tcW w:type="dxa" w:w="792"/>
            <w:tcMar>
              <w:top w:w="110" w:type="dxa"/>
              <w:start w:w="140" w:type="dxa"/>
              <w:bottom w:w="110" w:type="dxa"/>
              <w:end w:w="140" w:type="dxa"/>
            </w:tcMar>
          </w:tcPr>
          <w:p>
            <w:r>
              <w:rPr>
                <w:b/>
                <w:color w:val="D86F50"/>
                <w:sz w:val="18"/>
              </w:rPr>
              <w:t>01</w:t>
            </w:r>
          </w:p>
        </w:tc>
        <w:tc>
          <w:tcPr>
            <w:tcW w:type="dxa" w:w="2664"/>
            <w:tcMar>
              <w:top w:w="110" w:type="dxa"/>
              <w:start w:w="140" w:type="dxa"/>
              <w:bottom w:w="110" w:type="dxa"/>
              <w:end w:w="140" w:type="dxa"/>
            </w:tcMar>
          </w:tcPr>
          <w:p>
            <w:r>
              <w:rPr>
                <w:b/>
                <w:sz w:val="18"/>
              </w:rPr>
              <w:t>Hero</w:t>
            </w:r>
          </w:p>
        </w:tc>
        <w:tc>
          <w:tcPr>
            <w:tcW w:type="dxa" w:w="7056"/>
            <w:tcMar>
              <w:top w:w="110" w:type="dxa"/>
              <w:start w:w="140" w:type="dxa"/>
              <w:bottom w:w="110" w:type="dxa"/>
              <w:end w:w="140" w:type="dxa"/>
            </w:tcMar>
          </w:tcPr>
          <w:p>
            <w:r>
              <w:rPr>
                <w:sz w:val="18"/>
              </w:rPr>
              <w:t>Establish the belief and the business promise.</w:t>
            </w:r>
          </w:p>
        </w:tc>
      </w:tr>
      <w:tr>
        <w:tc>
          <w:tcPr>
            <w:tcW w:type="dxa" w:w="792"/>
            <w:tcMar>
              <w:top w:w="110" w:type="dxa"/>
              <w:start w:w="140" w:type="dxa"/>
              <w:bottom w:w="110" w:type="dxa"/>
              <w:end w:w="140" w:type="dxa"/>
            </w:tcMar>
            <w:shd w:fill="F7F1E8"/>
          </w:tcPr>
          <w:p>
            <w:r>
              <w:rPr>
                <w:b/>
                <w:color w:val="D86F50"/>
                <w:sz w:val="18"/>
              </w:rPr>
              <w:t>02</w:t>
            </w:r>
          </w:p>
        </w:tc>
        <w:tc>
          <w:tcPr>
            <w:tcW w:type="dxa" w:w="2664"/>
            <w:tcMar>
              <w:top w:w="110" w:type="dxa"/>
              <w:start w:w="140" w:type="dxa"/>
              <w:bottom w:w="110" w:type="dxa"/>
              <w:end w:w="140" w:type="dxa"/>
            </w:tcMar>
            <w:shd w:fill="F7F1E8"/>
          </w:tcPr>
          <w:p>
            <w:r>
              <w:rPr>
                <w:b/>
                <w:sz w:val="18"/>
              </w:rPr>
              <w:t>Diagnostic Belief</w:t>
            </w:r>
          </w:p>
        </w:tc>
        <w:tc>
          <w:tcPr>
            <w:tcW w:type="dxa" w:w="7056"/>
            <w:tcMar>
              <w:top w:w="110" w:type="dxa"/>
              <w:start w:w="140" w:type="dxa"/>
              <w:bottom w:w="110" w:type="dxa"/>
              <w:end w:w="140" w:type="dxa"/>
            </w:tcMar>
            <w:shd w:fill="F7F1E8"/>
          </w:tcPr>
          <w:p>
            <w:r>
              <w:rPr>
                <w:sz w:val="18"/>
              </w:rPr>
              <w:t>Explain that visible marketing problems are often symptoms.</w:t>
            </w:r>
          </w:p>
        </w:tc>
      </w:tr>
      <w:tr>
        <w:tc>
          <w:tcPr>
            <w:tcW w:type="dxa" w:w="792"/>
            <w:tcMar>
              <w:top w:w="110" w:type="dxa"/>
              <w:start w:w="140" w:type="dxa"/>
              <w:bottom w:w="110" w:type="dxa"/>
              <w:end w:w="140" w:type="dxa"/>
            </w:tcMar>
          </w:tcPr>
          <w:p>
            <w:r>
              <w:rPr>
                <w:b/>
                <w:color w:val="D86F50"/>
                <w:sz w:val="18"/>
              </w:rPr>
              <w:t>03</w:t>
            </w:r>
          </w:p>
        </w:tc>
        <w:tc>
          <w:tcPr>
            <w:tcW w:type="dxa" w:w="2664"/>
            <w:tcMar>
              <w:top w:w="110" w:type="dxa"/>
              <w:start w:w="140" w:type="dxa"/>
              <w:bottom w:w="110" w:type="dxa"/>
              <w:end w:w="140" w:type="dxa"/>
            </w:tcMar>
          </w:tcPr>
          <w:p>
            <w:r>
              <w:rPr>
                <w:b/>
                <w:sz w:val="18"/>
              </w:rPr>
              <w:t>Symptom → Conditions Explorer</w:t>
            </w:r>
          </w:p>
        </w:tc>
        <w:tc>
          <w:tcPr>
            <w:tcW w:type="dxa" w:w="7056"/>
            <w:tcMar>
              <w:top w:w="110" w:type="dxa"/>
              <w:start w:w="140" w:type="dxa"/>
              <w:bottom w:w="110" w:type="dxa"/>
              <w:end w:w="140" w:type="dxa"/>
            </w:tcMar>
          </w:tcPr>
          <w:p>
            <w:r>
              <w:rPr>
                <w:sz w:val="18"/>
              </w:rPr>
              <w:t>Demonstrate that one symptom can have several plausible underlying causes.</w:t>
            </w:r>
          </w:p>
        </w:tc>
      </w:tr>
      <w:tr>
        <w:tc>
          <w:tcPr>
            <w:tcW w:type="dxa" w:w="792"/>
            <w:tcMar>
              <w:top w:w="110" w:type="dxa"/>
              <w:start w:w="140" w:type="dxa"/>
              <w:bottom w:w="110" w:type="dxa"/>
              <w:end w:w="140" w:type="dxa"/>
            </w:tcMar>
            <w:shd w:fill="F7F1E8"/>
          </w:tcPr>
          <w:p>
            <w:r>
              <w:rPr>
                <w:b/>
                <w:color w:val="D86F50"/>
                <w:sz w:val="18"/>
              </w:rPr>
              <w:t>04</w:t>
            </w:r>
          </w:p>
        </w:tc>
        <w:tc>
          <w:tcPr>
            <w:tcW w:type="dxa" w:w="2664"/>
            <w:tcMar>
              <w:top w:w="110" w:type="dxa"/>
              <w:start w:w="140" w:type="dxa"/>
              <w:bottom w:w="110" w:type="dxa"/>
              <w:end w:w="140" w:type="dxa"/>
            </w:tcMar>
            <w:shd w:fill="F7F1E8"/>
          </w:tcPr>
          <w:p>
            <w:r>
              <w:rPr>
                <w:b/>
                <w:sz w:val="18"/>
              </w:rPr>
              <w:t>StrategyIQ</w:t>
            </w:r>
          </w:p>
        </w:tc>
        <w:tc>
          <w:tcPr>
            <w:tcW w:type="dxa" w:w="7056"/>
            <w:tcMar>
              <w:top w:w="110" w:type="dxa"/>
              <w:start w:w="140" w:type="dxa"/>
              <w:bottom w:w="110" w:type="dxa"/>
              <w:end w:w="140" w:type="dxa"/>
            </w:tcMar>
            <w:shd w:fill="F7F1E8"/>
          </w:tcPr>
          <w:p>
            <w:r>
              <w:rPr>
                <w:sz w:val="18"/>
              </w:rPr>
              <w:t>Reveal the proprietary mechanism used to structure the read.</w:t>
            </w:r>
          </w:p>
        </w:tc>
      </w:tr>
      <w:tr>
        <w:tc>
          <w:tcPr>
            <w:tcW w:type="dxa" w:w="792"/>
            <w:tcMar>
              <w:top w:w="110" w:type="dxa"/>
              <w:start w:w="140" w:type="dxa"/>
              <w:bottom w:w="110" w:type="dxa"/>
              <w:end w:w="140" w:type="dxa"/>
            </w:tcMar>
          </w:tcPr>
          <w:p>
            <w:r>
              <w:rPr>
                <w:b/>
                <w:color w:val="D86F50"/>
                <w:sz w:val="18"/>
              </w:rPr>
              <w:t>05</w:t>
            </w:r>
          </w:p>
        </w:tc>
        <w:tc>
          <w:tcPr>
            <w:tcW w:type="dxa" w:w="2664"/>
            <w:tcMar>
              <w:top w:w="110" w:type="dxa"/>
              <w:start w:w="140" w:type="dxa"/>
              <w:bottom w:w="110" w:type="dxa"/>
              <w:end w:w="140" w:type="dxa"/>
            </w:tcMar>
          </w:tcPr>
          <w:p>
            <w:r>
              <w:rPr>
                <w:b/>
                <w:sz w:val="18"/>
              </w:rPr>
              <w:t>Selected Work</w:t>
            </w:r>
          </w:p>
        </w:tc>
        <w:tc>
          <w:tcPr>
            <w:tcW w:type="dxa" w:w="7056"/>
            <w:tcMar>
              <w:top w:w="110" w:type="dxa"/>
              <w:start w:w="140" w:type="dxa"/>
              <w:bottom w:w="110" w:type="dxa"/>
              <w:end w:w="140" w:type="dxa"/>
            </w:tcMar>
          </w:tcPr>
          <w:p>
            <w:r>
              <w:rPr>
                <w:sz w:val="18"/>
              </w:rPr>
              <w:t>Provide proof immediately after the belief and mechanism.</w:t>
            </w:r>
          </w:p>
        </w:tc>
      </w:tr>
      <w:tr>
        <w:tc>
          <w:tcPr>
            <w:tcW w:type="dxa" w:w="792"/>
            <w:tcMar>
              <w:top w:w="110" w:type="dxa"/>
              <w:start w:w="140" w:type="dxa"/>
              <w:bottom w:w="110" w:type="dxa"/>
              <w:end w:w="140" w:type="dxa"/>
            </w:tcMar>
            <w:shd w:fill="F7F1E8"/>
          </w:tcPr>
          <w:p>
            <w:r>
              <w:rPr>
                <w:b/>
                <w:color w:val="D86F50"/>
                <w:sz w:val="18"/>
              </w:rPr>
              <w:t>06</w:t>
            </w:r>
          </w:p>
        </w:tc>
        <w:tc>
          <w:tcPr>
            <w:tcW w:type="dxa" w:w="2664"/>
            <w:tcMar>
              <w:top w:w="110" w:type="dxa"/>
              <w:start w:w="140" w:type="dxa"/>
              <w:bottom w:w="110" w:type="dxa"/>
              <w:end w:w="140" w:type="dxa"/>
            </w:tcMar>
            <w:shd w:fill="F7F1E8"/>
          </w:tcPr>
          <w:p>
            <w:r>
              <w:rPr>
                <w:b/>
                <w:sz w:val="18"/>
              </w:rPr>
              <w:t>Read. Direct. Build.</w:t>
            </w:r>
          </w:p>
        </w:tc>
        <w:tc>
          <w:tcPr>
            <w:tcW w:type="dxa" w:w="7056"/>
            <w:tcMar>
              <w:top w:w="110" w:type="dxa"/>
              <w:start w:w="140" w:type="dxa"/>
              <w:bottom w:w="110" w:type="dxa"/>
              <w:end w:w="140" w:type="dxa"/>
            </w:tcMar>
            <w:shd w:fill="F7F1E8"/>
          </w:tcPr>
          <w:p>
            <w:r>
              <w:rPr>
                <w:sz w:val="18"/>
              </w:rPr>
              <w:t>Explain how the practice turns diagnosis into action.</w:t>
            </w:r>
          </w:p>
        </w:tc>
      </w:tr>
      <w:tr>
        <w:tc>
          <w:tcPr>
            <w:tcW w:type="dxa" w:w="792"/>
            <w:tcMar>
              <w:top w:w="110" w:type="dxa"/>
              <w:start w:w="140" w:type="dxa"/>
              <w:bottom w:w="110" w:type="dxa"/>
              <w:end w:w="140" w:type="dxa"/>
            </w:tcMar>
          </w:tcPr>
          <w:p>
            <w:r>
              <w:rPr>
                <w:b/>
                <w:color w:val="D86F50"/>
                <w:sz w:val="18"/>
              </w:rPr>
              <w:t>07</w:t>
            </w:r>
          </w:p>
        </w:tc>
        <w:tc>
          <w:tcPr>
            <w:tcW w:type="dxa" w:w="2664"/>
            <w:tcMar>
              <w:top w:w="110" w:type="dxa"/>
              <w:start w:w="140" w:type="dxa"/>
              <w:bottom w:w="110" w:type="dxa"/>
              <w:end w:w="140" w:type="dxa"/>
            </w:tcMar>
          </w:tcPr>
          <w:p>
            <w:r>
              <w:rPr>
                <w:b/>
                <w:sz w:val="18"/>
              </w:rPr>
              <w:t>Strategist Notes</w:t>
            </w:r>
          </w:p>
        </w:tc>
        <w:tc>
          <w:tcPr>
            <w:tcW w:type="dxa" w:w="7056"/>
            <w:tcMar>
              <w:top w:w="110" w:type="dxa"/>
              <w:start w:w="140" w:type="dxa"/>
              <w:bottom w:w="110" w:type="dxa"/>
              <w:end w:w="140" w:type="dxa"/>
            </w:tcMar>
          </w:tcPr>
          <w:p>
            <w:r>
              <w:rPr>
                <w:sz w:val="18"/>
              </w:rPr>
              <w:t>Show pattern recognition through concise observations.</w:t>
            </w:r>
          </w:p>
        </w:tc>
      </w:tr>
      <w:tr>
        <w:tc>
          <w:tcPr>
            <w:tcW w:type="dxa" w:w="792"/>
            <w:tcMar>
              <w:top w:w="110" w:type="dxa"/>
              <w:start w:w="140" w:type="dxa"/>
              <w:bottom w:w="110" w:type="dxa"/>
              <w:end w:w="140" w:type="dxa"/>
            </w:tcMar>
            <w:shd w:fill="F7F1E8"/>
          </w:tcPr>
          <w:p>
            <w:r>
              <w:rPr>
                <w:b/>
                <w:color w:val="D86F50"/>
                <w:sz w:val="18"/>
              </w:rPr>
              <w:t>08</w:t>
            </w:r>
          </w:p>
        </w:tc>
        <w:tc>
          <w:tcPr>
            <w:tcW w:type="dxa" w:w="2664"/>
            <w:tcMar>
              <w:top w:w="110" w:type="dxa"/>
              <w:start w:w="140" w:type="dxa"/>
              <w:bottom w:w="110" w:type="dxa"/>
              <w:end w:w="140" w:type="dxa"/>
            </w:tcMar>
            <w:shd w:fill="F7F1E8"/>
          </w:tcPr>
          <w:p>
            <w:r>
              <w:rPr>
                <w:b/>
                <w:sz w:val="18"/>
              </w:rPr>
              <w:t>Architecture First</w:t>
            </w:r>
          </w:p>
        </w:tc>
        <w:tc>
          <w:tcPr>
            <w:tcW w:type="dxa" w:w="7056"/>
            <w:tcMar>
              <w:top w:w="110" w:type="dxa"/>
              <w:start w:w="140" w:type="dxa"/>
              <w:bottom w:w="110" w:type="dxa"/>
              <w:end w:w="140" w:type="dxa"/>
            </w:tcMar>
            <w:shd w:fill="F7F1E8"/>
          </w:tcPr>
          <w:p>
            <w:r>
              <w:rPr>
                <w:sz w:val="18"/>
              </w:rPr>
              <w:t>Reassert structure before tactics in a high-contrast section.</w:t>
            </w:r>
          </w:p>
        </w:tc>
      </w:tr>
      <w:tr>
        <w:tc>
          <w:tcPr>
            <w:tcW w:type="dxa" w:w="792"/>
            <w:tcMar>
              <w:top w:w="110" w:type="dxa"/>
              <w:start w:w="140" w:type="dxa"/>
              <w:bottom w:w="110" w:type="dxa"/>
              <w:end w:w="140" w:type="dxa"/>
            </w:tcMar>
          </w:tcPr>
          <w:p>
            <w:r>
              <w:rPr>
                <w:b/>
                <w:color w:val="D86F50"/>
                <w:sz w:val="18"/>
              </w:rPr>
              <w:t>09</w:t>
            </w:r>
          </w:p>
        </w:tc>
        <w:tc>
          <w:tcPr>
            <w:tcW w:type="dxa" w:w="2664"/>
            <w:tcMar>
              <w:top w:w="110" w:type="dxa"/>
              <w:start w:w="140" w:type="dxa"/>
              <w:bottom w:w="110" w:type="dxa"/>
              <w:end w:w="140" w:type="dxa"/>
            </w:tcMar>
          </w:tcPr>
          <w:p>
            <w:r>
              <w:rPr>
                <w:b/>
                <w:sz w:val="18"/>
              </w:rPr>
              <w:t>Founder</w:t>
            </w:r>
          </w:p>
        </w:tc>
        <w:tc>
          <w:tcPr>
            <w:tcW w:type="dxa" w:w="7056"/>
            <w:tcMar>
              <w:top w:w="110" w:type="dxa"/>
              <w:start w:w="140" w:type="dxa"/>
              <w:bottom w:w="110" w:type="dxa"/>
              <w:end w:w="140" w:type="dxa"/>
            </w:tcMar>
          </w:tcPr>
          <w:p>
            <w:r>
              <w:rPr>
                <w:sz w:val="18"/>
              </w:rPr>
              <w:t>Show senior interpretation, direction, and accountability.</w:t>
            </w:r>
          </w:p>
        </w:tc>
      </w:tr>
      <w:tr>
        <w:tc>
          <w:tcPr>
            <w:tcW w:type="dxa" w:w="792"/>
            <w:tcMar>
              <w:top w:w="110" w:type="dxa"/>
              <w:start w:w="140" w:type="dxa"/>
              <w:bottom w:w="110" w:type="dxa"/>
              <w:end w:w="140" w:type="dxa"/>
            </w:tcMar>
            <w:shd w:fill="F7F1E8"/>
          </w:tcPr>
          <w:p>
            <w:r>
              <w:rPr>
                <w:b/>
                <w:color w:val="D86F50"/>
                <w:sz w:val="18"/>
              </w:rPr>
              <w:t>10</w:t>
            </w:r>
          </w:p>
        </w:tc>
        <w:tc>
          <w:tcPr>
            <w:tcW w:type="dxa" w:w="2664"/>
            <w:tcMar>
              <w:top w:w="110" w:type="dxa"/>
              <w:start w:w="140" w:type="dxa"/>
              <w:bottom w:w="110" w:type="dxa"/>
              <w:end w:w="140" w:type="dxa"/>
            </w:tcMar>
            <w:shd w:fill="F7F1E8"/>
          </w:tcPr>
          <w:p>
            <w:r>
              <w:rPr>
                <w:b/>
                <w:sz w:val="18"/>
              </w:rPr>
              <w:t>Engagement Paths</w:t>
            </w:r>
          </w:p>
        </w:tc>
        <w:tc>
          <w:tcPr>
            <w:tcW w:type="dxa" w:w="7056"/>
            <w:tcMar>
              <w:top w:w="110" w:type="dxa"/>
              <w:start w:w="140" w:type="dxa"/>
              <w:bottom w:w="110" w:type="dxa"/>
              <w:end w:w="140" w:type="dxa"/>
            </w:tcMar>
            <w:shd w:fill="F7F1E8"/>
          </w:tcPr>
          <w:p>
            <w:r>
              <w:rPr>
                <w:sz w:val="18"/>
              </w:rPr>
              <w:t>Clarify the four ways to enter the practice.</w:t>
            </w:r>
          </w:p>
        </w:tc>
      </w:tr>
      <w:tr>
        <w:tc>
          <w:tcPr>
            <w:tcW w:type="dxa" w:w="792"/>
            <w:tcMar>
              <w:top w:w="110" w:type="dxa"/>
              <w:start w:w="140" w:type="dxa"/>
              <w:bottom w:w="110" w:type="dxa"/>
              <w:end w:w="140" w:type="dxa"/>
            </w:tcMar>
          </w:tcPr>
          <w:p>
            <w:r>
              <w:rPr>
                <w:b/>
                <w:color w:val="D86F50"/>
                <w:sz w:val="18"/>
              </w:rPr>
              <w:t>11</w:t>
            </w:r>
          </w:p>
        </w:tc>
        <w:tc>
          <w:tcPr>
            <w:tcW w:type="dxa" w:w="2664"/>
            <w:tcMar>
              <w:top w:w="110" w:type="dxa"/>
              <w:start w:w="140" w:type="dxa"/>
              <w:bottom w:w="110" w:type="dxa"/>
              <w:end w:w="140" w:type="dxa"/>
            </w:tcMar>
          </w:tcPr>
          <w:p>
            <w:r>
              <w:rPr>
                <w:b/>
                <w:sz w:val="18"/>
              </w:rPr>
              <w:t>Final CTA</w:t>
            </w:r>
          </w:p>
        </w:tc>
        <w:tc>
          <w:tcPr>
            <w:tcW w:type="dxa" w:w="7056"/>
            <w:tcMar>
              <w:top w:w="110" w:type="dxa"/>
              <w:start w:w="140" w:type="dxa"/>
              <w:bottom w:w="110" w:type="dxa"/>
              <w:end w:w="140" w:type="dxa"/>
            </w:tcMar>
          </w:tcPr>
          <w:p>
            <w:r>
              <w:rPr>
                <w:sz w:val="18"/>
              </w:rPr>
              <w:t>Convert the reader into the right next conversation.</w:t>
            </w:r>
          </w:p>
        </w:tc>
      </w:tr>
      <w:tr>
        <w:tc>
          <w:tcPr>
            <w:tcW w:type="dxa" w:w="792"/>
            <w:tcMar>
              <w:top w:w="110" w:type="dxa"/>
              <w:start w:w="140" w:type="dxa"/>
              <w:bottom w:w="110" w:type="dxa"/>
              <w:end w:w="140" w:type="dxa"/>
            </w:tcMar>
            <w:shd w:fill="F7F1E8"/>
          </w:tcPr>
          <w:p>
            <w:r>
              <w:rPr>
                <w:b/>
                <w:color w:val="D86F50"/>
                <w:sz w:val="18"/>
              </w:rPr>
              <w:t>12</w:t>
            </w:r>
          </w:p>
        </w:tc>
        <w:tc>
          <w:tcPr>
            <w:tcW w:type="dxa" w:w="2664"/>
            <w:tcMar>
              <w:top w:w="110" w:type="dxa"/>
              <w:start w:w="140" w:type="dxa"/>
              <w:bottom w:w="110" w:type="dxa"/>
              <w:end w:w="140" w:type="dxa"/>
            </w:tcMar>
            <w:shd w:fill="F7F1E8"/>
          </w:tcPr>
          <w:p>
            <w:r>
              <w:rPr>
                <w:b/>
                <w:sz w:val="18"/>
              </w:rPr>
              <w:t>Footer</w:t>
            </w:r>
          </w:p>
        </w:tc>
        <w:tc>
          <w:tcPr>
            <w:tcW w:type="dxa" w:w="7056"/>
            <w:tcMar>
              <w:top w:w="110" w:type="dxa"/>
              <w:start w:w="140" w:type="dxa"/>
              <w:bottom w:w="110" w:type="dxa"/>
              <w:end w:w="140" w:type="dxa"/>
            </w:tcMar>
            <w:shd w:fill="F7F1E8"/>
          </w:tcPr>
          <w:p>
            <w:r>
              <w:rPr>
                <w:sz w:val="18"/>
              </w:rPr>
              <w:t>Close with restrained navigation and contact routes.</w:t>
            </w:r>
          </w:p>
        </w:tc>
      </w:tr>
    </w:tbl>
    <w:p>
      <w:r>
        <w:br w:type="page"/>
      </w:r>
    </w:p>
    <w:p>
      <w:pPr>
        <w:pStyle w:val="Heading1"/>
      </w:pPr>
      <w:r>
        <w:t>03  Section-by-Section Direction</w:t>
      </w:r>
    </w:p>
    <w:p>
      <w:pPr>
        <w:pStyle w:val="Heading2"/>
      </w:pPr>
      <w:r>
        <w:t>Hero</w:t>
      </w:r>
    </w:p>
    <w:p>
      <w:r>
        <w:rPr>
          <w:b/>
          <w:color w:val="D86F50"/>
        </w:rPr>
        <w:t xml:space="preserve">PURPOSE  </w:t>
      </w:r>
      <w:r>
        <w:t>Establish the point of view and make the practice understandable immediately.</w:t>
      </w:r>
    </w:p>
    <w:p>
      <w:r>
        <w:rPr>
          <w:b/>
          <w:color w:val="D86F50"/>
        </w:rPr>
        <w:t xml:space="preserve">CONTENT  </w:t>
      </w:r>
      <w:r>
        <w:t>Eyebrow: Strategic marketing advisory + systems. Headline: Good marketing isn’t decoration. It’s architecture. Support: LG Studio identifies what is really getting in the way, then directs and builds what the work needs next. Primary CTA: Find the real problem. Secondary CTA: See how the practice works.</w:t>
      </w:r>
    </w:p>
    <w:p>
      <w:r>
        <w:rPr>
          <w:b/>
          <w:color w:val="D86F50"/>
        </w:rPr>
        <w:t xml:space="preserve">VISUAL  </w:t>
      </w:r>
      <w:r>
        <w:t>Use the cinematic artifact-based worktable image. Keep the copy in HTML over the image. Do not bake copy into the asset. Preserve a darkened left field for legibility and brighter material detail toward the center and right.</w:t>
      </w:r>
    </w:p>
    <w:p>
      <w:pPr>
        <w:pStyle w:val="Heading2"/>
      </w:pPr>
      <w:r>
        <w:t>Diagnostic Belief</w:t>
      </w:r>
    </w:p>
    <w:p>
      <w:r>
        <w:rPr>
          <w:b/>
          <w:color w:val="D86F50"/>
        </w:rPr>
        <w:t xml:space="preserve">PURPOSE  </w:t>
      </w:r>
      <w:r>
        <w:t>Create the central reframe.</w:t>
      </w:r>
    </w:p>
    <w:p>
      <w:r>
        <w:rPr>
          <w:b/>
          <w:color w:val="D86F50"/>
        </w:rPr>
        <w:t xml:space="preserve">CONTENT  </w:t>
      </w:r>
      <w:r>
        <w:t>Headline: Marketing rarely has a marketing-only problem. Support: A website, campaign, content, or growth request may be pointing to something underneath: the offer, audience, priorities, capacity, decisions, or customer experience.</w:t>
      </w:r>
    </w:p>
    <w:p>
      <w:r>
        <w:rPr>
          <w:b/>
          <w:color w:val="D86F50"/>
        </w:rPr>
        <w:t xml:space="preserve">VISUAL  </w:t>
      </w:r>
      <w:r>
        <w:t>Use the tracing-paper depth composition. Visible request on the surface. Underlying conditions beneath it. The visual should explain the idea before the paragraph does.</w:t>
      </w:r>
    </w:p>
    <w:p>
      <w:pPr>
        <w:pStyle w:val="Heading2"/>
      </w:pPr>
      <w:r>
        <w:t>Symptom → Conditions Explorer</w:t>
      </w:r>
    </w:p>
    <w:p>
      <w:r>
        <w:rPr>
          <w:b/>
          <w:color w:val="D86F50"/>
        </w:rPr>
        <w:t xml:space="preserve">PURPOSE  </w:t>
      </w:r>
      <w:r>
        <w:t>Demonstrate the diagnostic principle without pretending to diagnose the visitor.</w:t>
      </w:r>
    </w:p>
    <w:p>
      <w:r>
        <w:rPr>
          <w:b/>
          <w:color w:val="D86F50"/>
        </w:rPr>
        <w:t xml:space="preserve">CONTENT  </w:t>
      </w:r>
      <w:r>
        <w:t>Symptoms may include low conversions, weak engagement, stalled growth, inconsistent marketing, or team misalignment. Each selection reveals several plausible underlying conditions and one short interpretation.</w:t>
      </w:r>
    </w:p>
    <w:p>
      <w:r>
        <w:rPr>
          <w:b/>
          <w:color w:val="D86F50"/>
        </w:rPr>
        <w:t xml:space="preserve">VISUAL  </w:t>
      </w:r>
      <w:r>
        <w:t>Cream-first interactive editorial panel. Avoid SaaS dashboard styling.</w:t>
      </w:r>
    </w:p>
    <w:p>
      <w:r>
        <w:rPr>
          <w:b/>
          <w:color w:val="D86F50"/>
        </w:rPr>
        <w:t xml:space="preserve">INTERACTION  </w:t>
      </w:r>
      <w:r>
        <w:t>The explorer is an interactive argument, not a score or diagnosis. No confidence meter. No “your problem is.” Close every state with: The symptom does not tell you what to fix. The read does.</w:t>
      </w:r>
    </w:p>
    <w:p>
      <w:pPr>
        <w:pStyle w:val="Heading2"/>
      </w:pPr>
      <w:r>
        <w:t>StrategyIQ</w:t>
      </w:r>
    </w:p>
    <w:p>
      <w:r>
        <w:rPr>
          <w:b/>
          <w:color w:val="D86F50"/>
        </w:rPr>
        <w:t xml:space="preserve">PURPOSE  </w:t>
      </w:r>
      <w:r>
        <w:t>Present the proprietary mechanism as a way of seeing.</w:t>
      </w:r>
    </w:p>
    <w:p>
      <w:r>
        <w:rPr>
          <w:b/>
          <w:color w:val="D86F50"/>
        </w:rPr>
        <w:t xml:space="preserve">CONTENT  </w:t>
      </w:r>
      <w:r>
        <w:t>Sequence: Symptom → Observation → Pattern → Constraint → Next Move. Supporting line: The system maps the pattern. Luis reads what it means.</w:t>
      </w:r>
    </w:p>
    <w:p>
      <w:r>
        <w:rPr>
          <w:b/>
          <w:color w:val="D86F50"/>
        </w:rPr>
        <w:t xml:space="preserve">VISUAL  </w:t>
      </w:r>
      <w:r>
        <w:t>Use a real printed readout or editorial specimen, not a generic interface dashboard. Human marks may appear, but avoid coffee-stain cliché and over-staged desk imagery.</w:t>
      </w:r>
    </w:p>
    <w:p>
      <w:pPr>
        <w:pStyle w:val="Heading2"/>
      </w:pPr>
      <w:r>
        <w:t>Selected Work</w:t>
      </w:r>
    </w:p>
    <w:p>
      <w:r>
        <w:rPr>
          <w:b/>
          <w:color w:val="D86F50"/>
        </w:rPr>
        <w:t xml:space="preserve">PURPOSE  </w:t>
      </w:r>
      <w:r>
        <w:t>Prove that the diagnostic lens produces useful work across different contexts.</w:t>
      </w:r>
    </w:p>
    <w:p>
      <w:r>
        <w:rPr>
          <w:b/>
          <w:color w:val="D86F50"/>
        </w:rPr>
        <w:t xml:space="preserve">CONTENT  </w:t>
      </w:r>
      <w:r>
        <w:t>Each case follows: Visible symptom → What it appeared to be → What the closer read uncovered → Decision → What changed.</w:t>
      </w:r>
    </w:p>
    <w:p>
      <w:r>
        <w:rPr>
          <w:b/>
          <w:color w:val="D86F50"/>
        </w:rPr>
        <w:t xml:space="preserve">VISUAL  </w:t>
      </w:r>
      <w:r>
        <w:t>Use the editorial case-cover system already in development. Treat projects as evidence, not as a screenshot gallery.</w:t>
      </w:r>
    </w:p>
    <w:p>
      <w:pPr>
        <w:pStyle w:val="Heading2"/>
      </w:pPr>
      <w:r>
        <w:t>Read. Direct. Build.</w:t>
      </w:r>
    </w:p>
    <w:p>
      <w:r>
        <w:rPr>
          <w:b/>
          <w:color w:val="D86F50"/>
        </w:rPr>
        <w:t xml:space="preserve">PURPOSE  </w:t>
      </w:r>
      <w:r>
        <w:t>Explain the operating model.</w:t>
      </w:r>
    </w:p>
    <w:p>
      <w:r>
        <w:rPr>
          <w:b/>
          <w:color w:val="D86F50"/>
        </w:rPr>
        <w:t xml:space="preserve">CONTENT  </w:t>
      </w:r>
      <w:r>
        <w:t>READ: understand reality. DIRECT: identify the constraint, priority, and decision. BUILD: create the system, experience, or material that carries the direction forward.</w:t>
      </w:r>
    </w:p>
    <w:p>
      <w:r>
        <w:rPr>
          <w:b/>
          <w:color w:val="D86F50"/>
        </w:rPr>
        <w:t xml:space="preserve">VISUAL  </w:t>
      </w:r>
      <w:r>
        <w:t>Use one panoramic process composition or three visually linked moments. Avoid three generic feature cards.</w:t>
      </w:r>
    </w:p>
    <w:p>
      <w:r>
        <w:br w:type="page"/>
      </w:r>
    </w:p>
    <w:p>
      <w:pPr>
        <w:pStyle w:val="Heading1"/>
      </w:pPr>
      <w:r>
        <w:t>04  Interaction and Conversion Model</w:t>
      </w:r>
    </w:p>
    <w:p>
      <w:pPr>
        <w:pStyle w:val="Heading2"/>
      </w:pPr>
      <w:r>
        <w:t>Strategist Notes</w:t>
      </w:r>
    </w:p>
    <w:p>
      <w:r>
        <w:rPr>
          <w:b/>
          <w:color w:val="D86F50"/>
        </w:rPr>
        <w:t xml:space="preserve">PURPOSE  </w:t>
      </w:r>
      <w:r>
        <w:t>Show how Luis reads patterns without turning the page into a blog feed.</w:t>
      </w:r>
    </w:p>
    <w:p>
      <w:r>
        <w:rPr>
          <w:b/>
          <w:color w:val="D86F50"/>
        </w:rPr>
        <w:t xml:space="preserve">CONTENT  </w:t>
      </w:r>
      <w:r>
        <w:t>Use short observations that reveal interpretation. Example: “A weak campaign may be doing exactly what the offer allows.” Each note should be specific enough to be useful and short enough to scan.</w:t>
      </w:r>
    </w:p>
    <w:p>
      <w:r>
        <w:rPr>
          <w:b/>
          <w:color w:val="D86F50"/>
        </w:rPr>
        <w:t xml:space="preserve">VISUAL  </w:t>
      </w:r>
      <w:r>
        <w:t>Editorial notes, not service cards. Three to five notes maximum on the homepage.</w:t>
      </w:r>
    </w:p>
    <w:p>
      <w:pPr>
        <w:pStyle w:val="Heading2"/>
      </w:pPr>
      <w:r>
        <w:t>Architecture First</w:t>
      </w:r>
    </w:p>
    <w:p>
      <w:r>
        <w:rPr>
          <w:b/>
          <w:color w:val="D86F50"/>
        </w:rPr>
        <w:t xml:space="preserve">PURPOSE  </w:t>
      </w:r>
      <w:r>
        <w:t>Reassert the design philosophy at a memorable point in the page.</w:t>
      </w:r>
    </w:p>
    <w:p>
      <w:r>
        <w:rPr>
          <w:b/>
          <w:color w:val="D86F50"/>
        </w:rPr>
        <w:t xml:space="preserve">CONTENT  </w:t>
      </w:r>
      <w:r>
        <w:t>Headline direction: Architecture first. Surface second. Support: Before the visuals, we design the structure, hierarchy, and path through the experience.</w:t>
      </w:r>
    </w:p>
    <w:p>
      <w:r>
        <w:rPr>
          <w:b/>
          <w:color w:val="D86F50"/>
        </w:rPr>
        <w:t xml:space="preserve">VISUAL  </w:t>
      </w:r>
      <w:r>
        <w:t>Dark, poster-like section with a split wireframe-to-finished-experience specimen.</w:t>
      </w:r>
    </w:p>
    <w:p>
      <w:pPr>
        <w:pStyle w:val="Heading2"/>
      </w:pPr>
      <w:r>
        <w:t>Founder</w:t>
      </w:r>
    </w:p>
    <w:p>
      <w:r>
        <w:rPr>
          <w:b/>
          <w:color w:val="D86F50"/>
        </w:rPr>
        <w:t xml:space="preserve">PURPOSE  </w:t>
      </w:r>
      <w:r>
        <w:t>Show that senior involvement is the model.</w:t>
      </w:r>
    </w:p>
    <w:p>
      <w:r>
        <w:rPr>
          <w:b/>
          <w:color w:val="D86F50"/>
        </w:rPr>
        <w:t xml:space="preserve">CONTENT  </w:t>
      </w:r>
      <w:r>
        <w:t>Headline: The person reading the situation, setting direction, and staying accountable for the work is the senior person you hired. Supporting line: The system maps the pattern. Luis reads what it means.</w:t>
      </w:r>
    </w:p>
    <w:p>
      <w:r>
        <w:rPr>
          <w:b/>
          <w:color w:val="D86F50"/>
        </w:rPr>
        <w:t xml:space="preserve">VISUAL  </w:t>
      </w:r>
      <w:r>
        <w:t>Use the environmental wall-critique image of Luis. Do not use a face-forward corporate portrait. Keep the work as the protagonist.</w:t>
      </w:r>
    </w:p>
    <w:p>
      <w:pPr>
        <w:pStyle w:val="Heading2"/>
      </w:pPr>
      <w:r>
        <w:t>Engagement Paths</w:t>
      </w:r>
    </w:p>
    <w:p>
      <w:r>
        <w:rPr>
          <w:b/>
          <w:color w:val="D86F50"/>
        </w:rPr>
        <w:t xml:space="preserve">PURPOSE  </w:t>
      </w:r>
      <w:r>
        <w:t>Make the routes into the practice understandable without turning them into a pricing grid.</w:t>
      </w:r>
    </w:p>
    <w:p>
      <w:r>
        <w:rPr>
          <w:b/>
          <w:color w:val="D86F50"/>
        </w:rPr>
        <w:t xml:space="preserve">CONTENT  </w:t>
      </w:r>
      <w:r>
        <w:t>StrategyIQ Light: first-pass readout. Strategic Read: focused engagement. Advisory: ongoing direction. Build: strategy made tangible.</w:t>
      </w:r>
    </w:p>
    <w:p>
      <w:r>
        <w:rPr>
          <w:b/>
          <w:color w:val="D86F50"/>
        </w:rPr>
        <w:t xml:space="preserve">VISUAL  </w:t>
      </w:r>
      <w:r>
        <w:t>Use restrained dossier or folder logic. The four paths should feel related but clearly different in depth and involvement.</w:t>
      </w:r>
    </w:p>
    <w:p>
      <w:pPr>
        <w:pStyle w:val="Heading2"/>
      </w:pPr>
      <w:r>
        <w:t>Final CTA</w:t>
      </w:r>
    </w:p>
    <w:p>
      <w:r>
        <w:rPr>
          <w:b/>
          <w:color w:val="D86F50"/>
        </w:rPr>
        <w:t xml:space="preserve">PURPOSE  </w:t>
      </w:r>
      <w:r>
        <w:t>Move the visitor toward the appropriate next conversation.</w:t>
      </w:r>
    </w:p>
    <w:p>
      <w:r>
        <w:rPr>
          <w:b/>
          <w:color w:val="D86F50"/>
        </w:rPr>
        <w:t xml:space="preserve">CONTENT  </w:t>
      </w:r>
      <w:r>
        <w:t>Headline: Let’s find what is actually in the way. Support: Book a conversation to explore what the visible problem may be pointing to. Primary CTA: Book a conversation. Secondary CTA: Start with StrategyIQ Light.</w:t>
      </w:r>
    </w:p>
    <w:p>
      <w:r>
        <w:rPr>
          <w:b/>
          <w:color w:val="D86F50"/>
        </w:rPr>
        <w:t xml:space="preserve">VISUAL  </w:t>
      </w:r>
      <w:r>
        <w:t>Use a quiet, occupied studio environment. No person needed. The space should feel recently used, not staged.</w:t>
      </w:r>
    </w:p>
    <w:p>
      <w:pPr>
        <w:pStyle w:val="Heading2"/>
      </w:pPr>
      <w:r>
        <w:t>Explorer behavior specification</w:t>
      </w:r>
    </w:p>
    <w:tbl>
      <w:tblPr>
        <w:tblW w:type="auto" w:w="0"/>
        <w:jc w:val="center"/>
        <w:tblLook w:firstColumn="1" w:firstRow="1" w:lastColumn="0" w:lastRow="0" w:noHBand="0" w:noVBand="1" w:val="04A0"/>
      </w:tblPr>
      <w:tblGrid>
        <w:gridCol w:w="5083"/>
        <w:gridCol w:w="5083"/>
      </w:tblGrid>
      <w:tr>
        <w:trPr>
          <w:tblHeader w:val="true"/>
        </w:trPr>
        <w:tc>
          <w:tcPr>
            <w:tcW w:type="dxa" w:w="5083"/>
            <w:shd w:fill="151412"/>
            <w:tcMar>
              <w:top w:w="120" w:type="dxa"/>
              <w:start w:w="140" w:type="dxa"/>
              <w:bottom w:w="120" w:type="dxa"/>
              <w:end w:w="140" w:type="dxa"/>
            </w:tcMar>
          </w:tcPr>
          <w:p>
            <w:r>
              <w:rPr>
                <w:b/>
                <w:color w:val="FFFFFF"/>
                <w:sz w:val="16"/>
              </w:rPr>
              <w:t>VISIBLE SYMPTOM</w:t>
            </w:r>
          </w:p>
        </w:tc>
        <w:tc>
          <w:tcPr>
            <w:tcW w:type="dxa" w:w="5083"/>
            <w:shd w:fill="151412"/>
            <w:tcMar>
              <w:top w:w="120" w:type="dxa"/>
              <w:start w:w="140" w:type="dxa"/>
              <w:bottom w:w="120" w:type="dxa"/>
              <w:end w:w="140" w:type="dxa"/>
            </w:tcMar>
          </w:tcPr>
          <w:p>
            <w:r>
              <w:rPr>
                <w:b/>
                <w:color w:val="FFFFFF"/>
                <w:sz w:val="16"/>
              </w:rPr>
              <w:t>PLAUSIBLE UNDERLYING CONDITIONS</w:t>
            </w:r>
          </w:p>
        </w:tc>
      </w:tr>
      <w:tr>
        <w:tc>
          <w:tcPr>
            <w:tcW w:type="dxa" w:w="5083"/>
            <w:tcMar>
              <w:top w:w="110" w:type="dxa"/>
              <w:start w:w="140" w:type="dxa"/>
              <w:bottom w:w="110" w:type="dxa"/>
              <w:end w:w="140" w:type="dxa"/>
            </w:tcMar>
            <w:shd w:fill="F7F1E8"/>
          </w:tcPr>
          <w:p>
            <w:r>
              <w:rPr>
                <w:b/>
                <w:color w:val="D86F50"/>
                <w:sz w:val="18"/>
              </w:rPr>
              <w:t>Low conversions</w:t>
            </w:r>
          </w:p>
        </w:tc>
        <w:tc>
          <w:tcPr>
            <w:tcW w:type="dxa" w:w="5083"/>
            <w:tcMar>
              <w:top w:w="110" w:type="dxa"/>
              <w:start w:w="140" w:type="dxa"/>
              <w:bottom w:w="110" w:type="dxa"/>
              <w:end w:w="140" w:type="dxa"/>
            </w:tcMar>
            <w:shd w:fill="F7F1E8"/>
          </w:tcPr>
          <w:p>
            <w:r>
              <w:rPr>
                <w:sz w:val="18"/>
              </w:rPr>
              <w:t>Offer clarity, audience fit, trust, experience friction, premature acquisition spend</w:t>
            </w:r>
          </w:p>
        </w:tc>
      </w:tr>
      <w:tr>
        <w:tc>
          <w:tcPr>
            <w:tcW w:type="dxa" w:w="5083"/>
            <w:tcMar>
              <w:top w:w="110" w:type="dxa"/>
              <w:start w:w="140" w:type="dxa"/>
              <w:bottom w:w="110" w:type="dxa"/>
              <w:end w:w="140" w:type="dxa"/>
            </w:tcMar>
          </w:tcPr>
          <w:p>
            <w:r>
              <w:rPr>
                <w:b/>
                <w:color w:val="D86F50"/>
                <w:sz w:val="18"/>
              </w:rPr>
              <w:t>Weak engagement</w:t>
            </w:r>
          </w:p>
        </w:tc>
        <w:tc>
          <w:tcPr>
            <w:tcW w:type="dxa" w:w="5083"/>
            <w:tcMar>
              <w:top w:w="110" w:type="dxa"/>
              <w:start w:w="140" w:type="dxa"/>
              <w:bottom w:w="110" w:type="dxa"/>
              <w:end w:w="140" w:type="dxa"/>
            </w:tcMar>
          </w:tcPr>
          <w:p>
            <w:r>
              <w:rPr>
                <w:sz w:val="18"/>
              </w:rPr>
              <w:t>Relevance, format, message hierarchy, distribution mismatch, weak next step</w:t>
            </w:r>
          </w:p>
        </w:tc>
      </w:tr>
      <w:tr>
        <w:tc>
          <w:tcPr>
            <w:tcW w:type="dxa" w:w="5083"/>
            <w:tcMar>
              <w:top w:w="110" w:type="dxa"/>
              <w:start w:w="140" w:type="dxa"/>
              <w:bottom w:w="110" w:type="dxa"/>
              <w:end w:w="140" w:type="dxa"/>
            </w:tcMar>
            <w:shd w:fill="F7F1E8"/>
          </w:tcPr>
          <w:p>
            <w:r>
              <w:rPr>
                <w:b/>
                <w:color w:val="D86F50"/>
                <w:sz w:val="18"/>
              </w:rPr>
              <w:t>Stalled growth</w:t>
            </w:r>
          </w:p>
        </w:tc>
        <w:tc>
          <w:tcPr>
            <w:tcW w:type="dxa" w:w="5083"/>
            <w:tcMar>
              <w:top w:w="110" w:type="dxa"/>
              <w:start w:w="140" w:type="dxa"/>
              <w:bottom w:w="110" w:type="dxa"/>
              <w:end w:w="140" w:type="dxa"/>
            </w:tcMar>
            <w:shd w:fill="F7F1E8"/>
          </w:tcPr>
          <w:p>
            <w:r>
              <w:rPr>
                <w:sz w:val="18"/>
              </w:rPr>
              <w:t>Priority spread, offer ceiling, decision delay, capacity, retention weakness</w:t>
            </w:r>
          </w:p>
        </w:tc>
      </w:tr>
      <w:tr>
        <w:tc>
          <w:tcPr>
            <w:tcW w:type="dxa" w:w="5083"/>
            <w:tcMar>
              <w:top w:w="110" w:type="dxa"/>
              <w:start w:w="140" w:type="dxa"/>
              <w:bottom w:w="110" w:type="dxa"/>
              <w:end w:w="140" w:type="dxa"/>
            </w:tcMar>
          </w:tcPr>
          <w:p>
            <w:r>
              <w:rPr>
                <w:b/>
                <w:color w:val="D86F50"/>
                <w:sz w:val="18"/>
              </w:rPr>
              <w:t>Inconsistent marketing</w:t>
            </w:r>
          </w:p>
        </w:tc>
        <w:tc>
          <w:tcPr>
            <w:tcW w:type="dxa" w:w="5083"/>
            <w:tcMar>
              <w:top w:w="110" w:type="dxa"/>
              <w:start w:w="140" w:type="dxa"/>
              <w:bottom w:w="110" w:type="dxa"/>
              <w:end w:w="140" w:type="dxa"/>
            </w:tcMar>
          </w:tcPr>
          <w:p>
            <w:r>
              <w:rPr>
                <w:sz w:val="18"/>
              </w:rPr>
              <w:t>No governing priority, unclear audience, fragmented ownership, production constraint</w:t>
            </w:r>
          </w:p>
        </w:tc>
      </w:tr>
      <w:tr>
        <w:tc>
          <w:tcPr>
            <w:tcW w:type="dxa" w:w="5083"/>
            <w:tcMar>
              <w:top w:w="110" w:type="dxa"/>
              <w:start w:w="140" w:type="dxa"/>
              <w:bottom w:w="110" w:type="dxa"/>
              <w:end w:w="140" w:type="dxa"/>
            </w:tcMar>
            <w:shd w:fill="F7F1E8"/>
          </w:tcPr>
          <w:p>
            <w:r>
              <w:rPr>
                <w:b/>
                <w:color w:val="D86F50"/>
                <w:sz w:val="18"/>
              </w:rPr>
              <w:t>Team misalignment</w:t>
            </w:r>
          </w:p>
        </w:tc>
        <w:tc>
          <w:tcPr>
            <w:tcW w:type="dxa" w:w="5083"/>
            <w:tcMar>
              <w:top w:w="110" w:type="dxa"/>
              <w:start w:w="140" w:type="dxa"/>
              <w:bottom w:w="110" w:type="dxa"/>
              <w:end w:w="140" w:type="dxa"/>
            </w:tcMar>
            <w:shd w:fill="F7F1E8"/>
          </w:tcPr>
          <w:p>
            <w:r>
              <w:rPr>
                <w:sz w:val="18"/>
              </w:rPr>
              <w:t>Competing definitions of success, decision rights, priority conflict, missing input</w:t>
            </w:r>
          </w:p>
        </w:tc>
      </w:tr>
    </w:tbl>
    <w:p>
      <w:r>
        <w:br w:type="page"/>
      </w:r>
    </w:p>
    <w:p>
      <w:pPr>
        <w:pStyle w:val="Heading1"/>
      </w:pPr>
      <w:r>
        <w:t>05  Copy and Visual System</w:t>
      </w:r>
    </w:p>
    <w:p>
      <w:pPr>
        <w:pStyle w:val="Heading2"/>
      </w:pPr>
      <w:r>
        <w:t>Copy principles</w:t>
      </w:r>
    </w:p>
    <w:p>
      <w:pPr>
        <w:pStyle w:val="ListBullet"/>
      </w:pPr>
      <w:r>
        <w:t>Lead with observations, conclusions, and specific beliefs.</w:t>
      </w:r>
    </w:p>
    <w:p>
      <w:pPr>
        <w:pStyle w:val="ListBullet"/>
      </w:pPr>
      <w:r>
        <w:t>Name what is visible and what may sit underneath it.</w:t>
      </w:r>
    </w:p>
    <w:p>
      <w:pPr>
        <w:pStyle w:val="ListBullet"/>
      </w:pPr>
      <w:r>
        <w:t>Use “read,” “closer read,” “human read,” “reads what it means,” and “underneath.”</w:t>
      </w:r>
    </w:p>
    <w:p>
      <w:pPr>
        <w:pStyle w:val="ListBullet"/>
      </w:pPr>
      <w:r>
        <w:t>Avoid “judgment,” “judge,” and language that implies Luis is evaluating people or their worth.</w:t>
      </w:r>
    </w:p>
    <w:p>
      <w:pPr>
        <w:pStyle w:val="ListBullet"/>
      </w:pPr>
      <w:r>
        <w:t>Avoid generic agency language such as seamless, innovative, transformative, empowering, human-centered, and end-to-end.</w:t>
      </w:r>
    </w:p>
    <w:p>
      <w:pPr>
        <w:pStyle w:val="ListBullet"/>
      </w:pPr>
      <w:r>
        <w:t>Use “clarity” only when it names a concrete outcome, not as decorative filler.</w:t>
      </w:r>
    </w:p>
    <w:p>
      <w:pPr>
        <w:pStyle w:val="ListBullet"/>
      </w:pPr>
      <w:r>
        <w:t>Do not promise certainty from incomplete signals.</w:t>
      </w:r>
    </w:p>
    <w:p>
      <w:pPr>
        <w:pStyle w:val="ListBullet"/>
      </w:pPr>
      <w:r>
        <w:t>Do not over-explain the mechanism. Show conclusions. Keep the machinery underneath.</w:t>
      </w:r>
    </w:p>
    <w:p>
      <w:pPr>
        <w:pStyle w:val="Heading2"/>
      </w:pPr>
      <w:r>
        <w:t>Visual principles</w:t>
      </w:r>
    </w:p>
    <w:p>
      <w:pPr>
        <w:pStyle w:val="ListBullet"/>
      </w:pPr>
      <w:r>
        <w:t>Cream-first page with selective dark sections for emphasis and rhythm.</w:t>
      </w:r>
    </w:p>
    <w:p>
      <w:pPr>
        <w:pStyle w:val="ListBullet"/>
      </w:pPr>
      <w:r>
        <w:t>Editorial typography with strong scale contrast and real pauses.</w:t>
      </w:r>
    </w:p>
    <w:p>
      <w:pPr>
        <w:pStyle w:val="ListBullet"/>
      </w:pPr>
      <w:r>
        <w:t>Photography should show work in context: walls, printed artifacts, working sessions, and material evidence.</w:t>
      </w:r>
    </w:p>
    <w:p>
      <w:pPr>
        <w:pStyle w:val="ListBullet"/>
      </w:pPr>
      <w:r>
        <w:t>Avoid generic laptop-on-desk imagery, perfectly arranged flat lays, coffee-as-creativity shorthand, floating UI, and decorative post-it noise.</w:t>
      </w:r>
    </w:p>
    <w:p>
      <w:pPr>
        <w:pStyle w:val="ListBullet"/>
      </w:pPr>
      <w:r>
        <w:t>Use real project artifacts wherever possible. Generated atmosphere should support the work, not replace it.</w:t>
      </w:r>
    </w:p>
    <w:p>
      <w:pPr>
        <w:pStyle w:val="ListBullet"/>
      </w:pPr>
      <w:r>
        <w:t>Keep the LG Studio frame consistent while allowing each project and section to retain its own visual character.</w:t>
      </w:r>
    </w:p>
    <w:p>
      <w:pPr>
        <w:pStyle w:val="ListBullet"/>
      </w:pPr>
      <w:r>
        <w:t>Animation should reveal relationships and state changes. It should never perform for attention.</w:t>
      </w:r>
    </w:p>
    <w:p>
      <w:pPr>
        <w:pStyle w:val="Heading2"/>
      </w:pPr>
      <w:r>
        <w:t>Image map</w:t>
      </w:r>
    </w:p>
    <w:tbl>
      <w:tblPr>
        <w:tblW w:type="auto" w:w="0"/>
        <w:jc w:val="center"/>
        <w:tblLook w:firstColumn="1" w:firstRow="1" w:lastColumn="0" w:lastRow="0" w:noHBand="0" w:noVBand="1" w:val="04A0"/>
      </w:tblPr>
      <w:tblGrid>
        <w:gridCol w:w="5083"/>
        <w:gridCol w:w="5083"/>
      </w:tblGrid>
      <w:tr>
        <w:tc>
          <w:tcPr>
            <w:tcW w:type="dxa" w:w="5083"/>
            <w:shd w:fill="151412"/>
            <w:tcMar>
              <w:top w:w="120" w:type="dxa"/>
              <w:start w:w="140" w:type="dxa"/>
              <w:bottom w:w="120" w:type="dxa"/>
              <w:end w:w="140" w:type="dxa"/>
            </w:tcMar>
          </w:tcPr>
          <w:p>
            <w:r>
              <w:rPr>
                <w:b/>
                <w:color w:val="FFFFFF"/>
                <w:sz w:val="16"/>
              </w:rPr>
              <w:t>SECTION</w:t>
            </w:r>
          </w:p>
        </w:tc>
        <w:tc>
          <w:tcPr>
            <w:tcW w:type="dxa" w:w="5083"/>
            <w:shd w:fill="151412"/>
            <w:tcMar>
              <w:top w:w="120" w:type="dxa"/>
              <w:start w:w="140" w:type="dxa"/>
              <w:bottom w:w="120" w:type="dxa"/>
              <w:end w:w="140" w:type="dxa"/>
            </w:tcMar>
          </w:tcPr>
          <w:p>
            <w:r>
              <w:rPr>
                <w:b/>
                <w:color w:val="FFFFFF"/>
                <w:sz w:val="16"/>
              </w:rPr>
              <w:t>IMAGE DIRECTION</w:t>
            </w:r>
          </w:p>
        </w:tc>
      </w:tr>
      <w:tr>
        <w:tc>
          <w:tcPr>
            <w:tcW w:type="dxa" w:w="5083"/>
            <w:tcMar>
              <w:top w:w="110" w:type="dxa"/>
              <w:start w:w="140" w:type="dxa"/>
              <w:bottom w:w="110" w:type="dxa"/>
              <w:end w:w="140" w:type="dxa"/>
            </w:tcMar>
            <w:shd w:fill="F7F1E8"/>
          </w:tcPr>
          <w:p>
            <w:r>
              <w:rPr>
                <w:b/>
                <w:color w:val="D86F50"/>
                <w:sz w:val="18"/>
              </w:rPr>
              <w:t>Hero</w:t>
            </w:r>
          </w:p>
        </w:tc>
        <w:tc>
          <w:tcPr>
            <w:tcW w:type="dxa" w:w="5083"/>
            <w:tcMar>
              <w:top w:w="110" w:type="dxa"/>
              <w:start w:w="140" w:type="dxa"/>
              <w:bottom w:w="110" w:type="dxa"/>
              <w:end w:w="140" w:type="dxa"/>
            </w:tcMar>
            <w:shd w:fill="F7F1E8"/>
          </w:tcPr>
          <w:p>
            <w:r>
              <w:rPr>
                <w:sz w:val="18"/>
              </w:rPr>
              <w:t>Cinematic architecture table, wide perspective, natural material density, copy overlaid in HTML.</w:t>
            </w:r>
          </w:p>
        </w:tc>
      </w:tr>
      <w:tr>
        <w:tc>
          <w:tcPr>
            <w:tcW w:type="dxa" w:w="5083"/>
            <w:tcMar>
              <w:top w:w="110" w:type="dxa"/>
              <w:start w:w="140" w:type="dxa"/>
              <w:bottom w:w="110" w:type="dxa"/>
              <w:end w:w="140" w:type="dxa"/>
            </w:tcMar>
          </w:tcPr>
          <w:p>
            <w:r>
              <w:rPr>
                <w:b/>
                <w:color w:val="D86F50"/>
                <w:sz w:val="18"/>
              </w:rPr>
              <w:t>Diagnostic belief</w:t>
            </w:r>
          </w:p>
        </w:tc>
        <w:tc>
          <w:tcPr>
            <w:tcW w:type="dxa" w:w="5083"/>
            <w:tcMar>
              <w:top w:w="110" w:type="dxa"/>
              <w:start w:w="140" w:type="dxa"/>
              <w:bottom w:w="110" w:type="dxa"/>
              <w:end w:w="140" w:type="dxa"/>
            </w:tcMar>
          </w:tcPr>
          <w:p>
            <w:r>
              <w:rPr>
                <w:sz w:val="18"/>
              </w:rPr>
              <w:t>Tracing-paper depth diagram showing visible requests and underlying conditions.</w:t>
            </w:r>
          </w:p>
        </w:tc>
      </w:tr>
      <w:tr>
        <w:tc>
          <w:tcPr>
            <w:tcW w:type="dxa" w:w="5083"/>
            <w:tcMar>
              <w:top w:w="110" w:type="dxa"/>
              <w:start w:w="140" w:type="dxa"/>
              <w:bottom w:w="110" w:type="dxa"/>
              <w:end w:w="140" w:type="dxa"/>
            </w:tcMar>
            <w:shd w:fill="F7F1E8"/>
          </w:tcPr>
          <w:p>
            <w:r>
              <w:rPr>
                <w:b/>
                <w:color w:val="D86F50"/>
                <w:sz w:val="18"/>
              </w:rPr>
              <w:t>Explorer</w:t>
            </w:r>
          </w:p>
        </w:tc>
        <w:tc>
          <w:tcPr>
            <w:tcW w:type="dxa" w:w="5083"/>
            <w:tcMar>
              <w:top w:w="110" w:type="dxa"/>
              <w:start w:w="140" w:type="dxa"/>
              <w:bottom w:w="110" w:type="dxa"/>
              <w:end w:w="140" w:type="dxa"/>
            </w:tcMar>
            <w:shd w:fill="F7F1E8"/>
          </w:tcPr>
          <w:p>
            <w:r>
              <w:rPr>
                <w:sz w:val="18"/>
              </w:rPr>
              <w:t>Designed in HTML/CSS. No generated image.</w:t>
            </w:r>
          </w:p>
        </w:tc>
      </w:tr>
      <w:tr>
        <w:tc>
          <w:tcPr>
            <w:tcW w:type="dxa" w:w="5083"/>
            <w:tcMar>
              <w:top w:w="110" w:type="dxa"/>
              <w:start w:w="140" w:type="dxa"/>
              <w:bottom w:w="110" w:type="dxa"/>
              <w:end w:w="140" w:type="dxa"/>
            </w:tcMar>
          </w:tcPr>
          <w:p>
            <w:r>
              <w:rPr>
                <w:b/>
                <w:color w:val="D86F50"/>
                <w:sz w:val="18"/>
              </w:rPr>
              <w:t>StrategyIQ</w:t>
            </w:r>
          </w:p>
        </w:tc>
        <w:tc>
          <w:tcPr>
            <w:tcW w:type="dxa" w:w="5083"/>
            <w:tcMar>
              <w:top w:w="110" w:type="dxa"/>
              <w:start w:w="140" w:type="dxa"/>
              <w:bottom w:w="110" w:type="dxa"/>
              <w:end w:w="140" w:type="dxa"/>
            </w:tcMar>
          </w:tcPr>
          <w:p>
            <w:r>
              <w:rPr>
                <w:sz w:val="18"/>
              </w:rPr>
              <w:t>Printed readout specimen or close working artifact. Distinct from the hero table.</w:t>
            </w:r>
          </w:p>
        </w:tc>
      </w:tr>
      <w:tr>
        <w:tc>
          <w:tcPr>
            <w:tcW w:type="dxa" w:w="5083"/>
            <w:tcMar>
              <w:top w:w="110" w:type="dxa"/>
              <w:start w:w="140" w:type="dxa"/>
              <w:bottom w:w="110" w:type="dxa"/>
              <w:end w:w="140" w:type="dxa"/>
            </w:tcMar>
            <w:shd w:fill="F7F1E8"/>
          </w:tcPr>
          <w:p>
            <w:r>
              <w:rPr>
                <w:b/>
                <w:color w:val="D86F50"/>
                <w:sz w:val="18"/>
              </w:rPr>
              <w:t>Read/Direct/Build</w:t>
            </w:r>
          </w:p>
        </w:tc>
        <w:tc>
          <w:tcPr>
            <w:tcW w:type="dxa" w:w="5083"/>
            <w:tcMar>
              <w:top w:w="110" w:type="dxa"/>
              <w:start w:w="140" w:type="dxa"/>
              <w:bottom w:w="110" w:type="dxa"/>
              <w:end w:w="140" w:type="dxa"/>
            </w:tcMar>
            <w:shd w:fill="F7F1E8"/>
          </w:tcPr>
          <w:p>
            <w:r>
              <w:rPr>
                <w:sz w:val="18"/>
              </w:rPr>
              <w:t>Linked panoramic sequence: signals, interpretation, finished work.</w:t>
            </w:r>
          </w:p>
        </w:tc>
      </w:tr>
      <w:tr>
        <w:tc>
          <w:tcPr>
            <w:tcW w:type="dxa" w:w="5083"/>
            <w:tcMar>
              <w:top w:w="110" w:type="dxa"/>
              <w:start w:w="140" w:type="dxa"/>
              <w:bottom w:w="110" w:type="dxa"/>
              <w:end w:w="140" w:type="dxa"/>
            </w:tcMar>
          </w:tcPr>
          <w:p>
            <w:r>
              <w:rPr>
                <w:b/>
                <w:color w:val="D86F50"/>
                <w:sz w:val="18"/>
              </w:rPr>
              <w:t>Selected work</w:t>
            </w:r>
          </w:p>
        </w:tc>
        <w:tc>
          <w:tcPr>
            <w:tcW w:type="dxa" w:w="5083"/>
            <w:tcMar>
              <w:top w:w="110" w:type="dxa"/>
              <w:start w:w="140" w:type="dxa"/>
              <w:bottom w:w="110" w:type="dxa"/>
              <w:end w:w="140" w:type="dxa"/>
            </w:tcMar>
          </w:tcPr>
          <w:p>
            <w:r>
              <w:rPr>
                <w:sz w:val="18"/>
              </w:rPr>
              <w:t>Editorial project covers from the portfolio system.</w:t>
            </w:r>
          </w:p>
        </w:tc>
      </w:tr>
      <w:tr>
        <w:tc>
          <w:tcPr>
            <w:tcW w:type="dxa" w:w="5083"/>
            <w:tcMar>
              <w:top w:w="110" w:type="dxa"/>
              <w:start w:w="140" w:type="dxa"/>
              <w:bottom w:w="110" w:type="dxa"/>
              <w:end w:w="140" w:type="dxa"/>
            </w:tcMar>
            <w:shd w:fill="F7F1E8"/>
          </w:tcPr>
          <w:p>
            <w:r>
              <w:rPr>
                <w:b/>
                <w:color w:val="D86F50"/>
                <w:sz w:val="18"/>
              </w:rPr>
              <w:t>Architecture first</w:t>
            </w:r>
          </w:p>
        </w:tc>
        <w:tc>
          <w:tcPr>
            <w:tcW w:type="dxa" w:w="5083"/>
            <w:tcMar>
              <w:top w:w="110" w:type="dxa"/>
              <w:start w:w="140" w:type="dxa"/>
              <w:bottom w:w="110" w:type="dxa"/>
              <w:end w:w="140" w:type="dxa"/>
            </w:tcMar>
            <w:shd w:fill="F7F1E8"/>
          </w:tcPr>
          <w:p>
            <w:r>
              <w:rPr>
                <w:sz w:val="18"/>
              </w:rPr>
              <w:t>Wireframe and finished experience split specimen.</w:t>
            </w:r>
          </w:p>
        </w:tc>
      </w:tr>
      <w:tr>
        <w:tc>
          <w:tcPr>
            <w:tcW w:type="dxa" w:w="5083"/>
            <w:tcMar>
              <w:top w:w="110" w:type="dxa"/>
              <w:start w:w="140" w:type="dxa"/>
              <w:bottom w:w="110" w:type="dxa"/>
              <w:end w:w="140" w:type="dxa"/>
            </w:tcMar>
          </w:tcPr>
          <w:p>
            <w:r>
              <w:rPr>
                <w:b/>
                <w:color w:val="D86F50"/>
                <w:sz w:val="18"/>
              </w:rPr>
              <w:t>Founder</w:t>
            </w:r>
          </w:p>
        </w:tc>
        <w:tc>
          <w:tcPr>
            <w:tcW w:type="dxa" w:w="5083"/>
            <w:tcMar>
              <w:top w:w="110" w:type="dxa"/>
              <w:start w:w="140" w:type="dxa"/>
              <w:bottom w:w="110" w:type="dxa"/>
              <w:end w:w="140" w:type="dxa"/>
            </w:tcMar>
          </w:tcPr>
          <w:p>
            <w:r>
              <w:rPr>
                <w:sz w:val="18"/>
              </w:rPr>
              <w:t>Luis at the critique wall, work-facing, not camera-facing.</w:t>
            </w:r>
          </w:p>
        </w:tc>
      </w:tr>
      <w:tr>
        <w:tc>
          <w:tcPr>
            <w:tcW w:type="dxa" w:w="5083"/>
            <w:tcMar>
              <w:top w:w="110" w:type="dxa"/>
              <w:start w:w="140" w:type="dxa"/>
              <w:bottom w:w="110" w:type="dxa"/>
              <w:end w:w="140" w:type="dxa"/>
            </w:tcMar>
            <w:shd w:fill="F7F1E8"/>
          </w:tcPr>
          <w:p>
            <w:r>
              <w:rPr>
                <w:b/>
                <w:color w:val="D86F50"/>
                <w:sz w:val="18"/>
              </w:rPr>
              <w:t>Final CTA</w:t>
            </w:r>
          </w:p>
        </w:tc>
        <w:tc>
          <w:tcPr>
            <w:tcW w:type="dxa" w:w="5083"/>
            <w:tcMar>
              <w:top w:w="110" w:type="dxa"/>
              <w:start w:w="140" w:type="dxa"/>
              <w:bottom w:w="110" w:type="dxa"/>
              <w:end w:w="140" w:type="dxa"/>
            </w:tcMar>
            <w:shd w:fill="F7F1E8"/>
          </w:tcPr>
          <w:p>
            <w:r>
              <w:rPr>
                <w:sz w:val="18"/>
              </w:rPr>
              <w:t>Quiet studio after a working session.</w:t>
            </w:r>
          </w:p>
        </w:tc>
      </w:tr>
    </w:tbl>
    <w:p>
      <w:r>
        <w:br w:type="page"/>
      </w:r>
    </w:p>
    <w:p>
      <w:pPr>
        <w:pStyle w:val="Heading1"/>
      </w:pPr>
      <w:r>
        <w:t>06  Implementation Strategy</w:t>
      </w:r>
    </w:p>
    <w:p>
      <w:pPr>
        <w:pStyle w:val="Heading2"/>
      </w:pPr>
      <w:r>
        <w:t>Platform decision</w:t>
      </w:r>
    </w:p>
    <w:p>
      <w:r>
        <w:t>Finish and ship this redesign in the current static HTML/CSS/JavaScript stack. Do not make React migration a prerequisite. The structure should be modular and migration-friendly, but the first objective is a complete, approved, production-quality homepage on the existing Cloudflare deployment.</w:t>
      </w:r>
    </w:p>
    <w:p>
      <w:pPr>
        <w:pStyle w:val="Heading2"/>
      </w:pPr>
      <w:r>
        <w:t>Technical requirements for this phase</w:t>
      </w:r>
    </w:p>
    <w:p>
      <w:pPr>
        <w:pStyle w:val="ListBullet"/>
      </w:pPr>
      <w:r>
        <w:t>Semantic, component-like HTML sections with clear naming and isolated section classes.</w:t>
      </w:r>
    </w:p>
    <w:p>
      <w:pPr>
        <w:pStyle w:val="ListBullet"/>
      </w:pPr>
      <w:r>
        <w:t>CSS custom properties for color, type, spacing, and motion tokens.</w:t>
      </w:r>
    </w:p>
    <w:p>
      <w:pPr>
        <w:pStyle w:val="ListBullet"/>
      </w:pPr>
      <w:r>
        <w:t>Vanilla JavaScript for the symptom explorer and minimal progressive enhancement.</w:t>
      </w:r>
    </w:p>
    <w:p>
      <w:pPr>
        <w:pStyle w:val="ListBullet"/>
      </w:pPr>
      <w:r>
        <w:t>No framework dependency for the explorer.</w:t>
      </w:r>
    </w:p>
    <w:p>
      <w:pPr>
        <w:pStyle w:val="ListBullet"/>
      </w:pPr>
      <w:r>
        <w:t>Responsive behavior tested at 1440, 1280, 1024, 768, 430, 390, and 360px.</w:t>
      </w:r>
    </w:p>
    <w:p>
      <w:pPr>
        <w:pStyle w:val="ListBullet"/>
      </w:pPr>
      <w:r>
        <w:t>Keyboard-accessible explorer states and visible focus treatment.</w:t>
      </w:r>
    </w:p>
    <w:p>
      <w:pPr>
        <w:pStyle w:val="ListBullet"/>
      </w:pPr>
      <w:r>
        <w:t>Respect prefers-reduced-motion.</w:t>
      </w:r>
    </w:p>
    <w:p>
      <w:pPr>
        <w:pStyle w:val="ListBullet"/>
      </w:pPr>
      <w:r>
        <w:t>Optimized responsive images with fixed intrinsic dimensions to prevent layout shift.</w:t>
      </w:r>
    </w:p>
    <w:p>
      <w:pPr>
        <w:pStyle w:val="ListBullet"/>
      </w:pPr>
      <w:r>
        <w:t>No changes to Cloudflare routing or unrelated pages during the design implementation branch.</w:t>
      </w:r>
    </w:p>
    <w:p>
      <w:pPr>
        <w:pStyle w:val="Heading2"/>
      </w:pPr>
      <w:r>
        <w:t>Future React migration</w:t>
      </w:r>
    </w:p>
    <w:p>
      <w:r>
        <w:t>After the static page is approved and performing correctly, the homepage can be migrated into React using the same section architecture and content model. React should formalize a proven experience, not become the environment in which the experience is still being discovered.</w:t>
      </w:r>
    </w:p>
    <w:p>
      <w:pPr>
        <w:pStyle w:val="Heading2"/>
      </w:pPr>
      <w:r>
        <w:t>Success criteria</w:t>
      </w:r>
    </w:p>
    <w:p>
      <w:pPr>
        <w:pStyle w:val="ListBullet"/>
      </w:pPr>
      <w:r>
        <w:t>A new visitor understands within 30 seconds that LG Studio identifies underlying constraints behind visible marketing problems.</w:t>
      </w:r>
    </w:p>
    <w:p>
      <w:pPr>
        <w:pStyle w:val="ListBullet"/>
      </w:pPr>
      <w:r>
        <w:t>StrategyIQ is perceived as a distinctive mechanism for structuring the read, not a generic process diagram or AI tool.</w:t>
      </w:r>
    </w:p>
    <w:p>
      <w:pPr>
        <w:pStyle w:val="ListBullet"/>
      </w:pPr>
      <w:r>
        <w:t>The symptom explorer teaches the diagnostic belief without pretending to produce a diagnosis.</w:t>
      </w:r>
    </w:p>
    <w:p>
      <w:pPr>
        <w:pStyle w:val="ListBullet"/>
      </w:pPr>
      <w:r>
        <w:t>Selected work proves that the read becomes useful decisions, systems, and experiences.</w:t>
      </w:r>
    </w:p>
    <w:p>
      <w:pPr>
        <w:pStyle w:val="ListBullet"/>
      </w:pPr>
      <w:r>
        <w:t>The four engagement paths are understandable without a sales call.</w:t>
      </w:r>
    </w:p>
    <w:p>
      <w:pPr>
        <w:pStyle w:val="ListBullet"/>
      </w:pPr>
      <w:r>
        <w:t>The page feels like a top-tier founder-led practice, not an agency menu or software landing page.</w:t>
      </w:r>
    </w:p>
    <w:p>
      <w:pPr>
        <w:pStyle w:val="ListBullet"/>
      </w:pPr>
      <w:r>
        <w:t>The experience is elegant and complete on mobile, not merely compressed.</w:t>
      </w:r>
    </w:p>
    <w:p>
      <w:r>
        <w:br w:type="page"/>
      </w:r>
    </w:p>
    <w:p>
      <w:pPr>
        <w:pStyle w:val="Heading1"/>
      </w:pPr>
      <w:r>
        <w:t>07  Delivery Plan and Cursor Brief</w:t>
      </w:r>
    </w:p>
    <w:p>
      <w:pPr>
        <w:pStyle w:val="Heading2"/>
      </w:pPr>
      <w:r>
        <w:t>Recommended implementation phases</w:t>
      </w:r>
    </w:p>
    <w:tbl>
      <w:tblPr>
        <w:tblW w:type="auto" w:w="0"/>
        <w:jc w:val="center"/>
        <w:tblLook w:firstColumn="1" w:firstRow="1" w:lastColumn="0" w:lastRow="0" w:noHBand="0" w:noVBand="1" w:val="04A0"/>
      </w:tblPr>
      <w:tblGrid>
        <w:gridCol w:w="3389"/>
        <w:gridCol w:w="3389"/>
        <w:gridCol w:w="3389"/>
      </w:tblGrid>
      <w:tr>
        <w:tc>
          <w:tcPr>
            <w:tcW w:type="dxa" w:w="3389"/>
            <w:shd w:fill="151412"/>
            <w:tcMar>
              <w:top w:w="120" w:type="dxa"/>
              <w:start w:w="140" w:type="dxa"/>
              <w:bottom w:w="120" w:type="dxa"/>
              <w:end w:w="140" w:type="dxa"/>
            </w:tcMar>
          </w:tcPr>
          <w:p>
            <w:r>
              <w:rPr>
                <w:b/>
                <w:color w:val="FFFFFF"/>
                <w:sz w:val="16"/>
              </w:rPr>
              <w:t>PHASE</w:t>
            </w:r>
          </w:p>
        </w:tc>
        <w:tc>
          <w:tcPr>
            <w:tcW w:type="dxa" w:w="3389"/>
            <w:shd w:fill="151412"/>
            <w:tcMar>
              <w:top w:w="120" w:type="dxa"/>
              <w:start w:w="140" w:type="dxa"/>
              <w:bottom w:w="120" w:type="dxa"/>
              <w:end w:w="140" w:type="dxa"/>
            </w:tcMar>
          </w:tcPr>
          <w:p>
            <w:r>
              <w:rPr>
                <w:b/>
                <w:color w:val="FFFFFF"/>
                <w:sz w:val="16"/>
              </w:rPr>
              <w:t>FOCUS</w:t>
            </w:r>
          </w:p>
        </w:tc>
        <w:tc>
          <w:tcPr>
            <w:tcW w:type="dxa" w:w="3389"/>
            <w:shd w:fill="151412"/>
            <w:tcMar>
              <w:top w:w="120" w:type="dxa"/>
              <w:start w:w="140" w:type="dxa"/>
              <w:bottom w:w="120" w:type="dxa"/>
              <w:end w:w="140" w:type="dxa"/>
            </w:tcMar>
          </w:tcPr>
          <w:p>
            <w:r>
              <w:rPr>
                <w:b/>
                <w:color w:val="FFFFFF"/>
                <w:sz w:val="16"/>
              </w:rPr>
              <w:t>OUTPUT</w:t>
            </w:r>
          </w:p>
        </w:tc>
      </w:tr>
      <w:tr>
        <w:tc>
          <w:tcPr>
            <w:tcW w:type="dxa" w:w="3389"/>
            <w:tcMar>
              <w:top w:w="110" w:type="dxa"/>
              <w:start w:w="140" w:type="dxa"/>
              <w:bottom w:w="110" w:type="dxa"/>
              <w:end w:w="140" w:type="dxa"/>
            </w:tcMar>
            <w:shd w:fill="F7F1E8"/>
          </w:tcPr>
          <w:p>
            <w:r>
              <w:rPr>
                <w:b/>
                <w:color w:val="D86F50"/>
                <w:sz w:val="17"/>
              </w:rPr>
              <w:t>Phase 0</w:t>
            </w:r>
          </w:p>
        </w:tc>
        <w:tc>
          <w:tcPr>
            <w:tcW w:type="dxa" w:w="3389"/>
            <w:tcMar>
              <w:top w:w="110" w:type="dxa"/>
              <w:start w:w="140" w:type="dxa"/>
              <w:bottom w:w="110" w:type="dxa"/>
              <w:end w:w="140" w:type="dxa"/>
            </w:tcMar>
            <w:shd w:fill="F7F1E8"/>
          </w:tcPr>
          <w:p>
            <w:r>
              <w:rPr>
                <w:b/>
                <w:sz w:val="17"/>
              </w:rPr>
              <w:t>Protect the current page</w:t>
            </w:r>
          </w:p>
        </w:tc>
        <w:tc>
          <w:tcPr>
            <w:tcW w:type="dxa" w:w="3389"/>
            <w:tcMar>
              <w:top w:w="110" w:type="dxa"/>
              <w:start w:w="140" w:type="dxa"/>
              <w:bottom w:w="110" w:type="dxa"/>
              <w:end w:w="140" w:type="dxa"/>
            </w:tcMar>
            <w:shd w:fill="F7F1E8"/>
          </w:tcPr>
          <w:p>
            <w:r>
              <w:rPr>
                <w:sz w:val="17"/>
              </w:rPr>
              <w:t>Create a dedicated branch and record the current production state. No destructive overwrite.</w:t>
            </w:r>
          </w:p>
        </w:tc>
      </w:tr>
      <w:tr>
        <w:tc>
          <w:tcPr>
            <w:tcW w:type="dxa" w:w="3389"/>
            <w:tcMar>
              <w:top w:w="110" w:type="dxa"/>
              <w:start w:w="140" w:type="dxa"/>
              <w:bottom w:w="110" w:type="dxa"/>
              <w:end w:w="140" w:type="dxa"/>
            </w:tcMar>
          </w:tcPr>
          <w:p>
            <w:r>
              <w:rPr>
                <w:b/>
                <w:color w:val="D86F50"/>
                <w:sz w:val="17"/>
              </w:rPr>
              <w:t>Phase 1</w:t>
            </w:r>
          </w:p>
        </w:tc>
        <w:tc>
          <w:tcPr>
            <w:tcW w:type="dxa" w:w="3389"/>
            <w:tcMar>
              <w:top w:w="110" w:type="dxa"/>
              <w:start w:w="140" w:type="dxa"/>
              <w:bottom w:w="110" w:type="dxa"/>
              <w:end w:w="140" w:type="dxa"/>
            </w:tcMar>
          </w:tcPr>
          <w:p>
            <w:r>
              <w:rPr>
                <w:b/>
                <w:sz w:val="17"/>
              </w:rPr>
              <w:t>Content and asset audit</w:t>
            </w:r>
          </w:p>
        </w:tc>
        <w:tc>
          <w:tcPr>
            <w:tcW w:type="dxa" w:w="3389"/>
            <w:tcMar>
              <w:top w:w="110" w:type="dxa"/>
              <w:start w:w="140" w:type="dxa"/>
              <w:bottom w:w="110" w:type="dxa"/>
              <w:end w:w="140" w:type="dxa"/>
            </w:tcMar>
          </w:tcPr>
          <w:p>
            <w:r>
              <w:rPr>
                <w:sz w:val="17"/>
              </w:rPr>
              <w:t>Map current sections, reusable styles, links, analytics, approved images, and missing assets.</w:t>
            </w:r>
          </w:p>
        </w:tc>
      </w:tr>
      <w:tr>
        <w:tc>
          <w:tcPr>
            <w:tcW w:type="dxa" w:w="3389"/>
            <w:tcMar>
              <w:top w:w="110" w:type="dxa"/>
              <w:start w:w="140" w:type="dxa"/>
              <w:bottom w:w="110" w:type="dxa"/>
              <w:end w:w="140" w:type="dxa"/>
            </w:tcMar>
            <w:shd w:fill="F7F1E8"/>
          </w:tcPr>
          <w:p>
            <w:r>
              <w:rPr>
                <w:b/>
                <w:color w:val="D86F50"/>
                <w:sz w:val="17"/>
              </w:rPr>
              <w:t>Phase 2</w:t>
            </w:r>
          </w:p>
        </w:tc>
        <w:tc>
          <w:tcPr>
            <w:tcW w:type="dxa" w:w="3389"/>
            <w:tcMar>
              <w:top w:w="110" w:type="dxa"/>
              <w:start w:w="140" w:type="dxa"/>
              <w:bottom w:w="110" w:type="dxa"/>
              <w:end w:w="140" w:type="dxa"/>
            </w:tcMar>
            <w:shd w:fill="F7F1E8"/>
          </w:tcPr>
          <w:p>
            <w:r>
              <w:rPr>
                <w:b/>
                <w:sz w:val="17"/>
              </w:rPr>
              <w:t>Structural prototype</w:t>
            </w:r>
          </w:p>
        </w:tc>
        <w:tc>
          <w:tcPr>
            <w:tcW w:type="dxa" w:w="3389"/>
            <w:tcMar>
              <w:top w:w="110" w:type="dxa"/>
              <w:start w:w="140" w:type="dxa"/>
              <w:bottom w:w="110" w:type="dxa"/>
              <w:end w:w="140" w:type="dxa"/>
            </w:tcMar>
            <w:shd w:fill="F7F1E8"/>
          </w:tcPr>
          <w:p>
            <w:r>
              <w:rPr>
                <w:sz w:val="17"/>
              </w:rPr>
              <w:t>Implement the full section order and responsive skeleton with temporary media slots. No polish rabbit holes.</w:t>
            </w:r>
          </w:p>
        </w:tc>
      </w:tr>
      <w:tr>
        <w:tc>
          <w:tcPr>
            <w:tcW w:type="dxa" w:w="3389"/>
            <w:tcMar>
              <w:top w:w="110" w:type="dxa"/>
              <w:start w:w="140" w:type="dxa"/>
              <w:bottom w:w="110" w:type="dxa"/>
              <w:end w:w="140" w:type="dxa"/>
            </w:tcMar>
          </w:tcPr>
          <w:p>
            <w:r>
              <w:rPr>
                <w:b/>
                <w:color w:val="D86F50"/>
                <w:sz w:val="17"/>
              </w:rPr>
              <w:t>Phase 3</w:t>
            </w:r>
          </w:p>
        </w:tc>
        <w:tc>
          <w:tcPr>
            <w:tcW w:type="dxa" w:w="3389"/>
            <w:tcMar>
              <w:top w:w="110" w:type="dxa"/>
              <w:start w:w="140" w:type="dxa"/>
              <w:bottom w:w="110" w:type="dxa"/>
              <w:end w:w="140" w:type="dxa"/>
            </w:tcMar>
          </w:tcPr>
          <w:p>
            <w:r>
              <w:rPr>
                <w:b/>
                <w:sz w:val="17"/>
              </w:rPr>
              <w:t>Diagnostic interaction</w:t>
            </w:r>
          </w:p>
        </w:tc>
        <w:tc>
          <w:tcPr>
            <w:tcW w:type="dxa" w:w="3389"/>
            <w:tcMar>
              <w:top w:w="110" w:type="dxa"/>
              <w:start w:w="140" w:type="dxa"/>
              <w:bottom w:w="110" w:type="dxa"/>
              <w:end w:w="140" w:type="dxa"/>
            </w:tcMar>
          </w:tcPr>
          <w:p>
            <w:r>
              <w:rPr>
                <w:sz w:val="17"/>
              </w:rPr>
              <w:t>Build the symptom explorer with grounded states, keyboard access, and reduced-motion behavior.</w:t>
            </w:r>
          </w:p>
        </w:tc>
      </w:tr>
      <w:tr>
        <w:tc>
          <w:tcPr>
            <w:tcW w:type="dxa" w:w="3389"/>
            <w:tcMar>
              <w:top w:w="110" w:type="dxa"/>
              <w:start w:w="140" w:type="dxa"/>
              <w:bottom w:w="110" w:type="dxa"/>
              <w:end w:w="140" w:type="dxa"/>
            </w:tcMar>
            <w:shd w:fill="F7F1E8"/>
          </w:tcPr>
          <w:p>
            <w:r>
              <w:rPr>
                <w:b/>
                <w:color w:val="D86F50"/>
                <w:sz w:val="17"/>
              </w:rPr>
              <w:t>Phase 4</w:t>
            </w:r>
          </w:p>
        </w:tc>
        <w:tc>
          <w:tcPr>
            <w:tcW w:type="dxa" w:w="3389"/>
            <w:tcMar>
              <w:top w:w="110" w:type="dxa"/>
              <w:start w:w="140" w:type="dxa"/>
              <w:bottom w:w="110" w:type="dxa"/>
              <w:end w:w="140" w:type="dxa"/>
            </w:tcMar>
            <w:shd w:fill="F7F1E8"/>
          </w:tcPr>
          <w:p>
            <w:r>
              <w:rPr>
                <w:b/>
                <w:sz w:val="17"/>
              </w:rPr>
              <w:t>Visual integration</w:t>
            </w:r>
          </w:p>
        </w:tc>
        <w:tc>
          <w:tcPr>
            <w:tcW w:type="dxa" w:w="3389"/>
            <w:tcMar>
              <w:top w:w="110" w:type="dxa"/>
              <w:start w:w="140" w:type="dxa"/>
              <w:bottom w:w="110" w:type="dxa"/>
              <w:end w:w="140" w:type="dxa"/>
            </w:tcMar>
            <w:shd w:fill="F7F1E8"/>
          </w:tcPr>
          <w:p>
            <w:r>
              <w:rPr>
                <w:sz w:val="17"/>
              </w:rPr>
              <w:t>Place approved imagery, case covers, founder image, and architecture specimen. Art-direct crops per breakpoint.</w:t>
            </w:r>
          </w:p>
        </w:tc>
      </w:tr>
      <w:tr>
        <w:tc>
          <w:tcPr>
            <w:tcW w:type="dxa" w:w="3389"/>
            <w:tcMar>
              <w:top w:w="110" w:type="dxa"/>
              <w:start w:w="140" w:type="dxa"/>
              <w:bottom w:w="110" w:type="dxa"/>
              <w:end w:w="140" w:type="dxa"/>
            </w:tcMar>
          </w:tcPr>
          <w:p>
            <w:r>
              <w:rPr>
                <w:b/>
                <w:color w:val="D86F50"/>
                <w:sz w:val="17"/>
              </w:rPr>
              <w:t>Phase 5</w:t>
            </w:r>
          </w:p>
        </w:tc>
        <w:tc>
          <w:tcPr>
            <w:tcW w:type="dxa" w:w="3389"/>
            <w:tcMar>
              <w:top w:w="110" w:type="dxa"/>
              <w:start w:w="140" w:type="dxa"/>
              <w:bottom w:w="110" w:type="dxa"/>
              <w:end w:w="140" w:type="dxa"/>
            </w:tcMar>
          </w:tcPr>
          <w:p>
            <w:r>
              <w:rPr>
                <w:b/>
                <w:sz w:val="17"/>
              </w:rPr>
              <w:t>Copy and motion pass</w:t>
            </w:r>
          </w:p>
        </w:tc>
        <w:tc>
          <w:tcPr>
            <w:tcW w:type="dxa" w:w="3389"/>
            <w:tcMar>
              <w:top w:w="110" w:type="dxa"/>
              <w:start w:w="140" w:type="dxa"/>
              <w:bottom w:w="110" w:type="dxa"/>
              <w:end w:w="140" w:type="dxa"/>
            </w:tcMar>
          </w:tcPr>
          <w:p>
            <w:r>
              <w:rPr>
                <w:sz w:val="17"/>
              </w:rPr>
              <w:t>Finalize copy, transitions, hover states, focus states, and micro-interactions.</w:t>
            </w:r>
          </w:p>
        </w:tc>
      </w:tr>
      <w:tr>
        <w:tc>
          <w:tcPr>
            <w:tcW w:type="dxa" w:w="3389"/>
            <w:tcMar>
              <w:top w:w="110" w:type="dxa"/>
              <w:start w:w="140" w:type="dxa"/>
              <w:bottom w:w="110" w:type="dxa"/>
              <w:end w:w="140" w:type="dxa"/>
            </w:tcMar>
            <w:shd w:fill="F7F1E8"/>
          </w:tcPr>
          <w:p>
            <w:r>
              <w:rPr>
                <w:b/>
                <w:color w:val="D86F50"/>
                <w:sz w:val="17"/>
              </w:rPr>
              <w:t>Phase 6</w:t>
            </w:r>
          </w:p>
        </w:tc>
        <w:tc>
          <w:tcPr>
            <w:tcW w:type="dxa" w:w="3389"/>
            <w:tcMar>
              <w:top w:w="110" w:type="dxa"/>
              <w:start w:w="140" w:type="dxa"/>
              <w:bottom w:w="110" w:type="dxa"/>
              <w:end w:w="140" w:type="dxa"/>
            </w:tcMar>
            <w:shd w:fill="F7F1E8"/>
          </w:tcPr>
          <w:p>
            <w:r>
              <w:rPr>
                <w:b/>
                <w:sz w:val="17"/>
              </w:rPr>
              <w:t>QA and deployment</w:t>
            </w:r>
          </w:p>
        </w:tc>
        <w:tc>
          <w:tcPr>
            <w:tcW w:type="dxa" w:w="3389"/>
            <w:tcMar>
              <w:top w:w="110" w:type="dxa"/>
              <w:start w:w="140" w:type="dxa"/>
              <w:bottom w:w="110" w:type="dxa"/>
              <w:end w:w="140" w:type="dxa"/>
            </w:tcMar>
            <w:shd w:fill="F7F1E8"/>
          </w:tcPr>
          <w:p>
            <w:r>
              <w:rPr>
                <w:sz w:val="17"/>
              </w:rPr>
              <w:t>Cross-device QA, performance review, accessibility review, link validation, and Cloudflare preview before merge.</w:t>
            </w:r>
          </w:p>
        </w:tc>
      </w:tr>
    </w:tbl>
    <w:p>
      <w:pPr>
        <w:pStyle w:val="Heading2"/>
      </w:pPr>
      <w:r>
        <w:t>Cursor implementation brief</w:t>
      </w:r>
    </w:p>
    <w:p>
      <w:r>
        <w:rPr>
          <w:b/>
        </w:rPr>
        <w:t xml:space="preserve">Objective: </w:t>
      </w:r>
      <w:r>
        <w:t>Refactor the canonical /studio/ homepage around a diagnostic-first narrative while preserving the approved LG Studio editorial system and current static deployment architecture.</w:t>
      </w:r>
    </w:p>
    <w:p>
      <w:pPr>
        <w:pStyle w:val="ListBullet"/>
      </w:pPr>
      <w:r>
        <w:t>Treat this document as the source of truth for positioning, sequence, scope, copy rules, interaction behavior, and technical boundaries.</w:t>
      </w:r>
    </w:p>
    <w:p>
      <w:pPr>
        <w:pStyle w:val="ListBullet"/>
      </w:pPr>
      <w:r>
        <w:t>Do not migrate the page to React in this phase.</w:t>
      </w:r>
    </w:p>
    <w:p>
      <w:pPr>
        <w:pStyle w:val="ListBullet"/>
      </w:pPr>
      <w:r>
        <w:t>Do not redesign unrelated pages or change Cloudflare configuration.</w:t>
      </w:r>
    </w:p>
    <w:p>
      <w:pPr>
        <w:pStyle w:val="ListBullet"/>
      </w:pPr>
      <w:r>
        <w:t>Build the page in the approved order: Hero, Diagnostic Belief, Explorer, StrategyIQ, Selected Work, Read/Direct/Build, Strategist Notes, Architecture First, Founder, Engagement Paths, CTA, Footer.</w:t>
      </w:r>
    </w:p>
    <w:p>
      <w:pPr>
        <w:pStyle w:val="ListBullet"/>
      </w:pPr>
      <w:r>
        <w:t>Use the explorer to demonstrate multiple plausible conditions behind a visible symptom. Never output a diagnosis, score, or confidence claim.</w:t>
      </w:r>
    </w:p>
    <w:p>
      <w:pPr>
        <w:pStyle w:val="ListBullet"/>
      </w:pPr>
      <w:r>
        <w:t>Position StrategyIQ as the mechanism that structures the read. Use: “The system maps the pattern. Luis reads what it means.”</w:t>
      </w:r>
    </w:p>
    <w:p>
      <w:pPr>
        <w:pStyle w:val="ListBullet"/>
      </w:pPr>
      <w:r>
        <w:t>Preserve cream-first editorial warmth, selective dark sections, strong type scale, and visual restraint.</w:t>
      </w:r>
    </w:p>
    <w:p>
      <w:pPr>
        <w:pStyle w:val="ListBullet"/>
      </w:pPr>
      <w:r>
        <w:t>Use approved imagery. Do not generate placeholders, invent project claims, or reuse the same desk image across multiple sections.</w:t>
      </w:r>
    </w:p>
    <w:p>
      <w:pPr>
        <w:pStyle w:val="ListBullet"/>
      </w:pPr>
      <w:r>
        <w:t>Implement responsive and accessible behavior before visual polish is considered complete.</w:t>
      </w:r>
    </w:p>
    <w:p>
      <w:pPr>
        <w:pStyle w:val="ListBullet"/>
      </w:pPr>
      <w:r>
        <w:t>Provide a preview and a change report. Do not merge or push to production until the visual review is approved.</w:t>
      </w:r>
    </w:p>
    <w:p>
      <w:r>
        <w:br w:type="page"/>
      </w:r>
    </w:p>
    <w:p>
      <w:pPr>
        <w:pStyle w:val="Heading1"/>
      </w:pPr>
      <w:r>
        <w:t>08  Immediate Next Actions</w:t>
      </w:r>
    </w:p>
    <w:p>
      <w:pPr>
        <w:pStyle w:val="SectionIntro"/>
      </w:pPr>
      <w:r>
        <w:t>Do these in order. Do not begin with a giant Cursor build prompt before the inputs are frozen.</w:t>
      </w:r>
    </w:p>
    <w:tbl>
      <w:tblPr>
        <w:tblW w:type="auto" w:w="0"/>
        <w:jc w:val="center"/>
        <w:tblLayout w:type="fixed"/>
        <w:tblLook w:firstColumn="1" w:firstRow="1" w:lastColumn="0" w:lastRow="0" w:noHBand="0" w:noVBand="1" w:val="04A0"/>
      </w:tblPr>
      <w:tblGrid>
        <w:gridCol w:w="3389"/>
        <w:gridCol w:w="3389"/>
        <w:gridCol w:w="3389"/>
      </w:tblGrid>
      <w:tr>
        <w:tc>
          <w:tcPr>
            <w:tcW w:type="dxa" w:w="648"/>
            <w:shd w:fill="151412"/>
            <w:tcMar>
              <w:top w:w="120" w:type="dxa"/>
              <w:start w:w="140" w:type="dxa"/>
              <w:bottom w:w="120" w:type="dxa"/>
              <w:end w:w="140" w:type="dxa"/>
            </w:tcMar>
          </w:tcPr>
          <w:p>
            <w:r>
              <w:rPr>
                <w:b/>
                <w:color w:val="FFFFFF"/>
                <w:sz w:val="16"/>
              </w:rPr>
              <w:t>#</w:t>
            </w:r>
          </w:p>
        </w:tc>
        <w:tc>
          <w:tcPr>
            <w:tcW w:type="dxa" w:w="3096"/>
            <w:shd w:fill="151412"/>
            <w:tcMar>
              <w:top w:w="120" w:type="dxa"/>
              <w:start w:w="140" w:type="dxa"/>
              <w:bottom w:w="120" w:type="dxa"/>
              <w:end w:w="140" w:type="dxa"/>
            </w:tcMar>
          </w:tcPr>
          <w:p>
            <w:r>
              <w:rPr>
                <w:b/>
                <w:color w:val="FFFFFF"/>
                <w:sz w:val="16"/>
              </w:rPr>
              <w:t>ACTION</w:t>
            </w:r>
          </w:p>
        </w:tc>
        <w:tc>
          <w:tcPr>
            <w:tcW w:type="dxa" w:w="6768"/>
            <w:shd w:fill="151412"/>
            <w:tcMar>
              <w:top w:w="120" w:type="dxa"/>
              <w:start w:w="140" w:type="dxa"/>
              <w:bottom w:w="120" w:type="dxa"/>
              <w:end w:w="140" w:type="dxa"/>
            </w:tcMar>
          </w:tcPr>
          <w:p>
            <w:r>
              <w:rPr>
                <w:b/>
                <w:color w:val="FFFFFF"/>
                <w:sz w:val="16"/>
              </w:rPr>
              <w:t>DEFINITION OF DONE</w:t>
            </w:r>
          </w:p>
        </w:tc>
      </w:tr>
      <w:tr>
        <w:tc>
          <w:tcPr>
            <w:tcW w:type="dxa" w:w="648"/>
            <w:tcMar>
              <w:top w:w="105" w:type="dxa"/>
              <w:start w:w="135" w:type="dxa"/>
              <w:bottom w:w="105" w:type="dxa"/>
              <w:end w:w="135" w:type="dxa"/>
            </w:tcMar>
          </w:tcPr>
          <w:p>
            <w:r>
              <w:rPr>
                <w:b/>
                <w:color w:val="D86F50"/>
                <w:sz w:val="17"/>
              </w:rPr>
              <w:t>1</w:t>
            </w:r>
          </w:p>
        </w:tc>
        <w:tc>
          <w:tcPr>
            <w:tcW w:type="dxa" w:w="3096"/>
            <w:tcMar>
              <w:top w:w="105" w:type="dxa"/>
              <w:start w:w="135" w:type="dxa"/>
              <w:bottom w:w="105" w:type="dxa"/>
              <w:end w:w="135" w:type="dxa"/>
            </w:tcMar>
          </w:tcPr>
          <w:p>
            <w:r>
              <w:rPr>
                <w:b/>
                <w:sz w:val="17"/>
              </w:rPr>
              <w:t>Save this brief in the repository</w:t>
            </w:r>
          </w:p>
        </w:tc>
        <w:tc>
          <w:tcPr>
            <w:tcW w:type="dxa" w:w="6768"/>
            <w:tcMar>
              <w:top w:w="105" w:type="dxa"/>
              <w:start w:w="135" w:type="dxa"/>
              <w:bottom w:w="105" w:type="dxa"/>
              <w:end w:w="135" w:type="dxa"/>
            </w:tcMar>
          </w:tcPr>
          <w:p>
            <w:r>
              <w:rPr>
                <w:sz w:val="17"/>
              </w:rPr>
              <w:t>Place this document in a project documentation folder such as studio/docs/ and treat it as the canonical homepage redesign brief.</w:t>
            </w:r>
          </w:p>
        </w:tc>
      </w:tr>
      <w:tr>
        <w:tc>
          <w:tcPr>
            <w:tcW w:type="dxa" w:w="648"/>
            <w:tcMar>
              <w:top w:w="105" w:type="dxa"/>
              <w:start w:w="135" w:type="dxa"/>
              <w:bottom w:w="105" w:type="dxa"/>
              <w:end w:w="135" w:type="dxa"/>
            </w:tcMar>
            <w:shd w:fill="F7F1E8"/>
          </w:tcPr>
          <w:p>
            <w:r>
              <w:rPr>
                <w:b/>
                <w:color w:val="D86F50"/>
                <w:sz w:val="17"/>
              </w:rPr>
              <w:t>2</w:t>
            </w:r>
          </w:p>
        </w:tc>
        <w:tc>
          <w:tcPr>
            <w:tcW w:type="dxa" w:w="3096"/>
            <w:tcMar>
              <w:top w:w="105" w:type="dxa"/>
              <w:start w:w="135" w:type="dxa"/>
              <w:bottom w:w="105" w:type="dxa"/>
              <w:end w:w="135" w:type="dxa"/>
            </w:tcMar>
            <w:shd w:fill="F7F1E8"/>
          </w:tcPr>
          <w:p>
            <w:r>
              <w:rPr>
                <w:b/>
                <w:sz w:val="17"/>
              </w:rPr>
              <w:t>Create a safe implementation branch</w:t>
            </w:r>
          </w:p>
        </w:tc>
        <w:tc>
          <w:tcPr>
            <w:tcW w:type="dxa" w:w="6768"/>
            <w:tcMar>
              <w:top w:w="105" w:type="dxa"/>
              <w:start w:w="135" w:type="dxa"/>
              <w:bottom w:w="105" w:type="dxa"/>
              <w:end w:w="135" w:type="dxa"/>
            </w:tcMar>
            <w:shd w:fill="F7F1E8"/>
          </w:tcPr>
          <w:p>
            <w:r>
              <w:rPr>
                <w:sz w:val="17"/>
              </w:rPr>
              <w:t>Use a new branch such as studio-diagnostic-homepage-v1. Preserve the current /studio/ page as the rollback point.</w:t>
            </w:r>
          </w:p>
        </w:tc>
      </w:tr>
      <w:tr>
        <w:tc>
          <w:tcPr>
            <w:tcW w:type="dxa" w:w="648"/>
            <w:tcMar>
              <w:top w:w="105" w:type="dxa"/>
              <w:start w:w="135" w:type="dxa"/>
              <w:bottom w:w="105" w:type="dxa"/>
              <w:end w:w="135" w:type="dxa"/>
            </w:tcMar>
          </w:tcPr>
          <w:p>
            <w:r>
              <w:rPr>
                <w:b/>
                <w:color w:val="D86F50"/>
                <w:sz w:val="17"/>
              </w:rPr>
              <w:t>3</w:t>
            </w:r>
          </w:p>
        </w:tc>
        <w:tc>
          <w:tcPr>
            <w:tcW w:type="dxa" w:w="3096"/>
            <w:tcMar>
              <w:top w:w="105" w:type="dxa"/>
              <w:start w:w="135" w:type="dxa"/>
              <w:bottom w:w="105" w:type="dxa"/>
              <w:end w:w="135" w:type="dxa"/>
            </w:tcMar>
          </w:tcPr>
          <w:p>
            <w:r>
              <w:rPr>
                <w:b/>
                <w:sz w:val="17"/>
              </w:rPr>
              <w:t>Freeze the approved section order and hero copy</w:t>
            </w:r>
          </w:p>
        </w:tc>
        <w:tc>
          <w:tcPr>
            <w:tcW w:type="dxa" w:w="6768"/>
            <w:tcMar>
              <w:top w:w="105" w:type="dxa"/>
              <w:start w:w="135" w:type="dxa"/>
              <w:bottom w:w="105" w:type="dxa"/>
              <w:end w:w="135" w:type="dxa"/>
            </w:tcMar>
          </w:tcPr>
          <w:p>
            <w:r>
              <w:rPr>
                <w:sz w:val="17"/>
              </w:rPr>
              <w:t>Approve the architecture and hero language in this brief before implementation begins.</w:t>
            </w:r>
          </w:p>
        </w:tc>
      </w:tr>
      <w:tr>
        <w:tc>
          <w:tcPr>
            <w:tcW w:type="dxa" w:w="648"/>
            <w:tcMar>
              <w:top w:w="105" w:type="dxa"/>
              <w:start w:w="135" w:type="dxa"/>
              <w:bottom w:w="105" w:type="dxa"/>
              <w:end w:w="135" w:type="dxa"/>
            </w:tcMar>
            <w:shd w:fill="F7F1E8"/>
          </w:tcPr>
          <w:p>
            <w:r>
              <w:rPr>
                <w:b/>
                <w:color w:val="D86F50"/>
                <w:sz w:val="17"/>
              </w:rPr>
              <w:t>4</w:t>
            </w:r>
          </w:p>
        </w:tc>
        <w:tc>
          <w:tcPr>
            <w:tcW w:type="dxa" w:w="3096"/>
            <w:tcMar>
              <w:top w:w="105" w:type="dxa"/>
              <w:start w:w="135" w:type="dxa"/>
              <w:bottom w:w="105" w:type="dxa"/>
              <w:end w:w="135" w:type="dxa"/>
            </w:tcMar>
            <w:shd w:fill="F7F1E8"/>
          </w:tcPr>
          <w:p>
            <w:r>
              <w:rPr>
                <w:b/>
                <w:sz w:val="17"/>
              </w:rPr>
              <w:t>Complete the asset map</w:t>
            </w:r>
          </w:p>
        </w:tc>
        <w:tc>
          <w:tcPr>
            <w:tcW w:type="dxa" w:w="6768"/>
            <w:tcMar>
              <w:top w:w="105" w:type="dxa"/>
              <w:start w:w="135" w:type="dxa"/>
              <w:bottom w:w="105" w:type="dxa"/>
              <w:end w:w="135" w:type="dxa"/>
            </w:tcMar>
            <w:shd w:fill="F7F1E8"/>
          </w:tcPr>
          <w:p>
            <w:r>
              <w:rPr>
                <w:sz w:val="17"/>
              </w:rPr>
              <w:t>Identify the exact file or Cloudinary URL for every image slot. Mark missing assets. Do not keep generating duplicate worktable images.</w:t>
            </w:r>
          </w:p>
        </w:tc>
      </w:tr>
      <w:tr>
        <w:tc>
          <w:tcPr>
            <w:tcW w:type="dxa" w:w="648"/>
            <w:tcMar>
              <w:top w:w="105" w:type="dxa"/>
              <w:start w:w="135" w:type="dxa"/>
              <w:bottom w:w="105" w:type="dxa"/>
              <w:end w:w="135" w:type="dxa"/>
            </w:tcMar>
          </w:tcPr>
          <w:p>
            <w:r>
              <w:rPr>
                <w:b/>
                <w:color w:val="D86F50"/>
                <w:sz w:val="17"/>
              </w:rPr>
              <w:t>5</w:t>
            </w:r>
          </w:p>
        </w:tc>
        <w:tc>
          <w:tcPr>
            <w:tcW w:type="dxa" w:w="3096"/>
            <w:tcMar>
              <w:top w:w="105" w:type="dxa"/>
              <w:start w:w="135" w:type="dxa"/>
              <w:bottom w:w="105" w:type="dxa"/>
              <w:end w:w="135" w:type="dxa"/>
            </w:tcMar>
          </w:tcPr>
          <w:p>
            <w:r>
              <w:rPr>
                <w:b/>
                <w:sz w:val="17"/>
              </w:rPr>
              <w:t>Build the symptom explorer content matrix</w:t>
            </w:r>
          </w:p>
        </w:tc>
        <w:tc>
          <w:tcPr>
            <w:tcW w:type="dxa" w:w="6768"/>
            <w:tcMar>
              <w:top w:w="105" w:type="dxa"/>
              <w:start w:w="135" w:type="dxa"/>
              <w:bottom w:w="105" w:type="dxa"/>
              <w:end w:w="135" w:type="dxa"/>
            </w:tcMar>
          </w:tcPr>
          <w:p>
            <w:r>
              <w:rPr>
                <w:sz w:val="17"/>
              </w:rPr>
              <w:t>Approve the five symptoms, plausible conditions, and one interpretation line for each state.</w:t>
            </w:r>
          </w:p>
        </w:tc>
      </w:tr>
      <w:tr>
        <w:tc>
          <w:tcPr>
            <w:tcW w:type="dxa" w:w="648"/>
            <w:tcMar>
              <w:top w:w="105" w:type="dxa"/>
              <w:start w:w="135" w:type="dxa"/>
              <w:bottom w:w="105" w:type="dxa"/>
              <w:end w:w="135" w:type="dxa"/>
            </w:tcMar>
            <w:shd w:fill="F7F1E8"/>
          </w:tcPr>
          <w:p>
            <w:r>
              <w:rPr>
                <w:b/>
                <w:color w:val="D86F50"/>
                <w:sz w:val="17"/>
              </w:rPr>
              <w:t>6</w:t>
            </w:r>
          </w:p>
        </w:tc>
        <w:tc>
          <w:tcPr>
            <w:tcW w:type="dxa" w:w="3096"/>
            <w:tcMar>
              <w:top w:w="105" w:type="dxa"/>
              <w:start w:w="135" w:type="dxa"/>
              <w:bottom w:w="105" w:type="dxa"/>
              <w:end w:w="135" w:type="dxa"/>
            </w:tcMar>
            <w:shd w:fill="F7F1E8"/>
          </w:tcPr>
          <w:p>
            <w:r>
              <w:rPr>
                <w:b/>
                <w:sz w:val="17"/>
              </w:rPr>
              <w:t>Run a repository audit in Cursor</w:t>
            </w:r>
          </w:p>
        </w:tc>
        <w:tc>
          <w:tcPr>
            <w:tcW w:type="dxa" w:w="6768"/>
            <w:tcMar>
              <w:top w:w="105" w:type="dxa"/>
              <w:start w:w="135" w:type="dxa"/>
              <w:bottom w:w="105" w:type="dxa"/>
              <w:end w:w="135" w:type="dxa"/>
            </w:tcMar>
            <w:shd w:fill="F7F1E8"/>
          </w:tcPr>
          <w:p>
            <w:r>
              <w:rPr>
                <w:sz w:val="17"/>
              </w:rPr>
              <w:t>Ask Cursor to inspect the current /studio/ HTML, CSS, scripts, links, and reusable components. The first output should be an implementation plan, not code changes.</w:t>
            </w:r>
          </w:p>
        </w:tc>
      </w:tr>
      <w:tr>
        <w:tc>
          <w:tcPr>
            <w:tcW w:type="dxa" w:w="648"/>
            <w:tcMar>
              <w:top w:w="105" w:type="dxa"/>
              <w:start w:w="135" w:type="dxa"/>
              <w:bottom w:w="105" w:type="dxa"/>
              <w:end w:w="135" w:type="dxa"/>
            </w:tcMar>
          </w:tcPr>
          <w:p>
            <w:r>
              <w:rPr>
                <w:b/>
                <w:color w:val="D86F50"/>
                <w:sz w:val="17"/>
              </w:rPr>
              <w:t>7</w:t>
            </w:r>
          </w:p>
        </w:tc>
        <w:tc>
          <w:tcPr>
            <w:tcW w:type="dxa" w:w="3096"/>
            <w:tcMar>
              <w:top w:w="105" w:type="dxa"/>
              <w:start w:w="135" w:type="dxa"/>
              <w:bottom w:w="105" w:type="dxa"/>
              <w:end w:w="135" w:type="dxa"/>
            </w:tcMar>
          </w:tcPr>
          <w:p>
            <w:r>
              <w:rPr>
                <w:b/>
                <w:sz w:val="17"/>
              </w:rPr>
              <w:t>Implement the structural prototype</w:t>
            </w:r>
          </w:p>
        </w:tc>
        <w:tc>
          <w:tcPr>
            <w:tcW w:type="dxa" w:w="6768"/>
            <w:tcMar>
              <w:top w:w="105" w:type="dxa"/>
              <w:start w:w="135" w:type="dxa"/>
              <w:bottom w:w="105" w:type="dxa"/>
              <w:end w:w="135" w:type="dxa"/>
            </w:tcMar>
          </w:tcPr>
          <w:p>
            <w:r>
              <w:rPr>
                <w:sz w:val="17"/>
              </w:rPr>
              <w:t>Build all sections with correct order, anchors, semantic markup, and responsive skeleton. Use temporary neutral media blocks only for missing assets.</w:t>
            </w:r>
          </w:p>
        </w:tc>
      </w:tr>
      <w:tr>
        <w:tc>
          <w:tcPr>
            <w:tcW w:type="dxa" w:w="648"/>
            <w:tcMar>
              <w:top w:w="105" w:type="dxa"/>
              <w:start w:w="135" w:type="dxa"/>
              <w:bottom w:w="105" w:type="dxa"/>
              <w:end w:w="135" w:type="dxa"/>
            </w:tcMar>
            <w:shd w:fill="F7F1E8"/>
          </w:tcPr>
          <w:p>
            <w:r>
              <w:rPr>
                <w:b/>
                <w:color w:val="D86F50"/>
                <w:sz w:val="17"/>
              </w:rPr>
              <w:t>8</w:t>
            </w:r>
          </w:p>
        </w:tc>
        <w:tc>
          <w:tcPr>
            <w:tcW w:type="dxa" w:w="3096"/>
            <w:tcMar>
              <w:top w:w="105" w:type="dxa"/>
              <w:start w:w="135" w:type="dxa"/>
              <w:bottom w:w="105" w:type="dxa"/>
              <w:end w:w="135" w:type="dxa"/>
            </w:tcMar>
            <w:shd w:fill="F7F1E8"/>
          </w:tcPr>
          <w:p>
            <w:r>
              <w:rPr>
                <w:b/>
                <w:sz w:val="17"/>
              </w:rPr>
              <w:t>Review the page as one narrative</w:t>
            </w:r>
          </w:p>
        </w:tc>
        <w:tc>
          <w:tcPr>
            <w:tcW w:type="dxa" w:w="6768"/>
            <w:tcMar>
              <w:top w:w="105" w:type="dxa"/>
              <w:start w:w="135" w:type="dxa"/>
              <w:bottom w:w="105" w:type="dxa"/>
              <w:end w:w="135" w:type="dxa"/>
            </w:tcMar>
            <w:shd w:fill="F7F1E8"/>
          </w:tcPr>
          <w:p>
            <w:r>
              <w:rPr>
                <w:sz w:val="17"/>
              </w:rPr>
              <w:t>Validate hierarchy and pacing at desktop and mobile before polishing individual sections.</w:t>
            </w:r>
          </w:p>
        </w:tc>
      </w:tr>
      <w:tr>
        <w:tc>
          <w:tcPr>
            <w:tcW w:type="dxa" w:w="648"/>
            <w:tcMar>
              <w:top w:w="105" w:type="dxa"/>
              <w:start w:w="135" w:type="dxa"/>
              <w:bottom w:w="105" w:type="dxa"/>
              <w:end w:w="135" w:type="dxa"/>
            </w:tcMar>
          </w:tcPr>
          <w:p>
            <w:r>
              <w:rPr>
                <w:b/>
                <w:color w:val="D86F50"/>
                <w:sz w:val="17"/>
              </w:rPr>
              <w:t>9</w:t>
            </w:r>
          </w:p>
        </w:tc>
        <w:tc>
          <w:tcPr>
            <w:tcW w:type="dxa" w:w="3096"/>
            <w:tcMar>
              <w:top w:w="105" w:type="dxa"/>
              <w:start w:w="135" w:type="dxa"/>
              <w:bottom w:w="105" w:type="dxa"/>
              <w:end w:w="135" w:type="dxa"/>
            </w:tcMar>
          </w:tcPr>
          <w:p>
            <w:r>
              <w:rPr>
                <w:b/>
                <w:sz w:val="17"/>
              </w:rPr>
              <w:t>Integrate final visuals and interactions</w:t>
            </w:r>
          </w:p>
        </w:tc>
        <w:tc>
          <w:tcPr>
            <w:tcW w:type="dxa" w:w="6768"/>
            <w:tcMar>
              <w:top w:w="105" w:type="dxa"/>
              <w:start w:w="135" w:type="dxa"/>
              <w:bottom w:w="105" w:type="dxa"/>
              <w:end w:w="135" w:type="dxa"/>
            </w:tcMar>
          </w:tcPr>
          <w:p>
            <w:r>
              <w:rPr>
                <w:sz w:val="17"/>
              </w:rPr>
              <w:t>Add approved images, explorer behavior, case covers, and restrained motion.</w:t>
            </w:r>
          </w:p>
        </w:tc>
      </w:tr>
      <w:tr>
        <w:tc>
          <w:tcPr>
            <w:tcW w:type="dxa" w:w="648"/>
            <w:tcMar>
              <w:top w:w="105" w:type="dxa"/>
              <w:start w:w="135" w:type="dxa"/>
              <w:bottom w:w="105" w:type="dxa"/>
              <w:end w:w="135" w:type="dxa"/>
            </w:tcMar>
            <w:shd w:fill="F7F1E8"/>
          </w:tcPr>
          <w:p>
            <w:r>
              <w:rPr>
                <w:b/>
                <w:color w:val="D86F50"/>
                <w:sz w:val="17"/>
              </w:rPr>
              <w:t>10</w:t>
            </w:r>
          </w:p>
        </w:tc>
        <w:tc>
          <w:tcPr>
            <w:tcW w:type="dxa" w:w="3096"/>
            <w:tcMar>
              <w:top w:w="105" w:type="dxa"/>
              <w:start w:w="135" w:type="dxa"/>
              <w:bottom w:w="105" w:type="dxa"/>
              <w:end w:w="135" w:type="dxa"/>
            </w:tcMar>
            <w:shd w:fill="F7F1E8"/>
          </w:tcPr>
          <w:p>
            <w:r>
              <w:rPr>
                <w:b/>
                <w:sz w:val="17"/>
              </w:rPr>
              <w:t>QA before merge</w:t>
            </w:r>
          </w:p>
        </w:tc>
        <w:tc>
          <w:tcPr>
            <w:tcW w:type="dxa" w:w="6768"/>
            <w:tcMar>
              <w:top w:w="105" w:type="dxa"/>
              <w:start w:w="135" w:type="dxa"/>
              <w:bottom w:w="105" w:type="dxa"/>
              <w:end w:w="135" w:type="dxa"/>
            </w:tcMar>
            <w:shd w:fill="F7F1E8"/>
          </w:tcPr>
          <w:p>
            <w:r>
              <w:rPr>
                <w:sz w:val="17"/>
              </w:rPr>
              <w:t>Review accessibility, mobile, performance, links, booking paths, StrategyIQ Light route, and Cloudflare preview. Merge only after approval.</w:t>
            </w:r>
          </w:p>
        </w:tc>
      </w:tr>
    </w:tbl>
    <w:p>
      <w:pPr>
        <w:pStyle w:val="Heading2"/>
      </w:pPr>
      <w:r>
        <w:t>First operational checkpoint</w:t>
      </w:r>
    </w:p>
    <w:p>
      <w:pPr>
        <w:pStyle w:val="Callout"/>
      </w:pPr>
      <w:r>
        <w:t>The next Cursor task should be a repository audit and implementation plan scoped to /studio/. It should not yet rewrite the page. The audit must return current file structure, section inventory, reusable components, asset dependencies, risks, and a proposed change list mapped to this brief.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center"/>
    </w:pPr>
    <w:r>
      <w:t>Luis Gilberto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right"/>
    </w:pPr>
    <w:r>
      <w:t>LG STUDIO  /  HOMEPAGE REDESIGN  /  MASTER IMPLEMENTATION BRIEF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3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Georgia" w:hAnsi="Georgia"/>
      <w:b w:val="0"/>
      <w:bCs/>
      <w:color w:val="17233A"/>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D86F5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23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160"/>
      <w:contextualSpacing/>
    </w:pPr>
    <w:rPr>
      <w:rFonts w:asciiTheme="majorHAnsi" w:eastAsiaTheme="majorEastAsia" w:hAnsiTheme="majorHAnsi" w:cstheme="majorBidi" w:ascii="Georgia" w:hAnsi="Georgia"/>
      <w:b w:val="0"/>
      <w:color w:val="17233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320"/>
    </w:pPr>
    <w:rPr>
      <w:rFonts w:asciiTheme="majorHAnsi" w:eastAsiaTheme="majorEastAsia" w:hAnsiTheme="majorHAnsi" w:cstheme="majorBidi" w:ascii="Aptos" w:hAnsi="Aptos"/>
      <w:b w:val="0"/>
      <w:i/>
      <w:iCs/>
      <w:color w:val="6E74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olor w:val="D86F50"/>
      <w:sz w:val="17"/>
    </w:rPr>
  </w:style>
  <w:style w:type="paragraph" w:customStyle="1" w:styleId="Callout">
    <w:name w:val="Callout"/>
    <w:pPr>
      <w:spacing w:before="160" w:after="160"/>
    </w:pPr>
    <w:rPr>
      <w:rFonts w:ascii="Georgia" w:hAnsi="Georgia"/>
      <w:color w:val="17233A"/>
      <w:sz w:val="30"/>
    </w:rPr>
  </w:style>
  <w:style w:type="paragraph" w:customStyle="1" w:styleId="SmallCaps">
    <w:name w:val="SmallCaps"/>
    <w:rPr>
      <w:rFonts w:ascii="Aptos" w:hAnsi="Aptos"/>
      <w:b/>
      <w:color w:val="6E7480"/>
      <w:sz w:val="16"/>
    </w:rPr>
  </w:style>
  <w:style w:type="paragraph" w:customStyle="1" w:styleId="SectionIntro">
    <w:name w:val="SectionIntro"/>
    <w:rPr>
      <w:rFonts w:ascii="Aptos" w:hAnsi="Aptos"/>
      <w:color w:val="6E748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