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838" w:rsidRPr="004D7EA3" w:rsidRDefault="002A273B" w:rsidP="004D7EA3">
      <w:pPr>
        <w:spacing w:before="120" w:after="0" w:line="240" w:lineRule="auto"/>
        <w:jc w:val="both"/>
        <w:rPr>
          <w:rFonts w:ascii="Arial" w:hAnsi="Arial" w:cs="Arial"/>
          <w:b/>
        </w:rPr>
      </w:pPr>
      <w:r w:rsidRPr="004D7EA3">
        <w:rPr>
          <w:rFonts w:ascii="Arial" w:hAnsi="Arial" w:cs="Arial"/>
          <w:b/>
        </w:rPr>
        <w:t>Diferencias entre BAM y Medium BAM</w:t>
      </w:r>
    </w:p>
    <w:p w:rsidR="00ED3FC5" w:rsidRDefault="00ED3FC5" w:rsidP="004D7EA3">
      <w:pPr>
        <w:spacing w:before="120" w:after="0" w:line="240" w:lineRule="auto"/>
        <w:jc w:val="both"/>
        <w:rPr>
          <w:rFonts w:ascii="Arial" w:hAnsi="Arial" w:cs="Arial"/>
        </w:rPr>
      </w:pPr>
    </w:p>
    <w:p w:rsidR="00ED3FC5" w:rsidRDefault="00ED3FC5" w:rsidP="004D7EA3">
      <w:pPr>
        <w:spacing w:before="120" w:after="0" w:line="240" w:lineRule="auto"/>
        <w:jc w:val="both"/>
        <w:rPr>
          <w:rFonts w:ascii="Arial" w:hAnsi="Arial" w:cs="Arial"/>
        </w:rPr>
      </w:pPr>
      <w:r>
        <w:rPr>
          <w:rFonts w:ascii="Arial" w:hAnsi="Arial" w:cs="Arial"/>
        </w:rPr>
        <w:t xml:space="preserve">Entre las mejoras realizadas en Medium BAM cabe señalar la incorporación de partidas no existentes inicialmente, que se han incorporado a BAM pendiente de trasladar al </w:t>
      </w:r>
      <w:proofErr w:type="spellStart"/>
      <w:r>
        <w:rPr>
          <w:rFonts w:ascii="Arial" w:hAnsi="Arial" w:cs="Arial"/>
        </w:rPr>
        <w:t>paper</w:t>
      </w:r>
      <w:proofErr w:type="spellEnd"/>
      <w:r>
        <w:rPr>
          <w:rFonts w:ascii="Arial" w:hAnsi="Arial" w:cs="Arial"/>
        </w:rPr>
        <w:t>.</w:t>
      </w:r>
    </w:p>
    <w:p w:rsidR="00ED3FC5" w:rsidRDefault="00ED3FC5" w:rsidP="004D7EA3">
      <w:pPr>
        <w:spacing w:before="120" w:after="0" w:line="240" w:lineRule="auto"/>
        <w:jc w:val="both"/>
        <w:rPr>
          <w:rFonts w:ascii="Arial" w:hAnsi="Arial" w:cs="Arial"/>
        </w:rPr>
      </w:pPr>
      <w:r>
        <w:rPr>
          <w:rFonts w:ascii="Arial" w:hAnsi="Arial" w:cs="Arial"/>
        </w:rPr>
        <w:t>También se ha incluido una tabla “</w:t>
      </w:r>
      <w:proofErr w:type="spellStart"/>
      <w:r>
        <w:rPr>
          <w:rFonts w:ascii="Arial" w:hAnsi="Arial" w:cs="Arial"/>
        </w:rPr>
        <w:t>Matching</w:t>
      </w:r>
      <w:proofErr w:type="spellEnd"/>
      <w:r>
        <w:rPr>
          <w:rFonts w:ascii="Arial" w:hAnsi="Arial" w:cs="Arial"/>
        </w:rPr>
        <w:t>” para examinar de un vistazo los errores de cuadre de las demás tablas (aparte de incluir nuevos detectores de errores</w:t>
      </w:r>
      <w:r w:rsidR="004D7EA3">
        <w:rPr>
          <w:rFonts w:ascii="Arial" w:hAnsi="Arial" w:cs="Arial"/>
        </w:rPr>
        <w:t>, al observarse inconsistencias en los datos aportados relativos a subvenciones de capital y otros ajustes por cambio de valor; así como en las variaciones de existencias, sobre todo en lo relativo a la distinción entre productos terminados y variación de existencias de dichos productos terminados</w:t>
      </w:r>
      <w:r>
        <w:rPr>
          <w:rFonts w:ascii="Arial" w:hAnsi="Arial" w:cs="Arial"/>
        </w:rPr>
        <w:t>).</w:t>
      </w:r>
    </w:p>
    <w:p w:rsidR="00ED3FC5" w:rsidRDefault="00ED3FC5" w:rsidP="004D7EA3">
      <w:pPr>
        <w:spacing w:before="120" w:after="0" w:line="240" w:lineRule="auto"/>
        <w:jc w:val="both"/>
        <w:rPr>
          <w:rFonts w:ascii="Arial" w:hAnsi="Arial" w:cs="Arial"/>
        </w:rPr>
      </w:pPr>
      <w:r>
        <w:rPr>
          <w:rFonts w:ascii="Arial" w:hAnsi="Arial" w:cs="Arial"/>
        </w:rPr>
        <w:t>Se ha incluido una tabla para la carga de datos procedentes de SABI (“</w:t>
      </w:r>
      <w:proofErr w:type="spellStart"/>
      <w:r>
        <w:rPr>
          <w:rFonts w:ascii="Arial" w:hAnsi="Arial" w:cs="Arial"/>
        </w:rPr>
        <w:t>Carga_datos</w:t>
      </w:r>
      <w:proofErr w:type="spellEnd"/>
      <w:r>
        <w:rPr>
          <w:rFonts w:ascii="Arial" w:hAnsi="Arial" w:cs="Arial"/>
        </w:rPr>
        <w:t>”).</w:t>
      </w:r>
    </w:p>
    <w:p w:rsidR="00ED3FC5" w:rsidRDefault="00ED3FC5" w:rsidP="004D7EA3">
      <w:pPr>
        <w:spacing w:before="120" w:after="0" w:line="240" w:lineRule="auto"/>
        <w:jc w:val="both"/>
        <w:rPr>
          <w:rFonts w:ascii="Arial" w:hAnsi="Arial" w:cs="Arial"/>
        </w:rPr>
      </w:pPr>
      <w:r>
        <w:rPr>
          <w:rFonts w:ascii="Arial" w:hAnsi="Arial" w:cs="Arial"/>
        </w:rPr>
        <w:t>Se han extendido las matrices de 3 a 10 (11 años de observaciones)</w:t>
      </w:r>
    </w:p>
    <w:p w:rsidR="00797D44" w:rsidRPr="00797D44" w:rsidRDefault="00797D44" w:rsidP="004D7EA3">
      <w:pPr>
        <w:spacing w:before="120" w:after="0" w:line="240" w:lineRule="auto"/>
        <w:jc w:val="both"/>
        <w:rPr>
          <w:rFonts w:ascii="Arial" w:hAnsi="Arial" w:cs="Arial"/>
        </w:rPr>
      </w:pPr>
      <w:r w:rsidRPr="00797D44">
        <w:rPr>
          <w:rFonts w:ascii="Arial" w:hAnsi="Arial" w:cs="Arial"/>
        </w:rPr>
        <w:t>El uso de estados contables normalizados obliga a realizar algunas simplificaciones y arreglos con respecto al modelo BAM, en el que se dispone de acceso total a los libros de la empresa. Entre ellos cabe destacar los siguientes:</w:t>
      </w:r>
    </w:p>
    <w:p w:rsidR="00797D44" w:rsidRPr="00797D44" w:rsidRDefault="00797D44" w:rsidP="004D7EA3">
      <w:pPr>
        <w:pStyle w:val="Prrafodelista"/>
        <w:numPr>
          <w:ilvl w:val="0"/>
          <w:numId w:val="2"/>
        </w:numPr>
        <w:spacing w:before="120" w:after="0" w:line="240" w:lineRule="auto"/>
        <w:ind w:left="425" w:hanging="425"/>
        <w:contextualSpacing w:val="0"/>
        <w:jc w:val="both"/>
        <w:rPr>
          <w:rFonts w:ascii="Arial" w:hAnsi="Arial" w:cs="Arial"/>
        </w:rPr>
      </w:pPr>
      <w:r w:rsidRPr="00797D44">
        <w:rPr>
          <w:rFonts w:ascii="Arial" w:hAnsi="Arial" w:cs="Arial"/>
        </w:rPr>
        <w:t>Se han simplificado los sectores institucionales, así las familias y empresas no financieras, se unifican con las empresas financieras y el sector público en su rol de operaciones comerciales, dado que no es posible saber con qué tipo de entidad se realizan las transacciones, sean operativas o no operativas.</w:t>
      </w:r>
    </w:p>
    <w:p w:rsidR="00797D44" w:rsidRPr="00797D44" w:rsidRDefault="00797D44" w:rsidP="004D7EA3">
      <w:pPr>
        <w:pStyle w:val="Prrafodelista"/>
        <w:numPr>
          <w:ilvl w:val="0"/>
          <w:numId w:val="2"/>
        </w:numPr>
        <w:spacing w:before="120" w:after="0" w:line="240" w:lineRule="auto"/>
        <w:ind w:left="425" w:hanging="425"/>
        <w:contextualSpacing w:val="0"/>
        <w:jc w:val="both"/>
        <w:rPr>
          <w:rFonts w:ascii="Arial" w:hAnsi="Arial" w:cs="Arial"/>
        </w:rPr>
      </w:pPr>
      <w:r w:rsidRPr="00797D44">
        <w:rPr>
          <w:rFonts w:ascii="Arial" w:hAnsi="Arial" w:cs="Arial"/>
        </w:rPr>
        <w:t>Se mantiene el sector público en su rol de administración pública en lo referente a la gestión de impuestos y ayudas.</w:t>
      </w:r>
    </w:p>
    <w:p w:rsidR="00797D44" w:rsidRDefault="00797D44" w:rsidP="004D7EA3">
      <w:pPr>
        <w:pStyle w:val="Prrafodelista"/>
        <w:numPr>
          <w:ilvl w:val="0"/>
          <w:numId w:val="2"/>
        </w:numPr>
        <w:spacing w:before="120" w:after="0" w:line="240" w:lineRule="auto"/>
        <w:ind w:left="425" w:hanging="425"/>
        <w:contextualSpacing w:val="0"/>
        <w:jc w:val="both"/>
        <w:rPr>
          <w:rFonts w:ascii="Arial" w:hAnsi="Arial" w:cs="Arial"/>
        </w:rPr>
      </w:pPr>
      <w:r w:rsidRPr="00797D44">
        <w:rPr>
          <w:rFonts w:ascii="Arial" w:hAnsi="Arial" w:cs="Arial"/>
        </w:rPr>
        <w:t xml:space="preserve">Se han tomado decisiones derivadas de la agregación de determinadas </w:t>
      </w:r>
      <w:proofErr w:type="spellStart"/>
      <w:r w:rsidRPr="00797D44">
        <w:rPr>
          <w:rFonts w:ascii="Arial" w:hAnsi="Arial" w:cs="Arial"/>
        </w:rPr>
        <w:t>subpartidas</w:t>
      </w:r>
      <w:proofErr w:type="spellEnd"/>
      <w:r w:rsidR="004B66CE">
        <w:rPr>
          <w:rFonts w:ascii="Arial" w:hAnsi="Arial" w:cs="Arial"/>
        </w:rPr>
        <w:t xml:space="preserve"> de resultados</w:t>
      </w:r>
      <w:r w:rsidRPr="00797D44">
        <w:rPr>
          <w:rFonts w:ascii="Arial" w:hAnsi="Arial" w:cs="Arial"/>
        </w:rPr>
        <w:t xml:space="preserve"> en partidas principales, dado que no hay información desglosada. Las decisiones fueron las siguientes:</w:t>
      </w:r>
    </w:p>
    <w:p w:rsidR="004D7EA3" w:rsidRPr="00797D44" w:rsidRDefault="004D7EA3" w:rsidP="004D7EA3">
      <w:pPr>
        <w:pStyle w:val="Prrafodelista"/>
        <w:spacing w:before="120" w:after="0" w:line="240" w:lineRule="auto"/>
        <w:ind w:left="425"/>
        <w:contextualSpacing w:val="0"/>
        <w:jc w:val="both"/>
        <w:rPr>
          <w:rFonts w:ascii="Arial" w:hAnsi="Arial" w:cs="Arial"/>
        </w:rPr>
      </w:pPr>
    </w:p>
    <w:tbl>
      <w:tblPr>
        <w:tblW w:w="9500" w:type="dxa"/>
        <w:tblCellMar>
          <w:left w:w="70" w:type="dxa"/>
          <w:right w:w="70" w:type="dxa"/>
        </w:tblCellMar>
        <w:tblLook w:val="04A0" w:firstRow="1" w:lastRow="0" w:firstColumn="1" w:lastColumn="0" w:noHBand="0" w:noVBand="1"/>
      </w:tblPr>
      <w:tblGrid>
        <w:gridCol w:w="4220"/>
        <w:gridCol w:w="5280"/>
      </w:tblGrid>
      <w:tr w:rsidR="00797D44" w:rsidRPr="00797D44" w:rsidTr="00797D44">
        <w:trPr>
          <w:trHeight w:val="315"/>
        </w:trPr>
        <w:tc>
          <w:tcPr>
            <w:tcW w:w="4220" w:type="dxa"/>
            <w:tcBorders>
              <w:top w:val="single" w:sz="8" w:space="0" w:color="FFFFFF"/>
              <w:left w:val="single" w:sz="8" w:space="0" w:color="FFFFFF"/>
              <w:bottom w:val="single" w:sz="8" w:space="0" w:color="FFFFFF"/>
              <w:right w:val="single" w:sz="8" w:space="0" w:color="FFFFFF"/>
            </w:tcBorders>
            <w:shd w:val="clear" w:color="000000" w:fill="E2EFDA"/>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5. </w:t>
            </w:r>
            <w:proofErr w:type="spellStart"/>
            <w:r w:rsidRPr="00797D44">
              <w:rPr>
                <w:rFonts w:ascii="Arial Narrow" w:eastAsia="Times New Roman" w:hAnsi="Arial Narrow" w:cs="Calibri"/>
                <w:color w:val="000000"/>
                <w:sz w:val="20"/>
                <w:szCs w:val="20"/>
                <w:lang w:eastAsia="es-ES"/>
              </w:rPr>
              <w:t>Other</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operating</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income</w:t>
            </w:r>
            <w:proofErr w:type="spellEnd"/>
          </w:p>
        </w:tc>
        <w:tc>
          <w:tcPr>
            <w:tcW w:w="5280" w:type="dxa"/>
            <w:tcBorders>
              <w:top w:val="nil"/>
              <w:left w:val="nil"/>
              <w:bottom w:val="nil"/>
              <w:right w:val="nil"/>
            </w:tcBorders>
            <w:shd w:val="clear" w:color="auto" w:fill="auto"/>
            <w:noWrap/>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proofErr w:type="spellStart"/>
            <w:r w:rsidRPr="00797D44">
              <w:rPr>
                <w:rFonts w:ascii="Arial Narrow" w:eastAsia="Times New Roman" w:hAnsi="Arial Narrow" w:cs="Calibri"/>
                <w:color w:val="000000"/>
                <w:sz w:val="20"/>
                <w:szCs w:val="20"/>
                <w:lang w:eastAsia="es-ES"/>
              </w:rPr>
              <w:t>Calculated</w:t>
            </w:r>
            <w:proofErr w:type="spellEnd"/>
          </w:p>
        </w:tc>
      </w:tr>
      <w:tr w:rsidR="00797D44" w:rsidRPr="00797D44"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val="en-GB" w:eastAsia="es-ES"/>
              </w:rPr>
            </w:pPr>
            <w:r w:rsidRPr="00797D44">
              <w:rPr>
                <w:rFonts w:ascii="Arial Narrow" w:eastAsia="Times New Roman" w:hAnsi="Arial Narrow" w:cs="Calibri"/>
                <w:color w:val="000000"/>
                <w:sz w:val="20"/>
                <w:szCs w:val="20"/>
                <w:lang w:val="en-GB" w:eastAsia="es-ES"/>
              </w:rPr>
              <w:t>a) Non-trading &amp; other operating income</w:t>
            </w:r>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b/>
                <w:bCs/>
                <w:color w:val="FF0000"/>
                <w:sz w:val="20"/>
                <w:szCs w:val="20"/>
                <w:lang w:eastAsia="es-ES"/>
              </w:rPr>
            </w:pPr>
            <w:proofErr w:type="spellStart"/>
            <w:r w:rsidRPr="00797D44">
              <w:rPr>
                <w:rFonts w:ascii="Arial Narrow" w:eastAsia="Times New Roman" w:hAnsi="Arial Narrow" w:cs="Calibri"/>
                <w:sz w:val="20"/>
                <w:szCs w:val="20"/>
                <w:lang w:eastAsia="es-ES"/>
              </w:rPr>
              <w:t>Calculated</w:t>
            </w:r>
            <w:proofErr w:type="spellEnd"/>
            <w:r w:rsidRPr="00797D44">
              <w:rPr>
                <w:rFonts w:ascii="Arial Narrow" w:eastAsia="Times New Roman" w:hAnsi="Arial Narrow" w:cs="Calibri"/>
                <w:b/>
                <w:bCs/>
                <w:color w:val="FF0000"/>
                <w:sz w:val="20"/>
                <w:szCs w:val="20"/>
                <w:lang w:eastAsia="es-ES"/>
              </w:rPr>
              <w:t xml:space="preserve"> Output (ante la duda, suponer lo más común)</w:t>
            </w:r>
          </w:p>
        </w:tc>
      </w:tr>
      <w:tr w:rsidR="00797D44" w:rsidRPr="00250B2A"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Income</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from</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lease</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agreements</w:t>
            </w:r>
            <w:proofErr w:type="spellEnd"/>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val="en-GB" w:eastAsia="es-ES"/>
              </w:rPr>
            </w:pPr>
            <w:r w:rsidRPr="00797D44">
              <w:rPr>
                <w:rFonts w:ascii="Arial Narrow" w:eastAsia="Times New Roman" w:hAnsi="Arial Narrow" w:cs="Calibri"/>
                <w:color w:val="FF0000"/>
                <w:sz w:val="20"/>
                <w:szCs w:val="20"/>
                <w:lang w:val="en-GB" w:eastAsia="es-ES"/>
              </w:rPr>
              <w:t>Allocation of primary income account (probable)</w:t>
            </w:r>
          </w:p>
        </w:tc>
      </w:tr>
      <w:tr w:rsidR="00797D44" w:rsidRPr="00250B2A"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val="en-GB" w:eastAsia="es-ES"/>
              </w:rPr>
            </w:pPr>
            <w:r w:rsidRPr="00797D44">
              <w:rPr>
                <w:rFonts w:ascii="Arial Narrow" w:eastAsia="Times New Roman" w:hAnsi="Arial Narrow" w:cs="Calibri"/>
                <w:color w:val="000000"/>
                <w:sz w:val="20"/>
                <w:szCs w:val="20"/>
                <w:lang w:val="en-GB" w:eastAsia="es-ES"/>
              </w:rPr>
              <w:t>(+) Income from transfer of industrial property rights</w:t>
            </w:r>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val="en-GB" w:eastAsia="es-ES"/>
              </w:rPr>
            </w:pPr>
            <w:r w:rsidRPr="00797D44">
              <w:rPr>
                <w:rFonts w:ascii="Arial Narrow" w:eastAsia="Times New Roman" w:hAnsi="Arial Narrow" w:cs="Calibri"/>
                <w:color w:val="FF0000"/>
                <w:sz w:val="20"/>
                <w:szCs w:val="20"/>
                <w:lang w:val="en-GB" w:eastAsia="es-ES"/>
              </w:rPr>
              <w:t>Allocation of primary income account (</w:t>
            </w:r>
            <w:proofErr w:type="spellStart"/>
            <w:r w:rsidRPr="00797D44">
              <w:rPr>
                <w:rFonts w:ascii="Arial Narrow" w:eastAsia="Times New Roman" w:hAnsi="Arial Narrow" w:cs="Calibri"/>
                <w:color w:val="FF0000"/>
                <w:sz w:val="20"/>
                <w:szCs w:val="20"/>
                <w:lang w:val="en-GB" w:eastAsia="es-ES"/>
              </w:rPr>
              <w:t>poco</w:t>
            </w:r>
            <w:proofErr w:type="spellEnd"/>
            <w:r w:rsidRPr="00797D44">
              <w:rPr>
                <w:rFonts w:ascii="Arial Narrow" w:eastAsia="Times New Roman" w:hAnsi="Arial Narrow" w:cs="Calibri"/>
                <w:color w:val="FF0000"/>
                <w:sz w:val="20"/>
                <w:szCs w:val="20"/>
                <w:lang w:val="en-GB" w:eastAsia="es-ES"/>
              </w:rPr>
              <w:t xml:space="preserve"> </w:t>
            </w:r>
            <w:proofErr w:type="spellStart"/>
            <w:r w:rsidRPr="00797D44">
              <w:rPr>
                <w:rFonts w:ascii="Arial Narrow" w:eastAsia="Times New Roman" w:hAnsi="Arial Narrow" w:cs="Calibri"/>
                <w:color w:val="FF0000"/>
                <w:sz w:val="20"/>
                <w:szCs w:val="20"/>
                <w:lang w:val="en-GB" w:eastAsia="es-ES"/>
              </w:rPr>
              <w:t>probale</w:t>
            </w:r>
            <w:proofErr w:type="spellEnd"/>
            <w:r w:rsidRPr="00797D44">
              <w:rPr>
                <w:rFonts w:ascii="Arial Narrow" w:eastAsia="Times New Roman" w:hAnsi="Arial Narrow" w:cs="Calibri"/>
                <w:color w:val="FF0000"/>
                <w:sz w:val="20"/>
                <w:szCs w:val="20"/>
                <w:lang w:val="en-GB" w:eastAsia="es-ES"/>
              </w:rPr>
              <w:t>)</w:t>
            </w:r>
          </w:p>
        </w:tc>
      </w:tr>
      <w:tr w:rsidR="00797D44" w:rsidRPr="00797D44"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Other</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external</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operating</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income</w:t>
            </w:r>
            <w:proofErr w:type="spellEnd"/>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eastAsia="es-ES"/>
              </w:rPr>
            </w:pPr>
            <w:r w:rsidRPr="00797D44">
              <w:rPr>
                <w:rFonts w:ascii="Arial Narrow" w:eastAsia="Times New Roman" w:hAnsi="Arial Narrow" w:cs="Calibri"/>
                <w:color w:val="FF0000"/>
                <w:sz w:val="20"/>
                <w:szCs w:val="20"/>
                <w:lang w:eastAsia="es-ES"/>
              </w:rPr>
              <w:t>Output (habitual)</w:t>
            </w:r>
          </w:p>
        </w:tc>
      </w:tr>
      <w:tr w:rsidR="00797D44" w:rsidRPr="00797D44" w:rsidTr="00797D44">
        <w:trPr>
          <w:trHeight w:val="315"/>
        </w:trPr>
        <w:tc>
          <w:tcPr>
            <w:tcW w:w="4220" w:type="dxa"/>
            <w:tcBorders>
              <w:top w:val="nil"/>
              <w:left w:val="nil"/>
              <w:bottom w:val="nil"/>
              <w:right w:val="nil"/>
            </w:tcBorders>
            <w:shd w:val="clear" w:color="auto" w:fill="auto"/>
            <w:noWrap/>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eastAsia="es-ES"/>
              </w:rPr>
            </w:pPr>
          </w:p>
        </w:tc>
        <w:tc>
          <w:tcPr>
            <w:tcW w:w="5280" w:type="dxa"/>
            <w:tcBorders>
              <w:top w:val="nil"/>
              <w:left w:val="nil"/>
              <w:bottom w:val="nil"/>
              <w:right w:val="nil"/>
            </w:tcBorders>
            <w:shd w:val="clear" w:color="auto" w:fill="auto"/>
            <w:noWrap/>
            <w:vAlign w:val="bottom"/>
            <w:hideMark/>
          </w:tcPr>
          <w:p w:rsidR="00797D44" w:rsidRPr="00797D44" w:rsidRDefault="00797D44" w:rsidP="00797D44">
            <w:pPr>
              <w:spacing w:after="0" w:line="240" w:lineRule="auto"/>
              <w:rPr>
                <w:rFonts w:ascii="Times New Roman" w:eastAsia="Times New Roman" w:hAnsi="Times New Roman" w:cs="Times New Roman"/>
                <w:sz w:val="20"/>
                <w:szCs w:val="20"/>
                <w:lang w:eastAsia="es-ES"/>
              </w:rPr>
            </w:pPr>
          </w:p>
        </w:tc>
      </w:tr>
      <w:tr w:rsidR="00797D44" w:rsidRPr="00797D44" w:rsidTr="00797D44">
        <w:trPr>
          <w:trHeight w:val="315"/>
        </w:trPr>
        <w:tc>
          <w:tcPr>
            <w:tcW w:w="4220" w:type="dxa"/>
            <w:tcBorders>
              <w:top w:val="single" w:sz="8" w:space="0" w:color="FFFFFF"/>
              <w:left w:val="single" w:sz="8" w:space="0" w:color="FFFFFF"/>
              <w:bottom w:val="single" w:sz="8" w:space="0" w:color="FFFFFF"/>
              <w:right w:val="single" w:sz="8" w:space="0" w:color="FFFFFF"/>
            </w:tcBorders>
            <w:shd w:val="clear" w:color="000000" w:fill="E2EFDA"/>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7. </w:t>
            </w:r>
            <w:proofErr w:type="spellStart"/>
            <w:r w:rsidRPr="00797D44">
              <w:rPr>
                <w:rFonts w:ascii="Arial Narrow" w:eastAsia="Times New Roman" w:hAnsi="Arial Narrow" w:cs="Calibri"/>
                <w:color w:val="000000"/>
                <w:sz w:val="20"/>
                <w:szCs w:val="20"/>
                <w:lang w:eastAsia="es-ES"/>
              </w:rPr>
              <w:t>Other</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operating</w:t>
            </w:r>
            <w:proofErr w:type="spellEnd"/>
            <w:r w:rsidRPr="00797D44">
              <w:rPr>
                <w:rFonts w:ascii="Arial Narrow" w:eastAsia="Times New Roman" w:hAnsi="Arial Narrow" w:cs="Calibri"/>
                <w:color w:val="000000"/>
                <w:sz w:val="20"/>
                <w:szCs w:val="20"/>
                <w:lang w:eastAsia="es-ES"/>
              </w:rPr>
              <w:t xml:space="preserve"> expenses</w:t>
            </w:r>
          </w:p>
        </w:tc>
        <w:tc>
          <w:tcPr>
            <w:tcW w:w="5280" w:type="dxa"/>
            <w:tcBorders>
              <w:top w:val="nil"/>
              <w:left w:val="nil"/>
              <w:bottom w:val="nil"/>
              <w:right w:val="nil"/>
            </w:tcBorders>
            <w:shd w:val="clear" w:color="auto" w:fill="auto"/>
            <w:noWrap/>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proofErr w:type="spellStart"/>
            <w:r w:rsidRPr="00797D44">
              <w:rPr>
                <w:rFonts w:ascii="Arial Narrow" w:eastAsia="Times New Roman" w:hAnsi="Arial Narrow" w:cs="Calibri"/>
                <w:color w:val="000000"/>
                <w:sz w:val="20"/>
                <w:szCs w:val="20"/>
                <w:lang w:eastAsia="es-ES"/>
              </w:rPr>
              <w:t>Calculated</w:t>
            </w:r>
            <w:proofErr w:type="spellEnd"/>
          </w:p>
        </w:tc>
      </w:tr>
      <w:tr w:rsidR="00797D44" w:rsidRPr="00797D44"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a) </w:t>
            </w:r>
            <w:proofErr w:type="spellStart"/>
            <w:r w:rsidRPr="00797D44">
              <w:rPr>
                <w:rFonts w:ascii="Arial Narrow" w:eastAsia="Times New Roman" w:hAnsi="Arial Narrow" w:cs="Calibri"/>
                <w:color w:val="000000"/>
                <w:sz w:val="20"/>
                <w:szCs w:val="20"/>
                <w:lang w:eastAsia="es-ES"/>
              </w:rPr>
              <w:t>External</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services</w:t>
            </w:r>
            <w:proofErr w:type="spellEnd"/>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b/>
                <w:bCs/>
                <w:color w:val="FF0000"/>
                <w:sz w:val="20"/>
                <w:szCs w:val="20"/>
                <w:lang w:eastAsia="es-ES"/>
              </w:rPr>
            </w:pPr>
            <w:proofErr w:type="spellStart"/>
            <w:r w:rsidRPr="00797D44">
              <w:rPr>
                <w:rFonts w:ascii="Arial Narrow" w:eastAsia="Times New Roman" w:hAnsi="Arial Narrow" w:cs="Calibri"/>
                <w:sz w:val="20"/>
                <w:szCs w:val="20"/>
                <w:lang w:eastAsia="es-ES"/>
              </w:rPr>
              <w:t>Calculated</w:t>
            </w:r>
            <w:proofErr w:type="spellEnd"/>
            <w:r w:rsidRPr="00797D44">
              <w:rPr>
                <w:rFonts w:ascii="Arial Narrow" w:eastAsia="Times New Roman" w:hAnsi="Arial Narrow" w:cs="Calibri"/>
                <w:b/>
                <w:bCs/>
                <w:color w:val="FF0000"/>
                <w:sz w:val="20"/>
                <w:szCs w:val="20"/>
                <w:lang w:eastAsia="es-ES"/>
              </w:rPr>
              <w:t xml:space="preserve"> </w:t>
            </w:r>
            <w:proofErr w:type="spellStart"/>
            <w:r w:rsidRPr="00797D44">
              <w:rPr>
                <w:rFonts w:ascii="Arial Narrow" w:eastAsia="Times New Roman" w:hAnsi="Arial Narrow" w:cs="Calibri"/>
                <w:b/>
                <w:bCs/>
                <w:color w:val="FF0000"/>
                <w:sz w:val="20"/>
                <w:szCs w:val="20"/>
                <w:lang w:eastAsia="es-ES"/>
              </w:rPr>
              <w:t>Intermediate</w:t>
            </w:r>
            <w:proofErr w:type="spellEnd"/>
            <w:r w:rsidRPr="00797D44">
              <w:rPr>
                <w:rFonts w:ascii="Arial Narrow" w:eastAsia="Times New Roman" w:hAnsi="Arial Narrow" w:cs="Calibri"/>
                <w:b/>
                <w:bCs/>
                <w:color w:val="FF0000"/>
                <w:sz w:val="20"/>
                <w:szCs w:val="20"/>
                <w:lang w:eastAsia="es-ES"/>
              </w:rPr>
              <w:t xml:space="preserve"> </w:t>
            </w:r>
            <w:proofErr w:type="spellStart"/>
            <w:r w:rsidRPr="00797D44">
              <w:rPr>
                <w:rFonts w:ascii="Arial Narrow" w:eastAsia="Times New Roman" w:hAnsi="Arial Narrow" w:cs="Calibri"/>
                <w:b/>
                <w:bCs/>
                <w:color w:val="FF0000"/>
                <w:sz w:val="20"/>
                <w:szCs w:val="20"/>
                <w:lang w:eastAsia="es-ES"/>
              </w:rPr>
              <w:t>consumption</w:t>
            </w:r>
            <w:proofErr w:type="spellEnd"/>
            <w:r w:rsidRPr="00797D44">
              <w:rPr>
                <w:rFonts w:ascii="Arial Narrow" w:eastAsia="Times New Roman" w:hAnsi="Arial Narrow" w:cs="Calibri"/>
                <w:b/>
                <w:bCs/>
                <w:color w:val="FF0000"/>
                <w:sz w:val="20"/>
                <w:szCs w:val="20"/>
                <w:lang w:eastAsia="es-ES"/>
              </w:rPr>
              <w:t xml:space="preserve"> (mayor </w:t>
            </w:r>
            <w:proofErr w:type="spellStart"/>
            <w:r w:rsidRPr="00797D44">
              <w:rPr>
                <w:rFonts w:ascii="Arial Narrow" w:eastAsia="Times New Roman" w:hAnsi="Arial Narrow" w:cs="Calibri"/>
                <w:b/>
                <w:bCs/>
                <w:color w:val="FF0000"/>
                <w:sz w:val="20"/>
                <w:szCs w:val="20"/>
                <w:lang w:eastAsia="es-ES"/>
              </w:rPr>
              <w:t>cuantia</w:t>
            </w:r>
            <w:proofErr w:type="spellEnd"/>
            <w:r w:rsidRPr="00797D44">
              <w:rPr>
                <w:rFonts w:ascii="Arial Narrow" w:eastAsia="Times New Roman" w:hAnsi="Arial Narrow" w:cs="Calibri"/>
                <w:b/>
                <w:bCs/>
                <w:color w:val="FF0000"/>
                <w:sz w:val="20"/>
                <w:szCs w:val="20"/>
                <w:lang w:eastAsia="es-ES"/>
              </w:rPr>
              <w:t xml:space="preserve"> probable)</w:t>
            </w:r>
          </w:p>
        </w:tc>
      </w:tr>
      <w:tr w:rsidR="00797D44" w:rsidRPr="00250B2A"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Leases</w:t>
            </w:r>
            <w:proofErr w:type="spellEnd"/>
            <w:r w:rsidRPr="00797D44">
              <w:rPr>
                <w:rFonts w:ascii="Arial Narrow" w:eastAsia="Times New Roman" w:hAnsi="Arial Narrow" w:cs="Calibri"/>
                <w:color w:val="000000"/>
                <w:sz w:val="20"/>
                <w:szCs w:val="20"/>
                <w:lang w:eastAsia="es-ES"/>
              </w:rPr>
              <w:t xml:space="preserve"> &amp; royalties </w:t>
            </w:r>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val="en-GB" w:eastAsia="es-ES"/>
              </w:rPr>
            </w:pPr>
            <w:r w:rsidRPr="00797D44">
              <w:rPr>
                <w:rFonts w:ascii="Arial Narrow" w:eastAsia="Times New Roman" w:hAnsi="Arial Narrow" w:cs="Calibri"/>
                <w:color w:val="FF0000"/>
                <w:sz w:val="20"/>
                <w:szCs w:val="20"/>
                <w:lang w:val="en-GB" w:eastAsia="es-ES"/>
              </w:rPr>
              <w:t>Allocation of primary income account (habitual)</w:t>
            </w:r>
          </w:p>
        </w:tc>
      </w:tr>
      <w:tr w:rsidR="00797D44" w:rsidRPr="00250B2A"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Insurance</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premiums</w:t>
            </w:r>
            <w:proofErr w:type="spellEnd"/>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val="en-GB" w:eastAsia="es-ES"/>
              </w:rPr>
            </w:pPr>
            <w:r w:rsidRPr="00797D44">
              <w:rPr>
                <w:rFonts w:ascii="Arial Narrow" w:eastAsia="Times New Roman" w:hAnsi="Arial Narrow" w:cs="Calibri"/>
                <w:color w:val="FF0000"/>
                <w:sz w:val="20"/>
                <w:szCs w:val="20"/>
                <w:lang w:val="en-GB" w:eastAsia="es-ES"/>
              </w:rPr>
              <w:t>Secondary distribution of income account (habitual)</w:t>
            </w:r>
          </w:p>
        </w:tc>
      </w:tr>
      <w:tr w:rsidR="00797D44" w:rsidRPr="00797D44"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Banking</w:t>
            </w:r>
            <w:proofErr w:type="spellEnd"/>
            <w:r w:rsidRPr="00797D44">
              <w:rPr>
                <w:rFonts w:ascii="Arial Narrow" w:eastAsia="Times New Roman" w:hAnsi="Arial Narrow" w:cs="Calibri"/>
                <w:color w:val="000000"/>
                <w:sz w:val="20"/>
                <w:szCs w:val="20"/>
                <w:lang w:eastAsia="es-ES"/>
              </w:rPr>
              <w:t xml:space="preserve"> &amp; similar </w:t>
            </w:r>
            <w:proofErr w:type="spellStart"/>
            <w:r w:rsidRPr="00797D44">
              <w:rPr>
                <w:rFonts w:ascii="Arial Narrow" w:eastAsia="Times New Roman" w:hAnsi="Arial Narrow" w:cs="Calibri"/>
                <w:color w:val="000000"/>
                <w:sz w:val="20"/>
                <w:szCs w:val="20"/>
                <w:lang w:eastAsia="es-ES"/>
              </w:rPr>
              <w:t>services</w:t>
            </w:r>
            <w:proofErr w:type="spellEnd"/>
            <w:r w:rsidRPr="00797D44">
              <w:rPr>
                <w:rFonts w:ascii="Arial Narrow" w:eastAsia="Times New Roman" w:hAnsi="Arial Narrow" w:cs="Calibri"/>
                <w:color w:val="000000"/>
                <w:sz w:val="20"/>
                <w:szCs w:val="20"/>
                <w:lang w:eastAsia="es-ES"/>
              </w:rPr>
              <w:t xml:space="preserve"> - </w:t>
            </w:r>
            <w:proofErr w:type="spellStart"/>
            <w:r w:rsidRPr="00797D44">
              <w:rPr>
                <w:rFonts w:ascii="Arial Narrow" w:eastAsia="Times New Roman" w:hAnsi="Arial Narrow" w:cs="Calibri"/>
                <w:color w:val="000000"/>
                <w:sz w:val="20"/>
                <w:szCs w:val="20"/>
                <w:lang w:eastAsia="es-ES"/>
              </w:rPr>
              <w:t>merchandise</w:t>
            </w:r>
            <w:proofErr w:type="spellEnd"/>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eastAsia="es-ES"/>
              </w:rPr>
            </w:pPr>
            <w:proofErr w:type="spellStart"/>
            <w:r w:rsidRPr="00797D44">
              <w:rPr>
                <w:rFonts w:ascii="Arial Narrow" w:eastAsia="Times New Roman" w:hAnsi="Arial Narrow" w:cs="Calibri"/>
                <w:color w:val="FF0000"/>
                <w:sz w:val="20"/>
                <w:szCs w:val="20"/>
                <w:lang w:eastAsia="es-ES"/>
              </w:rPr>
              <w:t>Intermediate</w:t>
            </w:r>
            <w:proofErr w:type="spellEnd"/>
            <w:r w:rsidRPr="00797D44">
              <w:rPr>
                <w:rFonts w:ascii="Arial Narrow" w:eastAsia="Times New Roman" w:hAnsi="Arial Narrow" w:cs="Calibri"/>
                <w:color w:val="FF0000"/>
                <w:sz w:val="20"/>
                <w:szCs w:val="20"/>
                <w:lang w:eastAsia="es-ES"/>
              </w:rPr>
              <w:t xml:space="preserve"> </w:t>
            </w:r>
            <w:proofErr w:type="spellStart"/>
            <w:r w:rsidRPr="00797D44">
              <w:rPr>
                <w:rFonts w:ascii="Arial Narrow" w:eastAsia="Times New Roman" w:hAnsi="Arial Narrow" w:cs="Calibri"/>
                <w:color w:val="FF0000"/>
                <w:sz w:val="20"/>
                <w:szCs w:val="20"/>
                <w:lang w:eastAsia="es-ES"/>
              </w:rPr>
              <w:t>consumption</w:t>
            </w:r>
            <w:proofErr w:type="spellEnd"/>
            <w:r w:rsidRPr="00797D44">
              <w:rPr>
                <w:rFonts w:ascii="Arial Narrow" w:eastAsia="Times New Roman" w:hAnsi="Arial Narrow" w:cs="Calibri"/>
                <w:color w:val="FF0000"/>
                <w:sz w:val="20"/>
                <w:szCs w:val="20"/>
                <w:lang w:eastAsia="es-ES"/>
              </w:rPr>
              <w:t xml:space="preserve"> (probable, escasa cuantía)</w:t>
            </w:r>
          </w:p>
        </w:tc>
      </w:tr>
      <w:tr w:rsidR="00797D44" w:rsidRPr="00797D44"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val="en-GB" w:eastAsia="es-ES"/>
              </w:rPr>
            </w:pPr>
            <w:r w:rsidRPr="00797D44">
              <w:rPr>
                <w:rFonts w:ascii="Arial Narrow" w:eastAsia="Times New Roman" w:hAnsi="Arial Narrow" w:cs="Calibri"/>
                <w:color w:val="000000"/>
                <w:sz w:val="20"/>
                <w:szCs w:val="20"/>
                <w:lang w:val="en-GB" w:eastAsia="es-ES"/>
              </w:rPr>
              <w:t>(-) Banking &amp; similar services - finished goods &amp; services</w:t>
            </w:r>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eastAsia="es-ES"/>
              </w:rPr>
            </w:pPr>
            <w:proofErr w:type="spellStart"/>
            <w:r w:rsidRPr="00797D44">
              <w:rPr>
                <w:rFonts w:ascii="Arial Narrow" w:eastAsia="Times New Roman" w:hAnsi="Arial Narrow" w:cs="Calibri"/>
                <w:color w:val="FF0000"/>
                <w:sz w:val="20"/>
                <w:szCs w:val="20"/>
                <w:lang w:eastAsia="es-ES"/>
              </w:rPr>
              <w:t>Intermediate</w:t>
            </w:r>
            <w:proofErr w:type="spellEnd"/>
            <w:r w:rsidRPr="00797D44">
              <w:rPr>
                <w:rFonts w:ascii="Arial Narrow" w:eastAsia="Times New Roman" w:hAnsi="Arial Narrow" w:cs="Calibri"/>
                <w:color w:val="FF0000"/>
                <w:sz w:val="20"/>
                <w:szCs w:val="20"/>
                <w:lang w:eastAsia="es-ES"/>
              </w:rPr>
              <w:t xml:space="preserve"> </w:t>
            </w:r>
            <w:proofErr w:type="spellStart"/>
            <w:r w:rsidRPr="00797D44">
              <w:rPr>
                <w:rFonts w:ascii="Arial Narrow" w:eastAsia="Times New Roman" w:hAnsi="Arial Narrow" w:cs="Calibri"/>
                <w:color w:val="FF0000"/>
                <w:sz w:val="20"/>
                <w:szCs w:val="20"/>
                <w:lang w:eastAsia="es-ES"/>
              </w:rPr>
              <w:t>consumption</w:t>
            </w:r>
            <w:proofErr w:type="spellEnd"/>
            <w:r w:rsidRPr="00797D44">
              <w:rPr>
                <w:rFonts w:ascii="Arial Narrow" w:eastAsia="Times New Roman" w:hAnsi="Arial Narrow" w:cs="Calibri"/>
                <w:color w:val="FF0000"/>
                <w:sz w:val="20"/>
                <w:szCs w:val="20"/>
                <w:lang w:eastAsia="es-ES"/>
              </w:rPr>
              <w:t xml:space="preserve"> (probable, escasa cuantía)</w:t>
            </w:r>
          </w:p>
        </w:tc>
      </w:tr>
      <w:tr w:rsidR="00797D44" w:rsidRPr="00797D44"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Other</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external</w:t>
            </w:r>
            <w:proofErr w:type="spellEnd"/>
            <w:r w:rsidRPr="00797D44">
              <w:rPr>
                <w:rFonts w:ascii="Arial Narrow" w:eastAsia="Times New Roman" w:hAnsi="Arial Narrow" w:cs="Calibri"/>
                <w:color w:val="000000"/>
                <w:sz w:val="20"/>
                <w:szCs w:val="20"/>
                <w:lang w:eastAsia="es-ES"/>
              </w:rPr>
              <w:t xml:space="preserve"> servicies</w:t>
            </w:r>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eastAsia="es-ES"/>
              </w:rPr>
            </w:pPr>
            <w:proofErr w:type="spellStart"/>
            <w:r w:rsidRPr="00797D44">
              <w:rPr>
                <w:rFonts w:ascii="Arial Narrow" w:eastAsia="Times New Roman" w:hAnsi="Arial Narrow" w:cs="Calibri"/>
                <w:color w:val="FF0000"/>
                <w:sz w:val="20"/>
                <w:szCs w:val="20"/>
                <w:lang w:eastAsia="es-ES"/>
              </w:rPr>
              <w:t>Intermediate</w:t>
            </w:r>
            <w:proofErr w:type="spellEnd"/>
            <w:r w:rsidRPr="00797D44">
              <w:rPr>
                <w:rFonts w:ascii="Arial Narrow" w:eastAsia="Times New Roman" w:hAnsi="Arial Narrow" w:cs="Calibri"/>
                <w:color w:val="FF0000"/>
                <w:sz w:val="20"/>
                <w:szCs w:val="20"/>
                <w:lang w:eastAsia="es-ES"/>
              </w:rPr>
              <w:t xml:space="preserve"> </w:t>
            </w:r>
            <w:proofErr w:type="spellStart"/>
            <w:r w:rsidRPr="00797D44">
              <w:rPr>
                <w:rFonts w:ascii="Arial Narrow" w:eastAsia="Times New Roman" w:hAnsi="Arial Narrow" w:cs="Calibri"/>
                <w:color w:val="FF0000"/>
                <w:sz w:val="20"/>
                <w:szCs w:val="20"/>
                <w:lang w:eastAsia="es-ES"/>
              </w:rPr>
              <w:t>consumption</w:t>
            </w:r>
            <w:proofErr w:type="spellEnd"/>
            <w:r w:rsidRPr="00797D44">
              <w:rPr>
                <w:rFonts w:ascii="Arial Narrow" w:eastAsia="Times New Roman" w:hAnsi="Arial Narrow" w:cs="Calibri"/>
                <w:color w:val="FF0000"/>
                <w:sz w:val="20"/>
                <w:szCs w:val="20"/>
                <w:lang w:eastAsia="es-ES"/>
              </w:rPr>
              <w:t xml:space="preserve"> (habitual, probable mayor cuantía)</w:t>
            </w:r>
          </w:p>
        </w:tc>
      </w:tr>
      <w:tr w:rsidR="00797D44" w:rsidRPr="00797D44" w:rsidTr="00797D44">
        <w:trPr>
          <w:trHeight w:val="315"/>
        </w:trPr>
        <w:tc>
          <w:tcPr>
            <w:tcW w:w="4220" w:type="dxa"/>
            <w:tcBorders>
              <w:top w:val="nil"/>
              <w:left w:val="nil"/>
              <w:bottom w:val="nil"/>
              <w:right w:val="nil"/>
            </w:tcBorders>
            <w:shd w:val="clear" w:color="auto" w:fill="auto"/>
            <w:noWrap/>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eastAsia="es-ES"/>
              </w:rPr>
            </w:pPr>
          </w:p>
        </w:tc>
        <w:tc>
          <w:tcPr>
            <w:tcW w:w="5280" w:type="dxa"/>
            <w:tcBorders>
              <w:top w:val="nil"/>
              <w:left w:val="nil"/>
              <w:bottom w:val="nil"/>
              <w:right w:val="nil"/>
            </w:tcBorders>
            <w:shd w:val="clear" w:color="auto" w:fill="auto"/>
            <w:noWrap/>
            <w:vAlign w:val="bottom"/>
            <w:hideMark/>
          </w:tcPr>
          <w:p w:rsidR="00797D44" w:rsidRPr="00797D44" w:rsidRDefault="00797D44" w:rsidP="00797D44">
            <w:pPr>
              <w:spacing w:after="0" w:line="240" w:lineRule="auto"/>
              <w:rPr>
                <w:rFonts w:ascii="Times New Roman" w:eastAsia="Times New Roman" w:hAnsi="Times New Roman" w:cs="Times New Roman"/>
                <w:sz w:val="20"/>
                <w:szCs w:val="20"/>
                <w:lang w:eastAsia="es-ES"/>
              </w:rPr>
            </w:pPr>
          </w:p>
        </w:tc>
      </w:tr>
      <w:tr w:rsidR="00797D44" w:rsidRPr="00797D44" w:rsidTr="00797D44">
        <w:trPr>
          <w:trHeight w:val="315"/>
        </w:trPr>
        <w:tc>
          <w:tcPr>
            <w:tcW w:w="4220" w:type="dxa"/>
            <w:tcBorders>
              <w:top w:val="single" w:sz="8" w:space="0" w:color="FFFFFF"/>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10. </w:t>
            </w:r>
            <w:proofErr w:type="spellStart"/>
            <w:r w:rsidRPr="00797D44">
              <w:rPr>
                <w:rFonts w:ascii="Arial Narrow" w:eastAsia="Times New Roman" w:hAnsi="Arial Narrow" w:cs="Calibri"/>
                <w:color w:val="000000"/>
                <w:sz w:val="20"/>
                <w:szCs w:val="20"/>
                <w:lang w:eastAsia="es-ES"/>
              </w:rPr>
              <w:t>Provision</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surpluses</w:t>
            </w:r>
            <w:proofErr w:type="spellEnd"/>
          </w:p>
        </w:tc>
        <w:tc>
          <w:tcPr>
            <w:tcW w:w="5280" w:type="dxa"/>
            <w:tcBorders>
              <w:top w:val="nil"/>
              <w:left w:val="nil"/>
              <w:bottom w:val="nil"/>
              <w:right w:val="nil"/>
            </w:tcBorders>
            <w:shd w:val="clear" w:color="auto" w:fill="auto"/>
            <w:noWrap/>
            <w:vAlign w:val="bottom"/>
            <w:hideMark/>
          </w:tcPr>
          <w:p w:rsidR="00797D44" w:rsidRPr="00797D44" w:rsidRDefault="00797D44" w:rsidP="00797D44">
            <w:pPr>
              <w:spacing w:after="0" w:line="240" w:lineRule="auto"/>
              <w:rPr>
                <w:rFonts w:ascii="Arial Narrow" w:eastAsia="Times New Roman" w:hAnsi="Arial Narrow" w:cs="Calibri"/>
                <w:b/>
                <w:bCs/>
                <w:color w:val="FF0000"/>
                <w:sz w:val="20"/>
                <w:szCs w:val="20"/>
                <w:lang w:eastAsia="es-ES"/>
              </w:rPr>
            </w:pPr>
            <w:proofErr w:type="spellStart"/>
            <w:r w:rsidRPr="00797D44">
              <w:rPr>
                <w:rFonts w:ascii="Arial Narrow" w:eastAsia="Times New Roman" w:hAnsi="Arial Narrow" w:cs="Calibri"/>
                <w:b/>
                <w:bCs/>
                <w:color w:val="FF0000"/>
                <w:sz w:val="20"/>
                <w:szCs w:val="20"/>
                <w:lang w:eastAsia="es-ES"/>
              </w:rPr>
              <w:t>Adjusted</w:t>
            </w:r>
            <w:proofErr w:type="spellEnd"/>
            <w:r w:rsidRPr="00797D44">
              <w:rPr>
                <w:rFonts w:ascii="Arial Narrow" w:eastAsia="Times New Roman" w:hAnsi="Arial Narrow" w:cs="Calibri"/>
                <w:b/>
                <w:bCs/>
                <w:color w:val="FF0000"/>
                <w:sz w:val="20"/>
                <w:szCs w:val="20"/>
                <w:lang w:eastAsia="es-ES"/>
              </w:rPr>
              <w:t xml:space="preserve"> </w:t>
            </w:r>
            <w:proofErr w:type="spellStart"/>
            <w:r w:rsidRPr="00797D44">
              <w:rPr>
                <w:rFonts w:ascii="Arial Narrow" w:eastAsia="Times New Roman" w:hAnsi="Arial Narrow" w:cs="Calibri"/>
                <w:b/>
                <w:bCs/>
                <w:color w:val="FF0000"/>
                <w:sz w:val="20"/>
                <w:szCs w:val="20"/>
                <w:lang w:eastAsia="es-ES"/>
              </w:rPr>
              <w:t>change</w:t>
            </w:r>
            <w:proofErr w:type="spellEnd"/>
            <w:r w:rsidRPr="00797D44">
              <w:rPr>
                <w:rFonts w:ascii="Arial Narrow" w:eastAsia="Times New Roman" w:hAnsi="Arial Narrow" w:cs="Calibri"/>
                <w:b/>
                <w:bCs/>
                <w:color w:val="FF0000"/>
                <w:sz w:val="20"/>
                <w:szCs w:val="20"/>
                <w:lang w:eastAsia="es-ES"/>
              </w:rPr>
              <w:t xml:space="preserve"> in </w:t>
            </w:r>
            <w:proofErr w:type="spellStart"/>
            <w:r w:rsidRPr="00797D44">
              <w:rPr>
                <w:rFonts w:ascii="Arial Narrow" w:eastAsia="Times New Roman" w:hAnsi="Arial Narrow" w:cs="Calibri"/>
                <w:b/>
                <w:bCs/>
                <w:color w:val="FF0000"/>
                <w:sz w:val="20"/>
                <w:szCs w:val="20"/>
                <w:lang w:eastAsia="es-ES"/>
              </w:rPr>
              <w:t>equity</w:t>
            </w:r>
            <w:proofErr w:type="spellEnd"/>
          </w:p>
        </w:tc>
      </w:tr>
      <w:tr w:rsidR="00797D44" w:rsidRPr="00250B2A"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val="en-GB" w:eastAsia="es-ES"/>
              </w:rPr>
            </w:pPr>
            <w:r w:rsidRPr="00797D44">
              <w:rPr>
                <w:rFonts w:ascii="Arial Narrow" w:eastAsia="Times New Roman" w:hAnsi="Arial Narrow" w:cs="Calibri"/>
                <w:color w:val="000000"/>
                <w:sz w:val="20"/>
                <w:szCs w:val="20"/>
                <w:lang w:val="en-GB" w:eastAsia="es-ES"/>
              </w:rPr>
              <w:t>(+) Surplus provisions for other liabilities (private sector)</w:t>
            </w:r>
          </w:p>
        </w:tc>
        <w:tc>
          <w:tcPr>
            <w:tcW w:w="5280" w:type="dxa"/>
            <w:tcBorders>
              <w:top w:val="nil"/>
              <w:left w:val="nil"/>
              <w:bottom w:val="nil"/>
              <w:right w:val="nil"/>
            </w:tcBorders>
            <w:shd w:val="clear" w:color="auto" w:fill="auto"/>
            <w:noWrap/>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val="en-GB" w:eastAsia="es-ES"/>
              </w:rPr>
            </w:pPr>
            <w:r w:rsidRPr="00797D44">
              <w:rPr>
                <w:rFonts w:ascii="Arial Narrow" w:eastAsia="Times New Roman" w:hAnsi="Arial Narrow" w:cs="Calibri"/>
                <w:color w:val="FF0000"/>
                <w:sz w:val="20"/>
                <w:szCs w:val="20"/>
                <w:lang w:val="en-GB" w:eastAsia="es-ES"/>
              </w:rPr>
              <w:t>Adjusted change in equity (probable)</w:t>
            </w:r>
          </w:p>
        </w:tc>
      </w:tr>
      <w:tr w:rsidR="00797D44" w:rsidRPr="00250B2A"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val="en-GB" w:eastAsia="es-ES"/>
              </w:rPr>
            </w:pPr>
            <w:r w:rsidRPr="00797D44">
              <w:rPr>
                <w:rFonts w:ascii="Arial Narrow" w:eastAsia="Times New Roman" w:hAnsi="Arial Narrow" w:cs="Calibri"/>
                <w:color w:val="000000"/>
                <w:sz w:val="20"/>
                <w:szCs w:val="20"/>
                <w:lang w:val="en-GB" w:eastAsia="es-ES"/>
              </w:rPr>
              <w:t>(+) Surplus provisions for taxes (Public sector)</w:t>
            </w:r>
          </w:p>
        </w:tc>
        <w:tc>
          <w:tcPr>
            <w:tcW w:w="5280" w:type="dxa"/>
            <w:tcBorders>
              <w:top w:val="nil"/>
              <w:left w:val="nil"/>
              <w:bottom w:val="nil"/>
              <w:right w:val="nil"/>
            </w:tcBorders>
            <w:shd w:val="clear" w:color="auto" w:fill="auto"/>
            <w:noWrap/>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val="en-GB" w:eastAsia="es-ES"/>
              </w:rPr>
            </w:pPr>
            <w:r w:rsidRPr="00797D44">
              <w:rPr>
                <w:rFonts w:ascii="Arial Narrow" w:eastAsia="Times New Roman" w:hAnsi="Arial Narrow" w:cs="Calibri"/>
                <w:color w:val="FF0000"/>
                <w:sz w:val="20"/>
                <w:szCs w:val="20"/>
                <w:lang w:val="en-GB" w:eastAsia="es-ES"/>
              </w:rPr>
              <w:t>Adjusted change in equity (probable)</w:t>
            </w:r>
          </w:p>
        </w:tc>
      </w:tr>
      <w:tr w:rsidR="00797D44" w:rsidRPr="00797D44"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val="en-GB" w:eastAsia="es-ES"/>
              </w:rPr>
            </w:pPr>
            <w:r w:rsidRPr="00797D44">
              <w:rPr>
                <w:rFonts w:ascii="Arial Narrow" w:eastAsia="Times New Roman" w:hAnsi="Arial Narrow" w:cs="Calibri"/>
                <w:color w:val="000000"/>
                <w:sz w:val="20"/>
                <w:szCs w:val="20"/>
                <w:lang w:val="en-GB" w:eastAsia="es-ES"/>
              </w:rPr>
              <w:t xml:space="preserve">(+) Surplus provisions for environmental actions </w:t>
            </w:r>
          </w:p>
        </w:tc>
        <w:tc>
          <w:tcPr>
            <w:tcW w:w="5280" w:type="dxa"/>
            <w:tcBorders>
              <w:top w:val="nil"/>
              <w:left w:val="nil"/>
              <w:bottom w:val="nil"/>
              <w:right w:val="nil"/>
            </w:tcBorders>
            <w:shd w:val="clear" w:color="auto" w:fill="auto"/>
            <w:noWrap/>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eastAsia="es-ES"/>
              </w:rPr>
            </w:pPr>
            <w:proofErr w:type="spellStart"/>
            <w:r w:rsidRPr="00797D44">
              <w:rPr>
                <w:rFonts w:ascii="Arial Narrow" w:eastAsia="Times New Roman" w:hAnsi="Arial Narrow" w:cs="Calibri"/>
                <w:color w:val="FF0000"/>
                <w:sz w:val="20"/>
                <w:szCs w:val="20"/>
                <w:lang w:eastAsia="es-ES"/>
              </w:rPr>
              <w:t>Intermediate</w:t>
            </w:r>
            <w:proofErr w:type="spellEnd"/>
            <w:r w:rsidRPr="00797D44">
              <w:rPr>
                <w:rFonts w:ascii="Arial Narrow" w:eastAsia="Times New Roman" w:hAnsi="Arial Narrow" w:cs="Calibri"/>
                <w:color w:val="FF0000"/>
                <w:sz w:val="20"/>
                <w:szCs w:val="20"/>
                <w:lang w:eastAsia="es-ES"/>
              </w:rPr>
              <w:t xml:space="preserve"> </w:t>
            </w:r>
            <w:proofErr w:type="spellStart"/>
            <w:r w:rsidRPr="00797D44">
              <w:rPr>
                <w:rFonts w:ascii="Arial Narrow" w:eastAsia="Times New Roman" w:hAnsi="Arial Narrow" w:cs="Calibri"/>
                <w:color w:val="FF0000"/>
                <w:sz w:val="20"/>
                <w:szCs w:val="20"/>
                <w:lang w:eastAsia="es-ES"/>
              </w:rPr>
              <w:t>consumption</w:t>
            </w:r>
            <w:proofErr w:type="spellEnd"/>
            <w:r w:rsidRPr="00797D44">
              <w:rPr>
                <w:rFonts w:ascii="Arial Narrow" w:eastAsia="Times New Roman" w:hAnsi="Arial Narrow" w:cs="Calibri"/>
                <w:color w:val="FF0000"/>
                <w:sz w:val="20"/>
                <w:szCs w:val="20"/>
                <w:lang w:eastAsia="es-ES"/>
              </w:rPr>
              <w:t xml:space="preserve"> (poco probable)</w:t>
            </w:r>
          </w:p>
        </w:tc>
      </w:tr>
      <w:tr w:rsidR="00797D44" w:rsidRPr="00797D44" w:rsidTr="00797D44">
        <w:trPr>
          <w:trHeight w:val="315"/>
        </w:trPr>
        <w:tc>
          <w:tcPr>
            <w:tcW w:w="4220" w:type="dxa"/>
            <w:tcBorders>
              <w:top w:val="nil"/>
              <w:left w:val="nil"/>
              <w:bottom w:val="nil"/>
              <w:right w:val="nil"/>
            </w:tcBorders>
            <w:shd w:val="clear" w:color="auto" w:fill="auto"/>
            <w:noWrap/>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eastAsia="es-ES"/>
              </w:rPr>
            </w:pPr>
          </w:p>
        </w:tc>
        <w:tc>
          <w:tcPr>
            <w:tcW w:w="5280" w:type="dxa"/>
            <w:tcBorders>
              <w:top w:val="nil"/>
              <w:left w:val="nil"/>
              <w:bottom w:val="nil"/>
              <w:right w:val="nil"/>
            </w:tcBorders>
            <w:shd w:val="clear" w:color="auto" w:fill="auto"/>
            <w:noWrap/>
            <w:vAlign w:val="bottom"/>
            <w:hideMark/>
          </w:tcPr>
          <w:p w:rsidR="00797D44" w:rsidRPr="00797D44" w:rsidRDefault="00797D44" w:rsidP="00797D44">
            <w:pPr>
              <w:spacing w:after="0" w:line="240" w:lineRule="auto"/>
              <w:rPr>
                <w:rFonts w:ascii="Times New Roman" w:eastAsia="Times New Roman" w:hAnsi="Times New Roman" w:cs="Times New Roman"/>
                <w:sz w:val="20"/>
                <w:szCs w:val="20"/>
                <w:lang w:eastAsia="es-ES"/>
              </w:rPr>
            </w:pPr>
          </w:p>
        </w:tc>
      </w:tr>
      <w:tr w:rsidR="00797D44" w:rsidRPr="00250B2A" w:rsidTr="00797D44">
        <w:trPr>
          <w:trHeight w:val="315"/>
        </w:trPr>
        <w:tc>
          <w:tcPr>
            <w:tcW w:w="4220" w:type="dxa"/>
            <w:tcBorders>
              <w:top w:val="single" w:sz="8" w:space="0" w:color="FFFFFF"/>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13. </w:t>
            </w:r>
            <w:proofErr w:type="spellStart"/>
            <w:r w:rsidRPr="00797D44">
              <w:rPr>
                <w:rFonts w:ascii="Arial Narrow" w:eastAsia="Times New Roman" w:hAnsi="Arial Narrow" w:cs="Calibri"/>
                <w:color w:val="000000"/>
                <w:sz w:val="20"/>
                <w:szCs w:val="20"/>
                <w:lang w:eastAsia="es-ES"/>
              </w:rPr>
              <w:t>Other</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results</w:t>
            </w:r>
            <w:proofErr w:type="spellEnd"/>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b/>
                <w:bCs/>
                <w:color w:val="FF0000"/>
                <w:sz w:val="20"/>
                <w:szCs w:val="20"/>
                <w:lang w:val="en-GB" w:eastAsia="es-ES"/>
              </w:rPr>
            </w:pPr>
            <w:r w:rsidRPr="00797D44">
              <w:rPr>
                <w:rFonts w:ascii="Arial Narrow" w:eastAsia="Times New Roman" w:hAnsi="Arial Narrow" w:cs="Calibri"/>
                <w:b/>
                <w:bCs/>
                <w:color w:val="FF0000"/>
                <w:sz w:val="20"/>
                <w:szCs w:val="20"/>
                <w:lang w:val="en-GB" w:eastAsia="es-ES"/>
              </w:rPr>
              <w:t>Secondary distribution of income account</w:t>
            </w:r>
          </w:p>
        </w:tc>
      </w:tr>
      <w:tr w:rsidR="00797D44" w:rsidRPr="00250B2A"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Current</w:t>
            </w:r>
            <w:proofErr w:type="spellEnd"/>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donations</w:t>
            </w:r>
            <w:proofErr w:type="spellEnd"/>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val="en-GB" w:eastAsia="es-ES"/>
              </w:rPr>
            </w:pPr>
            <w:r w:rsidRPr="00797D44">
              <w:rPr>
                <w:rFonts w:ascii="Arial Narrow" w:eastAsia="Times New Roman" w:hAnsi="Arial Narrow" w:cs="Calibri"/>
                <w:color w:val="FF0000"/>
                <w:sz w:val="20"/>
                <w:szCs w:val="20"/>
                <w:lang w:val="en-GB" w:eastAsia="es-ES"/>
              </w:rPr>
              <w:t>Secondary distribution of income account</w:t>
            </w:r>
          </w:p>
        </w:tc>
      </w:tr>
      <w:tr w:rsidR="00797D44" w:rsidRPr="00250B2A"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 </w:t>
            </w:r>
            <w:proofErr w:type="spellStart"/>
            <w:r w:rsidRPr="00797D44">
              <w:rPr>
                <w:rFonts w:ascii="Arial Narrow" w:eastAsia="Times New Roman" w:hAnsi="Arial Narrow" w:cs="Calibri"/>
                <w:color w:val="000000"/>
                <w:sz w:val="20"/>
                <w:szCs w:val="20"/>
                <w:lang w:eastAsia="es-ES"/>
              </w:rPr>
              <w:t>Compensations</w:t>
            </w:r>
            <w:proofErr w:type="spellEnd"/>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val="en-GB" w:eastAsia="es-ES"/>
              </w:rPr>
            </w:pPr>
            <w:r w:rsidRPr="00797D44">
              <w:rPr>
                <w:rFonts w:ascii="Arial Narrow" w:eastAsia="Times New Roman" w:hAnsi="Arial Narrow" w:cs="Calibri"/>
                <w:color w:val="FF0000"/>
                <w:sz w:val="20"/>
                <w:szCs w:val="20"/>
                <w:lang w:val="en-GB" w:eastAsia="es-ES"/>
              </w:rPr>
              <w:t>Secondary distribution of income account</w:t>
            </w:r>
          </w:p>
        </w:tc>
      </w:tr>
      <w:tr w:rsidR="00797D44" w:rsidRPr="00250B2A"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 Fines &amp; </w:t>
            </w:r>
            <w:proofErr w:type="spellStart"/>
            <w:r w:rsidRPr="00797D44">
              <w:rPr>
                <w:rFonts w:ascii="Arial Narrow" w:eastAsia="Times New Roman" w:hAnsi="Arial Narrow" w:cs="Calibri"/>
                <w:color w:val="000000"/>
                <w:sz w:val="20"/>
                <w:szCs w:val="20"/>
                <w:lang w:eastAsia="es-ES"/>
              </w:rPr>
              <w:t>penalties</w:t>
            </w:r>
            <w:proofErr w:type="spellEnd"/>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val="en-GB" w:eastAsia="es-ES"/>
              </w:rPr>
            </w:pPr>
            <w:r w:rsidRPr="00797D44">
              <w:rPr>
                <w:rFonts w:ascii="Arial Narrow" w:eastAsia="Times New Roman" w:hAnsi="Arial Narrow" w:cs="Calibri"/>
                <w:color w:val="FF0000"/>
                <w:sz w:val="20"/>
                <w:szCs w:val="20"/>
                <w:lang w:val="en-GB" w:eastAsia="es-ES"/>
              </w:rPr>
              <w:t>Secondary distribution of income account</w:t>
            </w:r>
          </w:p>
        </w:tc>
      </w:tr>
      <w:tr w:rsidR="00797D44" w:rsidRPr="00797D44" w:rsidTr="00797D44">
        <w:trPr>
          <w:trHeight w:val="315"/>
        </w:trPr>
        <w:tc>
          <w:tcPr>
            <w:tcW w:w="4220" w:type="dxa"/>
            <w:tcBorders>
              <w:top w:val="nil"/>
              <w:left w:val="single" w:sz="8" w:space="0" w:color="FFFFFF"/>
              <w:bottom w:val="single" w:sz="8" w:space="0" w:color="FFFFFF"/>
              <w:right w:val="single" w:sz="8" w:space="0" w:color="FFFFFF"/>
            </w:tcBorders>
            <w:shd w:val="clear" w:color="000000" w:fill="FFFF00"/>
            <w:vAlign w:val="bottom"/>
            <w:hideMark/>
          </w:tcPr>
          <w:p w:rsidR="00797D44" w:rsidRPr="00797D44" w:rsidRDefault="00797D44" w:rsidP="00797D44">
            <w:pPr>
              <w:spacing w:after="0" w:line="240" w:lineRule="auto"/>
              <w:rPr>
                <w:rFonts w:ascii="Arial Narrow" w:eastAsia="Times New Roman" w:hAnsi="Arial Narrow" w:cs="Calibri"/>
                <w:color w:val="000000"/>
                <w:sz w:val="20"/>
                <w:szCs w:val="20"/>
                <w:lang w:eastAsia="es-ES"/>
              </w:rPr>
            </w:pPr>
            <w:r w:rsidRPr="00797D44">
              <w:rPr>
                <w:rFonts w:ascii="Arial Narrow" w:eastAsia="Times New Roman" w:hAnsi="Arial Narrow" w:cs="Calibri"/>
                <w:color w:val="000000"/>
                <w:sz w:val="20"/>
                <w:szCs w:val="20"/>
                <w:lang w:eastAsia="es-ES"/>
              </w:rPr>
              <w:t xml:space="preserve">(-) Capital </w:t>
            </w:r>
            <w:proofErr w:type="spellStart"/>
            <w:r w:rsidRPr="00797D44">
              <w:rPr>
                <w:rFonts w:ascii="Arial Narrow" w:eastAsia="Times New Roman" w:hAnsi="Arial Narrow" w:cs="Calibri"/>
                <w:color w:val="000000"/>
                <w:sz w:val="20"/>
                <w:szCs w:val="20"/>
                <w:lang w:eastAsia="es-ES"/>
              </w:rPr>
              <w:t>donations</w:t>
            </w:r>
            <w:proofErr w:type="spellEnd"/>
          </w:p>
        </w:tc>
        <w:tc>
          <w:tcPr>
            <w:tcW w:w="5280" w:type="dxa"/>
            <w:tcBorders>
              <w:top w:val="nil"/>
              <w:left w:val="nil"/>
              <w:bottom w:val="nil"/>
              <w:right w:val="nil"/>
            </w:tcBorders>
            <w:shd w:val="clear" w:color="auto" w:fill="auto"/>
            <w:vAlign w:val="bottom"/>
            <w:hideMark/>
          </w:tcPr>
          <w:p w:rsidR="00797D44" w:rsidRPr="00797D44" w:rsidRDefault="00797D44" w:rsidP="00797D44">
            <w:pPr>
              <w:spacing w:after="0" w:line="240" w:lineRule="auto"/>
              <w:rPr>
                <w:rFonts w:ascii="Arial Narrow" w:eastAsia="Times New Roman" w:hAnsi="Arial Narrow" w:cs="Calibri"/>
                <w:color w:val="FF0000"/>
                <w:sz w:val="20"/>
                <w:szCs w:val="20"/>
                <w:lang w:eastAsia="es-ES"/>
              </w:rPr>
            </w:pPr>
            <w:r w:rsidRPr="00797D44">
              <w:rPr>
                <w:rFonts w:ascii="Arial Narrow" w:eastAsia="Times New Roman" w:hAnsi="Arial Narrow" w:cs="Calibri"/>
                <w:color w:val="FF0000"/>
                <w:sz w:val="20"/>
                <w:szCs w:val="20"/>
                <w:lang w:eastAsia="es-ES"/>
              </w:rPr>
              <w:t xml:space="preserve">Capital </w:t>
            </w:r>
            <w:proofErr w:type="spellStart"/>
            <w:r w:rsidRPr="00797D44">
              <w:rPr>
                <w:rFonts w:ascii="Arial Narrow" w:eastAsia="Times New Roman" w:hAnsi="Arial Narrow" w:cs="Calibri"/>
                <w:color w:val="FF0000"/>
                <w:sz w:val="20"/>
                <w:szCs w:val="20"/>
                <w:lang w:eastAsia="es-ES"/>
              </w:rPr>
              <w:t>transfers</w:t>
            </w:r>
            <w:proofErr w:type="spellEnd"/>
            <w:r w:rsidRPr="00797D44">
              <w:rPr>
                <w:rFonts w:ascii="Arial Narrow" w:eastAsia="Times New Roman" w:hAnsi="Arial Narrow" w:cs="Calibri"/>
                <w:color w:val="FF0000"/>
                <w:sz w:val="20"/>
                <w:szCs w:val="20"/>
                <w:lang w:eastAsia="es-ES"/>
              </w:rPr>
              <w:t xml:space="preserve"> </w:t>
            </w:r>
            <w:proofErr w:type="spellStart"/>
            <w:r w:rsidRPr="00797D44">
              <w:rPr>
                <w:rFonts w:ascii="Arial Narrow" w:eastAsia="Times New Roman" w:hAnsi="Arial Narrow" w:cs="Calibri"/>
                <w:color w:val="FF0000"/>
                <w:sz w:val="20"/>
                <w:szCs w:val="20"/>
                <w:lang w:eastAsia="es-ES"/>
              </w:rPr>
              <w:t>given</w:t>
            </w:r>
            <w:proofErr w:type="spellEnd"/>
            <w:r w:rsidRPr="00797D44">
              <w:rPr>
                <w:rFonts w:ascii="Arial Narrow" w:eastAsia="Times New Roman" w:hAnsi="Arial Narrow" w:cs="Calibri"/>
                <w:color w:val="FF0000"/>
                <w:sz w:val="20"/>
                <w:szCs w:val="20"/>
                <w:lang w:eastAsia="es-ES"/>
              </w:rPr>
              <w:t xml:space="preserve"> (muy poco probable)</w:t>
            </w:r>
          </w:p>
        </w:tc>
      </w:tr>
    </w:tbl>
    <w:p w:rsidR="00797D44" w:rsidRDefault="00797D44" w:rsidP="00797D44"/>
    <w:p w:rsidR="00E85879" w:rsidRPr="004D7EA3" w:rsidRDefault="00E85879" w:rsidP="004D7EA3">
      <w:pPr>
        <w:pStyle w:val="Prrafodelista"/>
        <w:numPr>
          <w:ilvl w:val="0"/>
          <w:numId w:val="2"/>
        </w:numPr>
        <w:spacing w:before="120" w:after="0" w:line="240" w:lineRule="auto"/>
        <w:ind w:left="425" w:hanging="426"/>
        <w:contextualSpacing w:val="0"/>
        <w:jc w:val="both"/>
        <w:rPr>
          <w:rFonts w:ascii="Arial" w:hAnsi="Arial" w:cs="Arial"/>
        </w:rPr>
      </w:pPr>
      <w:r w:rsidRPr="004D7EA3">
        <w:rPr>
          <w:rFonts w:ascii="Arial" w:hAnsi="Arial" w:cs="Arial"/>
        </w:rPr>
        <w:t>Para calcular la cifra de compras de mercaderías, otros aprovisionamientos y servicios relacionados con la actividad, se recurrió al método indirecto:</w:t>
      </w:r>
    </w:p>
    <w:p w:rsidR="00E85879" w:rsidRPr="004D7EA3" w:rsidRDefault="00E85879" w:rsidP="004D7EA3">
      <w:pPr>
        <w:pStyle w:val="Prrafodelista"/>
        <w:spacing w:before="120" w:after="0" w:line="240" w:lineRule="auto"/>
        <w:ind w:left="425"/>
        <w:contextualSpacing w:val="0"/>
        <w:jc w:val="both"/>
        <w:rPr>
          <w:rFonts w:ascii="Arial" w:hAnsi="Arial" w:cs="Arial"/>
        </w:rPr>
      </w:pPr>
      <w:r w:rsidRPr="004D7EA3">
        <w:rPr>
          <w:rFonts w:ascii="Arial" w:hAnsi="Arial" w:cs="Arial"/>
        </w:rPr>
        <w:t xml:space="preserve">A la cifra de consumos intermedios, se le restó la variación de existencias de mercaderías “II.1. </w:t>
      </w:r>
      <w:proofErr w:type="spellStart"/>
      <w:r w:rsidRPr="004D7EA3">
        <w:rPr>
          <w:rFonts w:ascii="Arial" w:hAnsi="Arial" w:cs="Arial"/>
        </w:rPr>
        <w:t>Goods</w:t>
      </w:r>
      <w:proofErr w:type="spellEnd"/>
      <w:r w:rsidRPr="004D7EA3">
        <w:rPr>
          <w:rFonts w:ascii="Arial" w:hAnsi="Arial" w:cs="Arial"/>
        </w:rPr>
        <w:t xml:space="preserve"> </w:t>
      </w:r>
      <w:proofErr w:type="spellStart"/>
      <w:r w:rsidRPr="004D7EA3">
        <w:rPr>
          <w:rFonts w:ascii="Arial" w:hAnsi="Arial" w:cs="Arial"/>
        </w:rPr>
        <w:t>for</w:t>
      </w:r>
      <w:proofErr w:type="spellEnd"/>
      <w:r w:rsidRPr="004D7EA3">
        <w:rPr>
          <w:rFonts w:ascii="Arial" w:hAnsi="Arial" w:cs="Arial"/>
        </w:rPr>
        <w:t xml:space="preserve"> resale” y de materias primas y otros aprovisionamientos (II.2. </w:t>
      </w:r>
      <w:proofErr w:type="spellStart"/>
      <w:r w:rsidRPr="004D7EA3">
        <w:rPr>
          <w:rFonts w:ascii="Arial" w:hAnsi="Arial" w:cs="Arial"/>
        </w:rPr>
        <w:t>Raw</w:t>
      </w:r>
      <w:proofErr w:type="spellEnd"/>
      <w:r w:rsidRPr="004D7EA3">
        <w:rPr>
          <w:rFonts w:ascii="Arial" w:hAnsi="Arial" w:cs="Arial"/>
        </w:rPr>
        <w:t xml:space="preserve"> </w:t>
      </w:r>
      <w:proofErr w:type="spellStart"/>
      <w:r w:rsidRPr="004D7EA3">
        <w:rPr>
          <w:rFonts w:ascii="Arial" w:hAnsi="Arial" w:cs="Arial"/>
        </w:rPr>
        <w:t>materials</w:t>
      </w:r>
      <w:proofErr w:type="spellEnd"/>
      <w:r w:rsidRPr="004D7EA3">
        <w:rPr>
          <w:rFonts w:ascii="Arial" w:hAnsi="Arial" w:cs="Arial"/>
        </w:rPr>
        <w:t xml:space="preserve"> &amp; </w:t>
      </w:r>
      <w:proofErr w:type="spellStart"/>
      <w:r w:rsidRPr="004D7EA3">
        <w:rPr>
          <w:rFonts w:ascii="Arial" w:hAnsi="Arial" w:cs="Arial"/>
        </w:rPr>
        <w:t>other</w:t>
      </w:r>
      <w:proofErr w:type="spellEnd"/>
      <w:r w:rsidRPr="004D7EA3">
        <w:rPr>
          <w:rFonts w:ascii="Arial" w:hAnsi="Arial" w:cs="Arial"/>
        </w:rPr>
        <w:t xml:space="preserve"> </w:t>
      </w:r>
      <w:proofErr w:type="spellStart"/>
      <w:r w:rsidRPr="004D7EA3">
        <w:rPr>
          <w:rFonts w:ascii="Arial" w:hAnsi="Arial" w:cs="Arial"/>
        </w:rPr>
        <w:t>supplies</w:t>
      </w:r>
      <w:proofErr w:type="spellEnd"/>
      <w:r w:rsidRPr="004D7EA3">
        <w:rPr>
          <w:rFonts w:ascii="Arial" w:hAnsi="Arial" w:cs="Arial"/>
        </w:rPr>
        <w:t>) de balance, por diferencia entre el año actual y el anterior. Aritméticamente:</w:t>
      </w:r>
    </w:p>
    <w:p w:rsidR="00E85879" w:rsidRPr="004D7EA3" w:rsidRDefault="00E85879" w:rsidP="004D7EA3">
      <w:pPr>
        <w:pStyle w:val="Prrafodelista"/>
        <w:spacing w:before="120" w:after="0" w:line="240" w:lineRule="auto"/>
        <w:ind w:left="425"/>
        <w:contextualSpacing w:val="0"/>
        <w:jc w:val="both"/>
        <w:rPr>
          <w:rFonts w:ascii="Arial" w:hAnsi="Arial" w:cs="Arial"/>
        </w:rPr>
      </w:pPr>
      <w:r w:rsidRPr="004D7EA3">
        <w:rPr>
          <w:rFonts w:ascii="Arial" w:hAnsi="Arial" w:cs="Arial"/>
        </w:rPr>
        <w:t>Existencias iniciales + Compras = Consumos – Existencias finales; luego</w:t>
      </w:r>
    </w:p>
    <w:p w:rsidR="00E85879" w:rsidRPr="004D7EA3" w:rsidRDefault="00E85879" w:rsidP="004D7EA3">
      <w:pPr>
        <w:pStyle w:val="Prrafodelista"/>
        <w:spacing w:before="120" w:after="0" w:line="240" w:lineRule="auto"/>
        <w:ind w:left="425"/>
        <w:contextualSpacing w:val="0"/>
        <w:jc w:val="both"/>
        <w:rPr>
          <w:rFonts w:ascii="Arial" w:hAnsi="Arial" w:cs="Arial"/>
        </w:rPr>
      </w:pPr>
      <w:r w:rsidRPr="004D7EA3">
        <w:rPr>
          <w:rFonts w:ascii="Arial" w:hAnsi="Arial" w:cs="Arial"/>
        </w:rPr>
        <w:t>Compras</w:t>
      </w:r>
      <w:r w:rsidR="00D71CF1" w:rsidRPr="004D7EA3">
        <w:rPr>
          <w:rFonts w:ascii="Arial" w:hAnsi="Arial" w:cs="Arial"/>
        </w:rPr>
        <w:t xml:space="preserve"> = Consumos – Existencias finales + Existencias iniciales</w:t>
      </w:r>
      <w:r w:rsidRPr="004D7EA3">
        <w:rPr>
          <w:rFonts w:ascii="Arial" w:hAnsi="Arial" w:cs="Arial"/>
        </w:rPr>
        <w:t xml:space="preserve"> </w:t>
      </w:r>
    </w:p>
    <w:p w:rsidR="00797D44" w:rsidRPr="004D7EA3" w:rsidRDefault="004B66CE" w:rsidP="004D7EA3">
      <w:pPr>
        <w:pStyle w:val="Prrafodelista"/>
        <w:numPr>
          <w:ilvl w:val="0"/>
          <w:numId w:val="2"/>
        </w:numPr>
        <w:spacing w:before="120" w:after="0" w:line="240" w:lineRule="auto"/>
        <w:ind w:left="425" w:hanging="426"/>
        <w:contextualSpacing w:val="0"/>
        <w:jc w:val="both"/>
        <w:rPr>
          <w:rFonts w:ascii="Arial" w:hAnsi="Arial" w:cs="Arial"/>
        </w:rPr>
      </w:pPr>
      <w:r w:rsidRPr="004D7EA3">
        <w:rPr>
          <w:rFonts w:ascii="Arial" w:hAnsi="Arial" w:cs="Arial"/>
        </w:rPr>
        <w:t xml:space="preserve">Se ha supuesto que la partida 7.b) </w:t>
      </w:r>
      <w:proofErr w:type="spellStart"/>
      <w:r w:rsidRPr="004D7EA3">
        <w:rPr>
          <w:rFonts w:ascii="Arial" w:hAnsi="Arial" w:cs="Arial"/>
        </w:rPr>
        <w:t>Taxes</w:t>
      </w:r>
      <w:proofErr w:type="spellEnd"/>
      <w:r w:rsidRPr="004D7EA3">
        <w:rPr>
          <w:rFonts w:ascii="Arial" w:hAnsi="Arial" w:cs="Arial"/>
        </w:rPr>
        <w:t>, se asigna íntegramente a impuestos sobre la producción.</w:t>
      </w:r>
    </w:p>
    <w:p w:rsidR="004B66CE" w:rsidRPr="004D7EA3" w:rsidRDefault="004B66CE" w:rsidP="004D7EA3">
      <w:pPr>
        <w:pStyle w:val="Prrafodelista"/>
        <w:numPr>
          <w:ilvl w:val="0"/>
          <w:numId w:val="2"/>
        </w:numPr>
        <w:spacing w:before="120" w:after="0" w:line="240" w:lineRule="auto"/>
        <w:ind w:left="425" w:hanging="426"/>
        <w:contextualSpacing w:val="0"/>
        <w:jc w:val="both"/>
        <w:rPr>
          <w:rFonts w:ascii="Arial" w:hAnsi="Arial" w:cs="Arial"/>
        </w:rPr>
      </w:pPr>
      <w:r w:rsidRPr="004D7EA3">
        <w:rPr>
          <w:rFonts w:ascii="Arial" w:hAnsi="Arial" w:cs="Arial"/>
        </w:rPr>
        <w:t xml:space="preserve">En lo referente a las aportaciones capitalistas y sus correspondientes reembolsos, se ha optado por el método indirecto de la variación neta. El procedimiento seguido es el siguiente:  </w:t>
      </w:r>
    </w:p>
    <w:p w:rsidR="004B66CE" w:rsidRPr="004D7EA3" w:rsidRDefault="004B66CE" w:rsidP="004D7EA3">
      <w:pPr>
        <w:pStyle w:val="Prrafodelista"/>
        <w:numPr>
          <w:ilvl w:val="0"/>
          <w:numId w:val="3"/>
        </w:numPr>
        <w:spacing w:before="120" w:after="0" w:line="240" w:lineRule="auto"/>
        <w:ind w:left="425" w:firstLine="0"/>
        <w:contextualSpacing w:val="0"/>
        <w:jc w:val="both"/>
        <w:rPr>
          <w:rFonts w:ascii="Arial" w:hAnsi="Arial" w:cs="Arial"/>
        </w:rPr>
      </w:pPr>
      <w:r w:rsidRPr="004D7EA3">
        <w:rPr>
          <w:rFonts w:ascii="Arial" w:hAnsi="Arial" w:cs="Arial"/>
        </w:rPr>
        <w:t xml:space="preserve">Se calcula la variación experimentada en los fondos propios [ A-1) Capital &amp; reserves </w:t>
      </w:r>
      <w:proofErr w:type="spellStart"/>
      <w:r w:rsidRPr="004D7EA3">
        <w:rPr>
          <w:rFonts w:ascii="Arial" w:hAnsi="Arial" w:cs="Arial"/>
        </w:rPr>
        <w:t>without</w:t>
      </w:r>
      <w:proofErr w:type="spellEnd"/>
      <w:r w:rsidRPr="004D7EA3">
        <w:rPr>
          <w:rFonts w:ascii="Arial" w:hAnsi="Arial" w:cs="Arial"/>
        </w:rPr>
        <w:t xml:space="preserve"> </w:t>
      </w:r>
      <w:proofErr w:type="spellStart"/>
      <w:r w:rsidRPr="004D7EA3">
        <w:rPr>
          <w:rFonts w:ascii="Arial" w:hAnsi="Arial" w:cs="Arial"/>
        </w:rPr>
        <w:t>valuation</w:t>
      </w:r>
      <w:proofErr w:type="spellEnd"/>
      <w:r w:rsidRPr="004D7EA3">
        <w:rPr>
          <w:rFonts w:ascii="Arial" w:hAnsi="Arial" w:cs="Arial"/>
        </w:rPr>
        <w:t xml:space="preserve"> </w:t>
      </w:r>
      <w:proofErr w:type="spellStart"/>
      <w:r w:rsidRPr="004D7EA3">
        <w:rPr>
          <w:rFonts w:ascii="Arial" w:hAnsi="Arial" w:cs="Arial"/>
        </w:rPr>
        <w:t>adjustments</w:t>
      </w:r>
      <w:proofErr w:type="spellEnd"/>
      <w:r w:rsidRPr="004D7EA3">
        <w:rPr>
          <w:rFonts w:ascii="Arial" w:hAnsi="Arial" w:cs="Arial"/>
        </w:rPr>
        <w:t>] del año actual con respecto al anterior</w:t>
      </w:r>
    </w:p>
    <w:p w:rsidR="004B66CE" w:rsidRPr="004D7EA3" w:rsidRDefault="004B66CE" w:rsidP="004D7EA3">
      <w:pPr>
        <w:pStyle w:val="Prrafodelista"/>
        <w:numPr>
          <w:ilvl w:val="0"/>
          <w:numId w:val="3"/>
        </w:numPr>
        <w:spacing w:before="120" w:after="0" w:line="240" w:lineRule="auto"/>
        <w:ind w:left="425" w:firstLine="0"/>
        <w:contextualSpacing w:val="0"/>
        <w:jc w:val="both"/>
        <w:rPr>
          <w:rFonts w:ascii="Arial" w:hAnsi="Arial" w:cs="Arial"/>
        </w:rPr>
      </w:pPr>
      <w:r w:rsidRPr="004D7EA3">
        <w:rPr>
          <w:rFonts w:ascii="Arial" w:hAnsi="Arial" w:cs="Arial"/>
        </w:rPr>
        <w:t>Se le resta / suma los beneficios / pérdidas del periodo.</w:t>
      </w:r>
    </w:p>
    <w:p w:rsidR="004B66CE" w:rsidRPr="004D7EA3" w:rsidRDefault="004B66CE" w:rsidP="004D7EA3">
      <w:pPr>
        <w:pStyle w:val="Prrafodelista"/>
        <w:numPr>
          <w:ilvl w:val="0"/>
          <w:numId w:val="3"/>
        </w:numPr>
        <w:spacing w:before="120" w:after="0" w:line="240" w:lineRule="auto"/>
        <w:ind w:left="425" w:firstLine="0"/>
        <w:contextualSpacing w:val="0"/>
        <w:jc w:val="both"/>
        <w:rPr>
          <w:rFonts w:ascii="Arial" w:hAnsi="Arial" w:cs="Arial"/>
        </w:rPr>
      </w:pPr>
      <w:r w:rsidRPr="004D7EA3">
        <w:rPr>
          <w:rFonts w:ascii="Arial" w:hAnsi="Arial" w:cs="Arial"/>
        </w:rPr>
        <w:t>Se suman los dividendos repartidos.</w:t>
      </w:r>
    </w:p>
    <w:p w:rsidR="004B66CE" w:rsidRPr="004D7EA3" w:rsidRDefault="004B66CE" w:rsidP="004D7EA3">
      <w:pPr>
        <w:pStyle w:val="Prrafodelista"/>
        <w:numPr>
          <w:ilvl w:val="0"/>
          <w:numId w:val="3"/>
        </w:numPr>
        <w:spacing w:before="120" w:after="0" w:line="240" w:lineRule="auto"/>
        <w:ind w:left="425" w:firstLine="0"/>
        <w:contextualSpacing w:val="0"/>
        <w:jc w:val="both"/>
        <w:rPr>
          <w:rFonts w:ascii="Arial" w:hAnsi="Arial" w:cs="Arial"/>
        </w:rPr>
      </w:pPr>
      <w:r w:rsidRPr="004D7EA3">
        <w:rPr>
          <w:rFonts w:ascii="Arial" w:hAnsi="Arial" w:cs="Arial"/>
        </w:rPr>
        <w:t>El saldo restante se considera como contribución neta de los socios (aportaciones menos reintegros) Nótese que dicha contribución neta no solo afecta a la cuenta de capital, sino también a las de reservas y otras aportaciones de socios.</w:t>
      </w:r>
    </w:p>
    <w:p w:rsidR="004B66CE" w:rsidRPr="004D7EA3" w:rsidRDefault="004B66CE" w:rsidP="004D7EA3">
      <w:pPr>
        <w:spacing w:before="120" w:after="0" w:line="240" w:lineRule="auto"/>
        <w:ind w:left="425"/>
        <w:jc w:val="both"/>
        <w:rPr>
          <w:rFonts w:ascii="Arial" w:hAnsi="Arial" w:cs="Arial"/>
        </w:rPr>
      </w:pPr>
      <w:r w:rsidRPr="004D7EA3">
        <w:rPr>
          <w:rFonts w:ascii="Arial" w:hAnsi="Arial" w:cs="Arial"/>
        </w:rPr>
        <w:t>Al ser un valor neto, solo se utilizará una casilla para las aportaci</w:t>
      </w:r>
      <w:r w:rsidR="00D054CC" w:rsidRPr="004D7EA3">
        <w:rPr>
          <w:rFonts w:ascii="Arial" w:hAnsi="Arial" w:cs="Arial"/>
        </w:rPr>
        <w:t>ones [7.1, 13.1], quedando en blanco</w:t>
      </w:r>
      <w:r w:rsidRPr="004D7EA3">
        <w:rPr>
          <w:rFonts w:ascii="Arial" w:hAnsi="Arial" w:cs="Arial"/>
        </w:rPr>
        <w:t xml:space="preserve"> </w:t>
      </w:r>
      <w:r w:rsidR="00D054CC" w:rsidRPr="004D7EA3">
        <w:rPr>
          <w:rFonts w:ascii="Arial" w:hAnsi="Arial" w:cs="Arial"/>
        </w:rPr>
        <w:t>la [13.1, 7.1]</w:t>
      </w:r>
    </w:p>
    <w:p w:rsidR="00D054CC" w:rsidRPr="004D7EA3" w:rsidRDefault="00D054CC" w:rsidP="004D7EA3">
      <w:pPr>
        <w:spacing w:before="120" w:after="0" w:line="240" w:lineRule="auto"/>
        <w:ind w:left="425"/>
        <w:jc w:val="both"/>
        <w:rPr>
          <w:rFonts w:ascii="Arial" w:hAnsi="Arial" w:cs="Arial"/>
        </w:rPr>
      </w:pPr>
      <w:r w:rsidRPr="004D7EA3">
        <w:rPr>
          <w:rFonts w:ascii="Arial" w:hAnsi="Arial" w:cs="Arial"/>
        </w:rPr>
        <w:t>Nota: el dato relativo a los dividendos repartidos se ha obtenido del saldo final de esta partida que figura en el estado de cambios en el patrimonio neto. No se ha utilizado el estado de flujos de efectivo, para evitar que distorsiones relacionadas con dividendos en especie o dividendos devengados</w:t>
      </w:r>
      <w:r w:rsidR="00347570">
        <w:rPr>
          <w:rFonts w:ascii="Arial" w:hAnsi="Arial" w:cs="Arial"/>
        </w:rPr>
        <w:t>,</w:t>
      </w:r>
      <w:r w:rsidRPr="004D7EA3">
        <w:rPr>
          <w:rFonts w:ascii="Arial" w:hAnsi="Arial" w:cs="Arial"/>
        </w:rPr>
        <w:t xml:space="preserve"> pero no pagados.</w:t>
      </w:r>
    </w:p>
    <w:p w:rsidR="00D054CC" w:rsidRPr="004D7EA3" w:rsidRDefault="00D054CC" w:rsidP="004D7EA3">
      <w:pPr>
        <w:pStyle w:val="Prrafodelista"/>
        <w:numPr>
          <w:ilvl w:val="0"/>
          <w:numId w:val="2"/>
        </w:numPr>
        <w:spacing w:before="120" w:after="0" w:line="240" w:lineRule="auto"/>
        <w:ind w:left="425" w:hanging="426"/>
        <w:contextualSpacing w:val="0"/>
        <w:jc w:val="both"/>
        <w:rPr>
          <w:rFonts w:ascii="Arial" w:hAnsi="Arial" w:cs="Arial"/>
        </w:rPr>
      </w:pPr>
      <w:r w:rsidRPr="004D7EA3">
        <w:rPr>
          <w:rFonts w:ascii="Arial" w:hAnsi="Arial" w:cs="Arial"/>
        </w:rPr>
        <w:t>En cuanto a las subvenciones, donaciones y legados recibidos, se supondrá que provienen de la administración pública.</w:t>
      </w:r>
    </w:p>
    <w:p w:rsidR="00D054CC" w:rsidRPr="004D7EA3" w:rsidRDefault="00D054CC" w:rsidP="004D7EA3">
      <w:pPr>
        <w:pStyle w:val="Prrafodelista"/>
        <w:numPr>
          <w:ilvl w:val="0"/>
          <w:numId w:val="2"/>
        </w:numPr>
        <w:spacing w:before="120" w:after="0" w:line="240" w:lineRule="auto"/>
        <w:ind w:left="425" w:hanging="426"/>
        <w:contextualSpacing w:val="0"/>
        <w:jc w:val="both"/>
        <w:rPr>
          <w:rFonts w:ascii="Arial" w:hAnsi="Arial" w:cs="Arial"/>
        </w:rPr>
      </w:pPr>
      <w:r w:rsidRPr="004D7EA3">
        <w:rPr>
          <w:rFonts w:ascii="Arial" w:hAnsi="Arial" w:cs="Arial"/>
        </w:rPr>
        <w:t xml:space="preserve">Dado que, como se indicó antes, hay </w:t>
      </w:r>
      <w:proofErr w:type="spellStart"/>
      <w:r w:rsidRPr="004D7EA3">
        <w:rPr>
          <w:rFonts w:ascii="Arial" w:hAnsi="Arial" w:cs="Arial"/>
        </w:rPr>
        <w:t>subpartidas</w:t>
      </w:r>
      <w:proofErr w:type="spellEnd"/>
      <w:r w:rsidRPr="004D7EA3">
        <w:rPr>
          <w:rFonts w:ascii="Arial" w:hAnsi="Arial" w:cs="Arial"/>
        </w:rPr>
        <w:t xml:space="preserve"> que son objeto de agregación, no se dispone de datos para las donaciones de capital realizadas por la empresa, por lo que la casilla [13.1, 8.1] permanece vacía</w:t>
      </w:r>
    </w:p>
    <w:p w:rsidR="00D054CC" w:rsidRPr="004D7EA3" w:rsidRDefault="00D054CC" w:rsidP="004D7EA3">
      <w:pPr>
        <w:pStyle w:val="Prrafodelista"/>
        <w:numPr>
          <w:ilvl w:val="0"/>
          <w:numId w:val="2"/>
        </w:numPr>
        <w:spacing w:before="120" w:after="0" w:line="240" w:lineRule="auto"/>
        <w:ind w:left="425" w:hanging="426"/>
        <w:contextualSpacing w:val="0"/>
        <w:jc w:val="both"/>
        <w:rPr>
          <w:rFonts w:ascii="Arial" w:hAnsi="Arial" w:cs="Arial"/>
        </w:rPr>
      </w:pPr>
      <w:r w:rsidRPr="004D7EA3">
        <w:rPr>
          <w:rFonts w:ascii="Arial" w:hAnsi="Arial" w:cs="Arial"/>
        </w:rPr>
        <w:t xml:space="preserve">Algo parecido sucede con la partida 11.b) </w:t>
      </w:r>
      <w:proofErr w:type="spellStart"/>
      <w:r w:rsidRPr="004D7EA3">
        <w:rPr>
          <w:rFonts w:ascii="Arial" w:hAnsi="Arial" w:cs="Arial"/>
        </w:rPr>
        <w:t>Gains</w:t>
      </w:r>
      <w:proofErr w:type="spellEnd"/>
      <w:r w:rsidRPr="004D7EA3">
        <w:rPr>
          <w:rFonts w:ascii="Arial" w:hAnsi="Arial" w:cs="Arial"/>
        </w:rPr>
        <w:t xml:space="preserve"> / (</w:t>
      </w:r>
      <w:proofErr w:type="spellStart"/>
      <w:r w:rsidRPr="004D7EA3">
        <w:rPr>
          <w:rFonts w:ascii="Arial" w:hAnsi="Arial" w:cs="Arial"/>
        </w:rPr>
        <w:t>losses</w:t>
      </w:r>
      <w:proofErr w:type="spellEnd"/>
      <w:r w:rsidRPr="004D7EA3">
        <w:rPr>
          <w:rFonts w:ascii="Arial" w:hAnsi="Arial" w:cs="Arial"/>
        </w:rPr>
        <w:t xml:space="preserve">) </w:t>
      </w:r>
      <w:proofErr w:type="spellStart"/>
      <w:r w:rsidRPr="004D7EA3">
        <w:rPr>
          <w:rFonts w:ascii="Arial" w:hAnsi="Arial" w:cs="Arial"/>
        </w:rPr>
        <w:t>on</w:t>
      </w:r>
      <w:proofErr w:type="spellEnd"/>
      <w:r w:rsidRPr="004D7EA3">
        <w:rPr>
          <w:rFonts w:ascii="Arial" w:hAnsi="Arial" w:cs="Arial"/>
        </w:rPr>
        <w:t xml:space="preserve"> </w:t>
      </w:r>
      <w:proofErr w:type="spellStart"/>
      <w:r w:rsidRPr="004D7EA3">
        <w:rPr>
          <w:rFonts w:ascii="Arial" w:hAnsi="Arial" w:cs="Arial"/>
        </w:rPr>
        <w:t>disposal</w:t>
      </w:r>
      <w:proofErr w:type="spellEnd"/>
      <w:r w:rsidRPr="004D7EA3">
        <w:rPr>
          <w:rFonts w:ascii="Arial" w:hAnsi="Arial" w:cs="Arial"/>
        </w:rPr>
        <w:t xml:space="preserve"> &amp; </w:t>
      </w:r>
      <w:proofErr w:type="spellStart"/>
      <w:r w:rsidRPr="004D7EA3">
        <w:rPr>
          <w:rFonts w:ascii="Arial" w:hAnsi="Arial" w:cs="Arial"/>
        </w:rPr>
        <w:t>other</w:t>
      </w:r>
      <w:proofErr w:type="spellEnd"/>
      <w:r w:rsidRPr="004D7EA3">
        <w:rPr>
          <w:rFonts w:ascii="Arial" w:hAnsi="Arial" w:cs="Arial"/>
        </w:rPr>
        <w:t xml:space="preserve">, de activos no corrientes, excepto instrumentos financieros, donde se supondrá que no hay ajustes por bajas, </w:t>
      </w:r>
      <w:r w:rsidR="00933D6A">
        <w:rPr>
          <w:rFonts w:ascii="Arial" w:hAnsi="Arial" w:cs="Arial"/>
        </w:rPr>
        <w:t>sino que dichas cifras se origina</w:t>
      </w:r>
      <w:r w:rsidRPr="004D7EA3">
        <w:rPr>
          <w:rFonts w:ascii="Arial" w:hAnsi="Arial" w:cs="Arial"/>
        </w:rPr>
        <w:t>n por las ventas. En la tabla figurará el neto (beneficios – pérdidas) porque no es posible distinguir beneficios de pérdidas</w:t>
      </w:r>
      <w:r w:rsidR="00CF5703" w:rsidRPr="004D7EA3">
        <w:rPr>
          <w:rFonts w:ascii="Arial" w:hAnsi="Arial" w:cs="Arial"/>
        </w:rPr>
        <w:t>. Casilla [8.2, 13.1]</w:t>
      </w:r>
    </w:p>
    <w:p w:rsidR="00D71CF1" w:rsidRPr="004D7EA3" w:rsidRDefault="00D71CF1" w:rsidP="004D7EA3">
      <w:pPr>
        <w:pStyle w:val="Prrafodelista"/>
        <w:numPr>
          <w:ilvl w:val="0"/>
          <w:numId w:val="2"/>
        </w:numPr>
        <w:spacing w:before="120" w:after="0" w:line="240" w:lineRule="auto"/>
        <w:ind w:left="425" w:hanging="426"/>
        <w:contextualSpacing w:val="0"/>
        <w:jc w:val="both"/>
        <w:rPr>
          <w:rFonts w:ascii="Arial" w:hAnsi="Arial" w:cs="Arial"/>
        </w:rPr>
      </w:pPr>
      <w:r w:rsidRPr="004D7EA3">
        <w:rPr>
          <w:rFonts w:ascii="Arial" w:hAnsi="Arial" w:cs="Arial"/>
        </w:rPr>
        <w:t xml:space="preserve">Para obtener la formación neta de capital, también se recurrió al método indirecto, el cual plantea diversas limitaciones, siendo las más importante que no se dispone de información sobre los saldos de las amortizaciones acumuladas, ni de las compras realizadas, ni de las bajas producidas bien sea por enajenación o por demérito. Dicho método se basa en las </w:t>
      </w:r>
      <w:r w:rsidRPr="004D7EA3">
        <w:rPr>
          <w:rFonts w:ascii="Arial" w:hAnsi="Arial" w:cs="Arial"/>
        </w:rPr>
        <w:lastRenderedPageBreak/>
        <w:t>variaciones experimentadas del año anterior al actual, corregido por el consumo de capital fijo (amortizaciones más deterioros).</w:t>
      </w:r>
    </w:p>
    <w:p w:rsidR="00D71CF1" w:rsidRPr="004D7EA3" w:rsidRDefault="00D71CF1" w:rsidP="00347570">
      <w:pPr>
        <w:pStyle w:val="Prrafodelista"/>
        <w:spacing w:before="120" w:after="0" w:line="240" w:lineRule="auto"/>
        <w:ind w:left="425"/>
        <w:contextualSpacing w:val="0"/>
        <w:jc w:val="both"/>
        <w:rPr>
          <w:rFonts w:ascii="Arial" w:hAnsi="Arial" w:cs="Arial"/>
        </w:rPr>
      </w:pPr>
      <w:r w:rsidRPr="004D7EA3">
        <w:rPr>
          <w:rFonts w:ascii="Arial" w:hAnsi="Arial" w:cs="Arial"/>
        </w:rPr>
        <w:t>Si se desea estimar el importe de las adquisiciones netas (compras menos ventas/bajas), a la cifra estimada de formación del capital fijo se le ha restado los trabajos realizados para el inmovilizado. “</w:t>
      </w:r>
      <w:proofErr w:type="gramStart"/>
      <w:r w:rsidRPr="004D7EA3">
        <w:rPr>
          <w:rFonts w:ascii="Arial" w:hAnsi="Arial" w:cs="Arial"/>
        </w:rPr>
        <w:t>3 .</w:t>
      </w:r>
      <w:proofErr w:type="spellStart"/>
      <w:r w:rsidRPr="004D7EA3">
        <w:rPr>
          <w:rFonts w:ascii="Arial" w:hAnsi="Arial" w:cs="Arial"/>
        </w:rPr>
        <w:t>Work</w:t>
      </w:r>
      <w:proofErr w:type="spellEnd"/>
      <w:proofErr w:type="gramEnd"/>
      <w:r w:rsidRPr="004D7EA3">
        <w:rPr>
          <w:rFonts w:ascii="Arial" w:hAnsi="Arial" w:cs="Arial"/>
        </w:rPr>
        <w:t xml:space="preserve"> </w:t>
      </w:r>
      <w:proofErr w:type="spellStart"/>
      <w:r w:rsidRPr="004D7EA3">
        <w:rPr>
          <w:rFonts w:ascii="Arial" w:hAnsi="Arial" w:cs="Arial"/>
        </w:rPr>
        <w:t>carried</w:t>
      </w:r>
      <w:proofErr w:type="spellEnd"/>
      <w:r w:rsidRPr="004D7EA3">
        <w:rPr>
          <w:rFonts w:ascii="Arial" w:hAnsi="Arial" w:cs="Arial"/>
        </w:rPr>
        <w:t xml:space="preserve"> </w:t>
      </w:r>
      <w:proofErr w:type="spellStart"/>
      <w:r w:rsidRPr="004D7EA3">
        <w:rPr>
          <w:rFonts w:ascii="Arial" w:hAnsi="Arial" w:cs="Arial"/>
        </w:rPr>
        <w:t>out</w:t>
      </w:r>
      <w:proofErr w:type="spellEnd"/>
      <w:r w:rsidRPr="004D7EA3">
        <w:rPr>
          <w:rFonts w:ascii="Arial" w:hAnsi="Arial" w:cs="Arial"/>
        </w:rPr>
        <w:t xml:space="preserve"> </w:t>
      </w:r>
      <w:proofErr w:type="spellStart"/>
      <w:r w:rsidRPr="004D7EA3">
        <w:rPr>
          <w:rFonts w:ascii="Arial" w:hAnsi="Arial" w:cs="Arial"/>
        </w:rPr>
        <w:t>by</w:t>
      </w:r>
      <w:proofErr w:type="spellEnd"/>
      <w:r w:rsidRPr="004D7EA3">
        <w:rPr>
          <w:rFonts w:ascii="Arial" w:hAnsi="Arial" w:cs="Arial"/>
        </w:rPr>
        <w:t xml:space="preserve"> </w:t>
      </w:r>
      <w:proofErr w:type="spellStart"/>
      <w:r w:rsidRPr="004D7EA3">
        <w:rPr>
          <w:rFonts w:ascii="Arial" w:hAnsi="Arial" w:cs="Arial"/>
        </w:rPr>
        <w:t>the</w:t>
      </w:r>
      <w:proofErr w:type="spellEnd"/>
      <w:r w:rsidRPr="004D7EA3">
        <w:rPr>
          <w:rFonts w:ascii="Arial" w:hAnsi="Arial" w:cs="Arial"/>
        </w:rPr>
        <w:t xml:space="preserve"> </w:t>
      </w:r>
      <w:proofErr w:type="spellStart"/>
      <w:r w:rsidRPr="004D7EA3">
        <w:rPr>
          <w:rFonts w:ascii="Arial" w:hAnsi="Arial" w:cs="Arial"/>
        </w:rPr>
        <w:t>company</w:t>
      </w:r>
      <w:proofErr w:type="spellEnd"/>
      <w:r w:rsidRPr="004D7EA3">
        <w:rPr>
          <w:rFonts w:ascii="Arial" w:hAnsi="Arial" w:cs="Arial"/>
        </w:rPr>
        <w:t xml:space="preserve">“ </w:t>
      </w:r>
    </w:p>
    <w:p w:rsidR="00B218EC" w:rsidRDefault="00D71CF1" w:rsidP="00250B2A">
      <w:pPr>
        <w:pStyle w:val="Prrafodelista"/>
        <w:numPr>
          <w:ilvl w:val="0"/>
          <w:numId w:val="2"/>
        </w:numPr>
        <w:spacing w:before="120" w:after="0" w:line="240" w:lineRule="auto"/>
        <w:ind w:left="426" w:hanging="426"/>
        <w:contextualSpacing w:val="0"/>
        <w:jc w:val="both"/>
        <w:rPr>
          <w:rFonts w:ascii="Arial" w:eastAsia="Times New Roman" w:hAnsi="Arial" w:cs="Arial"/>
          <w:color w:val="FF0000"/>
          <w:lang w:eastAsia="es-ES"/>
        </w:rPr>
      </w:pPr>
      <w:r w:rsidRPr="00347570">
        <w:rPr>
          <w:rFonts w:ascii="Arial" w:hAnsi="Arial" w:cs="Arial"/>
        </w:rPr>
        <w:t xml:space="preserve">Tras las mejoras realizadas, hay una variable que va a dar error siempre porque no se puede asignar a ningún sector institucional o partida concreta: </w:t>
      </w:r>
      <w:r w:rsidRPr="00347570">
        <w:rPr>
          <w:rFonts w:ascii="Arial" w:eastAsia="Times New Roman" w:hAnsi="Arial" w:cs="Arial"/>
          <w:color w:val="000000"/>
          <w:lang w:eastAsia="es-ES"/>
        </w:rPr>
        <w:t xml:space="preserve">21. </w:t>
      </w:r>
      <w:proofErr w:type="spellStart"/>
      <w:r w:rsidRPr="00347570">
        <w:rPr>
          <w:rFonts w:ascii="Arial" w:eastAsia="Times New Roman" w:hAnsi="Arial" w:cs="Arial"/>
          <w:color w:val="000000"/>
          <w:lang w:eastAsia="es-ES"/>
        </w:rPr>
        <w:t>Profit</w:t>
      </w:r>
      <w:proofErr w:type="spellEnd"/>
      <w:r w:rsidRPr="00347570">
        <w:rPr>
          <w:rFonts w:ascii="Arial" w:eastAsia="Times New Roman" w:hAnsi="Arial" w:cs="Arial"/>
          <w:color w:val="000000"/>
          <w:lang w:eastAsia="es-ES"/>
        </w:rPr>
        <w:t xml:space="preserve"> / (</w:t>
      </w:r>
      <w:proofErr w:type="spellStart"/>
      <w:r w:rsidRPr="00347570">
        <w:rPr>
          <w:rFonts w:ascii="Arial" w:eastAsia="Times New Roman" w:hAnsi="Arial" w:cs="Arial"/>
          <w:color w:val="000000"/>
          <w:lang w:eastAsia="es-ES"/>
        </w:rPr>
        <w:t>loss</w:t>
      </w:r>
      <w:proofErr w:type="spellEnd"/>
      <w:r w:rsidRPr="00347570">
        <w:rPr>
          <w:rFonts w:ascii="Arial" w:eastAsia="Times New Roman" w:hAnsi="Arial" w:cs="Arial"/>
          <w:color w:val="000000"/>
          <w:lang w:eastAsia="es-ES"/>
        </w:rPr>
        <w:t xml:space="preserve">) </w:t>
      </w:r>
      <w:proofErr w:type="spellStart"/>
      <w:r w:rsidRPr="00347570">
        <w:rPr>
          <w:rFonts w:ascii="Arial" w:eastAsia="Times New Roman" w:hAnsi="Arial" w:cs="Arial"/>
          <w:color w:val="000000"/>
          <w:lang w:eastAsia="es-ES"/>
        </w:rPr>
        <w:t>from</w:t>
      </w:r>
      <w:proofErr w:type="spellEnd"/>
      <w:r w:rsidRPr="00347570">
        <w:rPr>
          <w:rFonts w:ascii="Arial" w:eastAsia="Times New Roman" w:hAnsi="Arial" w:cs="Arial"/>
          <w:color w:val="000000"/>
          <w:lang w:eastAsia="es-ES"/>
        </w:rPr>
        <w:t xml:space="preserve"> </w:t>
      </w:r>
      <w:proofErr w:type="spellStart"/>
      <w:r w:rsidRPr="00347570">
        <w:rPr>
          <w:rFonts w:ascii="Arial" w:eastAsia="Times New Roman" w:hAnsi="Arial" w:cs="Arial"/>
          <w:color w:val="000000"/>
          <w:lang w:eastAsia="es-ES"/>
        </w:rPr>
        <w:t>discontinued</w:t>
      </w:r>
      <w:proofErr w:type="spellEnd"/>
      <w:r w:rsidRPr="00347570">
        <w:rPr>
          <w:rFonts w:ascii="Arial" w:eastAsia="Times New Roman" w:hAnsi="Arial" w:cs="Arial"/>
          <w:color w:val="000000"/>
          <w:lang w:eastAsia="es-ES"/>
        </w:rPr>
        <w:t xml:space="preserve"> </w:t>
      </w:r>
      <w:proofErr w:type="spellStart"/>
      <w:r w:rsidRPr="00347570">
        <w:rPr>
          <w:rFonts w:ascii="Arial" w:eastAsia="Times New Roman" w:hAnsi="Arial" w:cs="Arial"/>
          <w:color w:val="000000"/>
          <w:lang w:eastAsia="es-ES"/>
        </w:rPr>
        <w:t>operations</w:t>
      </w:r>
      <w:proofErr w:type="spellEnd"/>
      <w:r w:rsidRPr="00347570">
        <w:rPr>
          <w:rFonts w:ascii="Arial" w:eastAsia="Times New Roman" w:hAnsi="Arial" w:cs="Arial"/>
          <w:color w:val="000000"/>
          <w:lang w:eastAsia="es-ES"/>
        </w:rPr>
        <w:t xml:space="preserve">, net of </w:t>
      </w:r>
      <w:proofErr w:type="spellStart"/>
      <w:r w:rsidRPr="00347570">
        <w:rPr>
          <w:rFonts w:ascii="Arial" w:eastAsia="Times New Roman" w:hAnsi="Arial" w:cs="Arial"/>
          <w:color w:val="000000"/>
          <w:lang w:eastAsia="es-ES"/>
        </w:rPr>
        <w:t>income</w:t>
      </w:r>
      <w:proofErr w:type="spellEnd"/>
      <w:r w:rsidRPr="00347570">
        <w:rPr>
          <w:rFonts w:ascii="Arial" w:eastAsia="Times New Roman" w:hAnsi="Arial" w:cs="Arial"/>
          <w:color w:val="000000"/>
          <w:lang w:eastAsia="es-ES"/>
        </w:rPr>
        <w:t xml:space="preserve"> </w:t>
      </w:r>
      <w:proofErr w:type="spellStart"/>
      <w:r w:rsidRPr="00347570">
        <w:rPr>
          <w:rFonts w:ascii="Arial" w:eastAsia="Times New Roman" w:hAnsi="Arial" w:cs="Arial"/>
          <w:color w:val="000000"/>
          <w:lang w:eastAsia="es-ES"/>
        </w:rPr>
        <w:t>tax</w:t>
      </w:r>
      <w:proofErr w:type="spellEnd"/>
      <w:r w:rsidRPr="00347570">
        <w:rPr>
          <w:rFonts w:ascii="Arial" w:eastAsia="Times New Roman" w:hAnsi="Arial" w:cs="Arial"/>
          <w:color w:val="000000"/>
          <w:lang w:eastAsia="es-ES"/>
        </w:rPr>
        <w:t>, simplemente porque que es un valor neto que resume todos los ingresos y ga</w:t>
      </w:r>
      <w:r w:rsidR="00ED3FC5" w:rsidRPr="00347570">
        <w:rPr>
          <w:rFonts w:ascii="Arial" w:eastAsia="Times New Roman" w:hAnsi="Arial" w:cs="Arial"/>
          <w:color w:val="000000"/>
          <w:lang w:eastAsia="es-ES"/>
        </w:rPr>
        <w:t>stos asociados a operaciones interrumpidas (negocios que o bien la empresa ha cerrado / enajenado durante el ejercicio, o planea cerrarlos / enajenarlos en el plazo máximo de un año).</w:t>
      </w:r>
      <w:r w:rsidR="00250B2A">
        <w:rPr>
          <w:rFonts w:ascii="Arial" w:eastAsia="Times New Roman" w:hAnsi="Arial" w:cs="Arial"/>
          <w:color w:val="000000"/>
          <w:lang w:eastAsia="es-ES"/>
        </w:rPr>
        <w:t xml:space="preserve"> </w:t>
      </w:r>
      <w:r w:rsidR="00250B2A" w:rsidRPr="00250B2A">
        <w:rPr>
          <w:rFonts w:ascii="Arial" w:eastAsia="Times New Roman" w:hAnsi="Arial" w:cs="Arial"/>
          <w:color w:val="FF0000"/>
          <w:lang w:eastAsia="es-ES"/>
        </w:rPr>
        <w:t>La solución ha consistido en crear una fila y columna nueva</w:t>
      </w:r>
      <w:r w:rsidR="00B218EC">
        <w:rPr>
          <w:rFonts w:ascii="Arial" w:eastAsia="Times New Roman" w:hAnsi="Arial" w:cs="Arial"/>
          <w:color w:val="FF0000"/>
          <w:lang w:eastAsia="es-ES"/>
        </w:rPr>
        <w:t>s</w:t>
      </w:r>
      <w:r w:rsidR="00250B2A" w:rsidRPr="00250B2A">
        <w:rPr>
          <w:rFonts w:ascii="Arial" w:eastAsia="Times New Roman" w:hAnsi="Arial" w:cs="Arial"/>
          <w:color w:val="FF0000"/>
          <w:lang w:eastAsia="es-ES"/>
        </w:rPr>
        <w:t xml:space="preserve"> denominada </w:t>
      </w:r>
      <w:r w:rsidR="00250B2A">
        <w:rPr>
          <w:rFonts w:ascii="Arial" w:eastAsia="Times New Roman" w:hAnsi="Arial" w:cs="Arial"/>
          <w:color w:val="FF0000"/>
          <w:lang w:eastAsia="es-ES"/>
        </w:rPr>
        <w:t>9.2b “</w:t>
      </w:r>
      <w:proofErr w:type="spellStart"/>
      <w:r w:rsidR="00250B2A">
        <w:rPr>
          <w:rFonts w:ascii="Arial" w:eastAsia="Times New Roman" w:hAnsi="Arial" w:cs="Arial"/>
          <w:color w:val="FF0000"/>
          <w:lang w:eastAsia="es-ES"/>
        </w:rPr>
        <w:t>Discontinued</w:t>
      </w:r>
      <w:proofErr w:type="spellEnd"/>
      <w:r w:rsidR="00250B2A">
        <w:rPr>
          <w:rFonts w:ascii="Arial" w:eastAsia="Times New Roman" w:hAnsi="Arial" w:cs="Arial"/>
          <w:color w:val="FF0000"/>
          <w:lang w:eastAsia="es-ES"/>
        </w:rPr>
        <w:t xml:space="preserve"> </w:t>
      </w:r>
      <w:proofErr w:type="spellStart"/>
      <w:r w:rsidR="00250B2A">
        <w:rPr>
          <w:rFonts w:ascii="Arial" w:eastAsia="Times New Roman" w:hAnsi="Arial" w:cs="Arial"/>
          <w:color w:val="FF0000"/>
          <w:lang w:eastAsia="es-ES"/>
        </w:rPr>
        <w:t>operations</w:t>
      </w:r>
      <w:proofErr w:type="spellEnd"/>
      <w:r w:rsidR="00250B2A">
        <w:rPr>
          <w:rFonts w:ascii="Arial" w:eastAsia="Times New Roman" w:hAnsi="Arial" w:cs="Arial"/>
          <w:color w:val="FF0000"/>
          <w:lang w:eastAsia="es-ES"/>
        </w:rPr>
        <w:t>”. En la casilla [9.2b; 8.3] se refleja el importe correspondiente a esta partida</w:t>
      </w:r>
      <w:r w:rsidR="00B218EC">
        <w:rPr>
          <w:rFonts w:ascii="Arial" w:eastAsia="Times New Roman" w:hAnsi="Arial" w:cs="Arial"/>
          <w:color w:val="FF0000"/>
          <w:lang w:eastAsia="es-ES"/>
        </w:rPr>
        <w:t xml:space="preserve">, justo en la columna [8.3] </w:t>
      </w:r>
      <w:proofErr w:type="spellStart"/>
      <w:r w:rsidR="00B218EC">
        <w:rPr>
          <w:rFonts w:ascii="Arial" w:eastAsia="Times New Roman" w:hAnsi="Arial" w:cs="Arial"/>
          <w:color w:val="FF0000"/>
          <w:lang w:eastAsia="es-ES"/>
        </w:rPr>
        <w:t>Change</w:t>
      </w:r>
      <w:proofErr w:type="spellEnd"/>
      <w:r w:rsidR="00B218EC">
        <w:rPr>
          <w:rFonts w:ascii="Arial" w:eastAsia="Times New Roman" w:hAnsi="Arial" w:cs="Arial"/>
          <w:color w:val="FF0000"/>
          <w:lang w:eastAsia="es-ES"/>
        </w:rPr>
        <w:t xml:space="preserve"> in </w:t>
      </w:r>
      <w:proofErr w:type="spellStart"/>
      <w:r w:rsidR="00B218EC">
        <w:rPr>
          <w:rFonts w:ascii="Arial" w:eastAsia="Times New Roman" w:hAnsi="Arial" w:cs="Arial"/>
          <w:color w:val="FF0000"/>
          <w:lang w:eastAsia="es-ES"/>
        </w:rPr>
        <w:t>equity</w:t>
      </w:r>
      <w:proofErr w:type="spellEnd"/>
      <w:r w:rsidR="00250B2A">
        <w:rPr>
          <w:rFonts w:ascii="Arial" w:eastAsia="Times New Roman" w:hAnsi="Arial" w:cs="Arial"/>
          <w:color w:val="FF0000"/>
          <w:lang w:eastAsia="es-ES"/>
        </w:rPr>
        <w:t xml:space="preserve">. </w:t>
      </w:r>
      <w:r w:rsidR="00B218EC">
        <w:rPr>
          <w:rFonts w:ascii="Arial" w:eastAsia="Times New Roman" w:hAnsi="Arial" w:cs="Arial"/>
          <w:color w:val="FF0000"/>
          <w:lang w:eastAsia="es-ES"/>
        </w:rPr>
        <w:t>De esta forma, la capacidad o necesidad de financiación, vendría definida por la suma de los cambios en inventarios, la formación neta de capital fijo, y el ajuste derivado de la inclusión de las operaciones discontinuas.</w:t>
      </w:r>
    </w:p>
    <w:p w:rsidR="00D71CF1" w:rsidRDefault="00250B2A" w:rsidP="00B218EC">
      <w:pPr>
        <w:pStyle w:val="Prrafodelista"/>
        <w:spacing w:before="120" w:after="0" w:line="240" w:lineRule="auto"/>
        <w:ind w:left="426"/>
        <w:contextualSpacing w:val="0"/>
        <w:jc w:val="both"/>
        <w:rPr>
          <w:rFonts w:ascii="Arial" w:eastAsia="Times New Roman" w:hAnsi="Arial" w:cs="Arial"/>
          <w:color w:val="FF0000"/>
          <w:lang w:eastAsia="es-ES"/>
        </w:rPr>
      </w:pPr>
      <w:r>
        <w:rPr>
          <w:rFonts w:ascii="Arial" w:eastAsia="Times New Roman" w:hAnsi="Arial" w:cs="Arial"/>
          <w:color w:val="FF0000"/>
          <w:lang w:eastAsia="es-ES"/>
        </w:rPr>
        <w:t xml:space="preserve">Como no puede asignarse a un sector institucional concreto, ese importe se registra además en la columna 15.1 “Balance”, en la casilla [9.2b; 15.1], para equilibrar la matriz. </w:t>
      </w:r>
      <w:bookmarkStart w:id="0" w:name="_GoBack"/>
      <w:bookmarkEnd w:id="0"/>
    </w:p>
    <w:p w:rsidR="00B218EC" w:rsidRPr="00B218EC" w:rsidRDefault="00B218EC" w:rsidP="00B218EC">
      <w:pPr>
        <w:spacing w:before="120" w:after="0" w:line="240" w:lineRule="auto"/>
        <w:jc w:val="both"/>
        <w:rPr>
          <w:rFonts w:ascii="Arial" w:eastAsia="Times New Roman" w:hAnsi="Arial" w:cs="Arial"/>
          <w:color w:val="FF0000"/>
          <w:lang w:eastAsia="es-ES"/>
        </w:rPr>
      </w:pPr>
    </w:p>
    <w:sectPr w:rsidR="00B218EC" w:rsidRPr="00B218EC" w:rsidSect="00797D44">
      <w:pgSz w:w="11906" w:h="16838"/>
      <w:pgMar w:top="1418" w:right="1134"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92CE3"/>
    <w:multiLevelType w:val="hybridMultilevel"/>
    <w:tmpl w:val="F75285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5717ED"/>
    <w:multiLevelType w:val="hybridMultilevel"/>
    <w:tmpl w:val="EA2A06F0"/>
    <w:lvl w:ilvl="0" w:tplc="B004FCA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49D117D2"/>
    <w:multiLevelType w:val="hybridMultilevel"/>
    <w:tmpl w:val="6FA201AE"/>
    <w:lvl w:ilvl="0" w:tplc="2ABE0B1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DFA182E"/>
    <w:multiLevelType w:val="hybridMultilevel"/>
    <w:tmpl w:val="94A86DE8"/>
    <w:lvl w:ilvl="0" w:tplc="77489D4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7D434BD7"/>
    <w:multiLevelType w:val="hybridMultilevel"/>
    <w:tmpl w:val="BE624E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3B"/>
    <w:rsid w:val="00250B2A"/>
    <w:rsid w:val="002A273B"/>
    <w:rsid w:val="00347570"/>
    <w:rsid w:val="004B66CE"/>
    <w:rsid w:val="004D7EA3"/>
    <w:rsid w:val="00797D44"/>
    <w:rsid w:val="00933D6A"/>
    <w:rsid w:val="00A646CA"/>
    <w:rsid w:val="00B218EC"/>
    <w:rsid w:val="00C6248D"/>
    <w:rsid w:val="00CF5703"/>
    <w:rsid w:val="00D054CC"/>
    <w:rsid w:val="00D71CF1"/>
    <w:rsid w:val="00E703B4"/>
    <w:rsid w:val="00E85879"/>
    <w:rsid w:val="00ED3F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19CF"/>
  <w15:chartTrackingRefBased/>
  <w15:docId w15:val="{5196A5BD-FAF1-4EF3-8300-34F9713E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187675">
      <w:bodyDiv w:val="1"/>
      <w:marLeft w:val="0"/>
      <w:marRight w:val="0"/>
      <w:marTop w:val="0"/>
      <w:marBottom w:val="0"/>
      <w:divBdr>
        <w:top w:val="none" w:sz="0" w:space="0" w:color="auto"/>
        <w:left w:val="none" w:sz="0" w:space="0" w:color="auto"/>
        <w:bottom w:val="none" w:sz="0" w:space="0" w:color="auto"/>
        <w:right w:val="none" w:sz="0" w:space="0" w:color="auto"/>
      </w:divBdr>
    </w:div>
    <w:div w:id="887105750">
      <w:bodyDiv w:val="1"/>
      <w:marLeft w:val="0"/>
      <w:marRight w:val="0"/>
      <w:marTop w:val="0"/>
      <w:marBottom w:val="0"/>
      <w:divBdr>
        <w:top w:val="none" w:sz="0" w:space="0" w:color="auto"/>
        <w:left w:val="none" w:sz="0" w:space="0" w:color="auto"/>
        <w:bottom w:val="none" w:sz="0" w:space="0" w:color="auto"/>
        <w:right w:val="none" w:sz="0" w:space="0" w:color="auto"/>
      </w:divBdr>
    </w:div>
    <w:div w:id="1092049754">
      <w:bodyDiv w:val="1"/>
      <w:marLeft w:val="0"/>
      <w:marRight w:val="0"/>
      <w:marTop w:val="0"/>
      <w:marBottom w:val="0"/>
      <w:divBdr>
        <w:top w:val="none" w:sz="0" w:space="0" w:color="auto"/>
        <w:left w:val="none" w:sz="0" w:space="0" w:color="auto"/>
        <w:bottom w:val="none" w:sz="0" w:space="0" w:color="auto"/>
        <w:right w:val="none" w:sz="0" w:space="0" w:color="auto"/>
      </w:divBdr>
    </w:div>
    <w:div w:id="178857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67F3-31DD-482C-BA79-81FE4AAC9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1168</Words>
  <Characters>6428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2020-06-12T09:08:00Z</dcterms:created>
  <dcterms:modified xsi:type="dcterms:W3CDTF">2020-06-17T07:42:00Z</dcterms:modified>
</cp:coreProperties>
</file>