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</w:t>
      </w:r>
      <w:r>
        <w:t xml:space="preserve"> </w:t>
      </w:r>
      <w:r>
        <w:t xml:space="preserve">en</w:t>
      </w:r>
      <w:r>
        <w:t xml:space="preserve"> </w:t>
      </w:r>
      <w:r>
        <w:t xml:space="preserve">Composantes</w:t>
      </w:r>
      <w:r>
        <w:t xml:space="preserve"> </w:t>
      </w:r>
      <w:r>
        <w:t xml:space="preserve">Principales</w:t>
      </w:r>
    </w:p>
    <w:p>
      <w:pPr>
        <w:pStyle w:val="Author"/>
      </w:pPr>
      <w:r>
        <w:t xml:space="preserve">Jeu</w:t>
      </w:r>
      <w:r>
        <w:t xml:space="preserve"> </w:t>
      </w:r>
      <w:r>
        <w:t xml:space="preserve">de</w:t>
      </w:r>
      <w:r>
        <w:t xml:space="preserve"> </w:t>
      </w:r>
      <w:r>
        <w:t xml:space="preserve">données</w:t>
      </w:r>
      <w:r>
        <w:t xml:space="preserve"> </w:t>
      </w:r>
      <w:r>
        <w:t xml:space="preserve">datos.acp</w:t>
      </w:r>
    </w:p>
    <w:p>
      <w:pPr>
        <w:pStyle w:val="FirstParagraph"/>
      </w:pPr>
      <w:r>
        <w:t xml:space="preserve">Ce jeu de données contient 100 individus et 6 variables.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observation-dindividus-extrêmes"/>
      <w:r>
        <w:t xml:space="preserve">1. Observation d’individus extrêmes</w:t>
      </w:r>
      <w:bookmarkEnd w:id="20"/>
    </w:p>
    <w:p>
      <w:pPr>
        <w:pStyle w:val="FirstParagraph"/>
      </w:pPr>
      <w:r>
        <w:t xml:space="preserve">L’analyse des graphes ne révèle aucun individu singulier.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distribution-de-linertie"/>
      <w:r>
        <w:t xml:space="preserve">2. Distribution de l’inertie</w:t>
      </w:r>
      <w:bookmarkEnd w:id="21"/>
    </w:p>
    <w:p>
      <w:pPr>
        <w:pStyle w:val="FirstParagraph"/>
      </w:pPr>
      <w:r>
        <w:t xml:space="preserve">L’inertie des axes factoriels indique d’une part si les variables sont structurées et suggère d’autre part le nombre judicieux de composantes principales à étudier.</w:t>
      </w:r>
    </w:p>
    <w:p>
      <w:pPr>
        <w:pStyle w:val="BodyText"/>
      </w:pPr>
      <w:r>
        <w:t xml:space="preserve">Les 2 premiers axes de l’ analyse expriment</w:t>
      </w:r>
      <w:r>
        <w:t xml:space="preserve"> </w:t>
      </w:r>
      <w:r>
        <w:rPr>
          <w:b/>
        </w:rPr>
        <w:t xml:space="preserve">70.88%</w:t>
      </w:r>
      <w:r>
        <w:t xml:space="preserve"> </w:t>
      </w:r>
      <w:r>
        <w:t xml:space="preserve">de l’inertie totale du jeu de données ; cela signifie que 70.88% de la variabilité totale du nuage des individus (ou des variables) est représentée dans ce plan.</w:t>
      </w:r>
      <w:r>
        <w:t xml:space="preserve"> </w:t>
      </w:r>
      <w:r>
        <w:t xml:space="preserve">C’est un pourcentage élevé, et le premier plan représente donc bien la variabilité contenue dans une très large part du jeu de données actif.</w:t>
      </w:r>
      <w:r>
        <w:t xml:space="preserve"> </w:t>
      </w:r>
      <w:r>
        <w:t xml:space="preserve">Cette valeur est nettement supérieure à la valeur référence de</w:t>
      </w:r>
      <w:r>
        <w:t xml:space="preserve"> </w:t>
      </w:r>
      <w:r>
        <w:rPr>
          <w:b/>
        </w:rPr>
        <w:t xml:space="preserve">45.03%</w:t>
      </w:r>
      <w:r>
        <w:t xml:space="preserve">, la variabilité expliquée par ce plan est donc hautement significative</w:t>
      </w:r>
      <w:r>
        <w:t xml:space="preserve"> </w:t>
      </w:r>
      <w:r>
        <w:t xml:space="preserve">(cette intertie de référence est le quantile 0.95-quantile de la distribution des pourcentages d’inertie obtenue en simulant 598 jeux de données aléatoires de dimensions comparables sur la base d’une distribution normale).</w:t>
      </w:r>
    </w:p>
    <w:p>
      <w:pPr>
        <w:pStyle w:val="BodyText"/>
      </w:pPr>
      <w:r>
        <w:t xml:space="preserve">Du fait de ces observations, il n’est probablement pas nécessaire pour l’analyse d’interpréter les dimensions suivantes.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apport_2021-02-25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2 - Décomposition de l’inertie totale</w:t>
      </w:r>
    </w:p>
    <w:p>
      <w:pPr>
        <w:pStyle w:val="BodyText"/>
      </w:pPr>
      <w:r>
        <w:t xml:space="preserve">Une estimation du nombre pertinent d’axes à interpréter suggère de restreindre l’analyse à la description des 2 premiers axes.</w:t>
      </w:r>
      <w:r>
        <w:t xml:space="preserve"> </w:t>
      </w:r>
      <w:r>
        <w:t xml:space="preserve">Ces composantes révèlent un taux d’inertie supérieur à celle du quantile 0.95-quantile de distributions aléatoires (70.88% contre 45.03%).</w:t>
      </w:r>
      <w:r>
        <w:t xml:space="preserve"> </w:t>
      </w:r>
      <w:r>
        <w:t xml:space="preserve">Cette observation suggère que seuls ces axes sont porteurs d’une véritable information.</w:t>
      </w:r>
      <w:r>
        <w:t xml:space="preserve"> </w:t>
      </w:r>
      <w:r>
        <w:t xml:space="preserve">En conséquence, la description de l’analyse sera restreinte à ces seuls axes.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escription-du-plan-12"/>
      <w:r>
        <w:t xml:space="preserve">3. Description du plan 1:2</w:t>
      </w:r>
      <w:bookmarkEnd w:id="23"/>
    </w:p>
    <w:p>
      <w:pPr>
        <w:pStyle w:val="FirstParagraph"/>
      </w:pPr>
      <w:r>
        <w:drawing>
          <wp:inline>
            <wp:extent cx="5082138" cy="32340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apport_2021-02-25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3.1 - Graphe des individus (ACP)</w:t>
      </w:r>
      <w:r>
        <w:t xml:space="preserve"> </w:t>
      </w:r>
      <w:r>
        <w:rPr>
          <w:i/>
        </w:rPr>
        <w:t xml:space="preserve">Les individus libellés sont ceux ayant la plus grande contribution à la construction du plan.</w:t>
      </w:r>
    </w:p>
    <w:p>
      <w:pPr>
        <w:pStyle w:val="BodyText"/>
      </w:pPr>
      <w:r>
        <w:drawing>
          <wp:inline>
            <wp:extent cx="5082138" cy="323408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apport_2021-02-25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</w:rPr>
        <w:t xml:space="preserve">Figure 3.2 - Graphe des variables (ACP)</w:t>
      </w:r>
      <w:r>
        <w:t xml:space="preserve"> </w:t>
      </w:r>
      <w:r>
        <w:rPr>
          <w:i/>
        </w:rPr>
        <w:t xml:space="preserve">Les variables libellées sont celles les mieux représentées sur le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</w:rPr>
        <w:t xml:space="preserve">dimension 1</w:t>
      </w:r>
      <w:r>
        <w:t xml:space="preserve"> </w:t>
      </w:r>
      <w:r>
        <w:t xml:space="preserve">oppose des individus tels que</w:t>
      </w:r>
      <w:r>
        <w:t xml:space="preserve"> </w:t>
      </w:r>
      <w:r>
        <w:rPr>
          <w:i/>
        </w:rPr>
        <w:t xml:space="preserve">45</w:t>
      </w:r>
      <w:r>
        <w:t xml:space="preserve">,</w:t>
      </w:r>
      <w:r>
        <w:t xml:space="preserve"> </w:t>
      </w:r>
      <w:r>
        <w:rPr>
          <w:i/>
        </w:rPr>
        <w:t xml:space="preserve">2</w:t>
      </w:r>
      <w:r>
        <w:t xml:space="preserve">,</w:t>
      </w:r>
      <w:r>
        <w:t xml:space="preserve"> </w:t>
      </w:r>
      <w:r>
        <w:rPr>
          <w:i/>
        </w:rPr>
        <w:t xml:space="preserve">82</w:t>
      </w:r>
      <w:r>
        <w:t xml:space="preserve">,</w:t>
      </w:r>
      <w:r>
        <w:t xml:space="preserve"> </w:t>
      </w:r>
      <w:r>
        <w:rPr>
          <w:i/>
        </w:rPr>
        <w:t xml:space="preserve">57</w:t>
      </w:r>
      <w:r>
        <w:t xml:space="preserve">,</w:t>
      </w:r>
      <w:r>
        <w:t xml:space="preserve"> </w:t>
      </w:r>
      <w:r>
        <w:rPr>
          <w:i/>
        </w:rPr>
        <w:t xml:space="preserve">71</w:t>
      </w:r>
      <w:r>
        <w:t xml:space="preserve">,</w:t>
      </w:r>
      <w:r>
        <w:t xml:space="preserve"> </w:t>
      </w:r>
      <w:r>
        <w:rPr>
          <w:i/>
        </w:rPr>
        <w:t xml:space="preserve">3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93</w:t>
      </w:r>
      <w:r>
        <w:t xml:space="preserve"> </w:t>
      </w:r>
      <w:r>
        <w:t xml:space="preserve">(à droite du graphe, caractérisés par une coordonnée fortement positive sur l’axe)</w:t>
      </w:r>
      <w:r>
        <w:t xml:space="preserve"> </w:t>
      </w:r>
      <w:r>
        <w:t xml:space="preserve">à des individus comme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(à gauche du graphe, caractérisés par une coordonnée fortement négative sur l’axe).</w:t>
      </w:r>
    </w:p>
    <w:p>
      <w:pPr>
        <w:pStyle w:val="BodyText"/>
      </w:pPr>
      <w:r>
        <w:t xml:space="preserve">Le groupe auquel les individus</w:t>
      </w:r>
      <w:r>
        <w:t xml:space="preserve"> </w:t>
      </w:r>
      <w:r>
        <w:rPr>
          <w:i/>
        </w:rPr>
        <w:t xml:space="preserve">45</w:t>
      </w:r>
      <w:r>
        <w:t xml:space="preserve">,</w:t>
      </w:r>
      <w:r>
        <w:t xml:space="preserve"> </w:t>
      </w:r>
      <w:r>
        <w:rPr>
          <w:i/>
        </w:rPr>
        <w:t xml:space="preserve">2</w:t>
      </w:r>
      <w:r>
        <w:t xml:space="preserve">,</w:t>
      </w:r>
      <w:r>
        <w:t xml:space="preserve"> </w:t>
      </w:r>
      <w:r>
        <w:rPr>
          <w:i/>
        </w:rPr>
        <w:t xml:space="preserve">82</w:t>
      </w:r>
      <w:r>
        <w:t xml:space="preserve">,</w:t>
      </w:r>
      <w:r>
        <w:t xml:space="preserve"> </w:t>
      </w:r>
      <w:r>
        <w:rPr>
          <w:i/>
        </w:rPr>
        <w:t xml:space="preserve">57</w:t>
      </w:r>
      <w:r>
        <w:t xml:space="preserve">,</w:t>
      </w:r>
      <w:r>
        <w:t xml:space="preserve"> </w:t>
      </w:r>
      <w:r>
        <w:rPr>
          <w:i/>
        </w:rPr>
        <w:t xml:space="preserve">71</w:t>
      </w:r>
      <w:r>
        <w:t xml:space="preserve">,</w:t>
      </w:r>
      <w:r>
        <w:t xml:space="preserve"> </w:t>
      </w:r>
      <w:r>
        <w:rPr>
          <w:i/>
        </w:rPr>
        <w:t xml:space="preserve">3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93</w:t>
      </w:r>
      <w:r>
        <w:t xml:space="preserve"> </w:t>
      </w:r>
      <w:r>
        <w:t xml:space="preserve">appartiennent (caractérisés par une coordonnée positive sur l’axe) partage :</w:t>
      </w:r>
    </w:p>
    <w:p>
      <w:pPr>
        <w:pStyle w:val="Compact"/>
        <w:numPr>
          <w:numId w:val="1001"/>
          <w:ilvl w:val="0"/>
        </w:numPr>
      </w:pPr>
      <w:r>
        <w:t xml:space="preserve">de fortes valeurs pour les variables</w:t>
      </w:r>
      <w:r>
        <w:t xml:space="preserve"> </w:t>
      </w:r>
      <w:r>
        <w:rPr>
          <w:i/>
        </w:rPr>
        <w:t xml:space="preserve">x2</w:t>
      </w:r>
      <w:r>
        <w:t xml:space="preserve">,</w:t>
      </w:r>
      <w:r>
        <w:t xml:space="preserve"> </w:t>
      </w:r>
      <w:r>
        <w:rPr>
          <w:i/>
        </w:rPr>
        <w:t xml:space="preserve">x6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x4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numId w:val="1001"/>
          <w:ilvl w:val="0"/>
        </w:numPr>
      </w:pPr>
      <w:r>
        <w:t xml:space="preserve">de faibles valeurs pour les variables</w:t>
      </w:r>
      <w:r>
        <w:t xml:space="preserve"> </w:t>
      </w:r>
      <w:r>
        <w:rPr>
          <w:i/>
        </w:rPr>
        <w:t xml:space="preserve">x3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(de la plus extrême à la moins extrême).</w:t>
      </w:r>
    </w:p>
    <w:p>
      <w:pPr>
        <w:pStyle w:val="FirstParagraph"/>
      </w:pPr>
      <w:r>
        <w:t xml:space="preserve">Le groupe auquel les individus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appartiennent (caractérisés par une coordonnées négative sur l’axe) partage :</w:t>
      </w:r>
    </w:p>
    <w:p>
      <w:pPr>
        <w:pStyle w:val="Compact"/>
        <w:numPr>
          <w:numId w:val="1002"/>
          <w:ilvl w:val="0"/>
        </w:numPr>
      </w:pPr>
      <w:r>
        <w:t xml:space="preserve">de fortes valeurs pour les variables</w:t>
      </w:r>
      <w:r>
        <w:t xml:space="preserve"> </w:t>
      </w:r>
      <w:r>
        <w:rPr>
          <w:i/>
        </w:rPr>
        <w:t xml:space="preserve">x3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numId w:val="1002"/>
          <w:ilvl w:val="0"/>
        </w:numPr>
      </w:pPr>
      <w:r>
        <w:t xml:space="preserve">de faibles valeurs pour les variables</w:t>
      </w:r>
      <w:r>
        <w:t xml:space="preserve"> </w:t>
      </w:r>
      <w:r>
        <w:rPr>
          <w:i/>
        </w:rPr>
        <w:t xml:space="preserve">x4</w:t>
      </w:r>
      <w:r>
        <w:t xml:space="preserve">,</w:t>
      </w:r>
      <w:r>
        <w:t xml:space="preserve"> </w:t>
      </w:r>
      <w:r>
        <w:rPr>
          <w:i/>
        </w:rPr>
        <w:t xml:space="preserve">x6</w:t>
      </w:r>
      <w:r>
        <w:t xml:space="preserve">,</w:t>
      </w:r>
      <w:r>
        <w:t xml:space="preserve"> </w:t>
      </w:r>
      <w:r>
        <w:rPr>
          <w:i/>
        </w:rPr>
        <w:t xml:space="preserve">x5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x2</w:t>
      </w:r>
      <w:r>
        <w:t xml:space="preserve"> </w:t>
      </w:r>
      <w:r>
        <w:t xml:space="preserve">(de la plus extrême à la moins extrême).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</w:rPr>
        <w:t xml:space="preserve">dimension 2</w:t>
      </w:r>
      <w:r>
        <w:t xml:space="preserve"> </w:t>
      </w:r>
      <w:r>
        <w:t xml:space="preserve">oppose des individus tels que</w:t>
      </w:r>
      <w:r>
        <w:t xml:space="preserve"> </w:t>
      </w:r>
      <w:r>
        <w:rPr>
          <w:i/>
        </w:rPr>
        <w:t xml:space="preserve">5</w:t>
      </w:r>
      <w:r>
        <w:t xml:space="preserve">,</w:t>
      </w:r>
      <w:r>
        <w:t xml:space="preserve"> </w:t>
      </w:r>
      <w:r>
        <w:rPr>
          <w:i/>
        </w:rPr>
        <w:t xml:space="preserve">42</w:t>
      </w:r>
      <w:r>
        <w:t xml:space="preserve">,</w:t>
      </w:r>
      <w:r>
        <w:t xml:space="preserve"> </w:t>
      </w:r>
      <w:r>
        <w:rPr>
          <w:i/>
        </w:rPr>
        <w:t xml:space="preserve">28</w:t>
      </w:r>
      <w:r>
        <w:t xml:space="preserve">,</w:t>
      </w:r>
      <w:r>
        <w:t xml:space="preserve"> </w:t>
      </w:r>
      <w:r>
        <w:rPr>
          <w:i/>
        </w:rPr>
        <w:t xml:space="preserve">19</w:t>
      </w:r>
      <w:r>
        <w:t xml:space="preserve">,</w:t>
      </w:r>
      <w:r>
        <w:t xml:space="preserve"> </w:t>
      </w:r>
      <w:r>
        <w:rPr>
          <w:i/>
        </w:rPr>
        <w:t xml:space="preserve">7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90</w:t>
      </w:r>
      <w:r>
        <w:t xml:space="preserve"> </w:t>
      </w:r>
      <w:r>
        <w:t xml:space="preserve">(en haut du graphe, caractérisés par une coordonnées fortement positive sur l’axe)</w:t>
      </w:r>
      <w:r>
        <w:t xml:space="preserve"> </w:t>
      </w:r>
      <w:r>
        <w:t xml:space="preserve">à des individus comme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(en bas du graphe, caractérisés par une coordonnées fortement négative sur l’axe).</w:t>
      </w:r>
    </w:p>
    <w:p>
      <w:pPr>
        <w:pStyle w:val="BodyText"/>
      </w:pPr>
      <w:r>
        <w:t xml:space="preserve">Le groupe auquel les individus</w:t>
      </w:r>
      <w:r>
        <w:t xml:space="preserve"> </w:t>
      </w:r>
      <w:r>
        <w:rPr>
          <w:i/>
        </w:rPr>
        <w:t xml:space="preserve">5</w:t>
      </w:r>
      <w:r>
        <w:t xml:space="preserve">,</w:t>
      </w:r>
      <w:r>
        <w:t xml:space="preserve"> </w:t>
      </w:r>
      <w:r>
        <w:rPr>
          <w:i/>
        </w:rPr>
        <w:t xml:space="preserve">42</w:t>
      </w:r>
      <w:r>
        <w:t xml:space="preserve">,</w:t>
      </w:r>
      <w:r>
        <w:t xml:space="preserve"> </w:t>
      </w:r>
      <w:r>
        <w:rPr>
          <w:i/>
        </w:rPr>
        <w:t xml:space="preserve">28</w:t>
      </w:r>
      <w:r>
        <w:t xml:space="preserve">,</w:t>
      </w:r>
      <w:r>
        <w:t xml:space="preserve"> </w:t>
      </w:r>
      <w:r>
        <w:rPr>
          <w:i/>
        </w:rPr>
        <w:t xml:space="preserve">19</w:t>
      </w:r>
      <w:r>
        <w:t xml:space="preserve">,</w:t>
      </w:r>
      <w:r>
        <w:t xml:space="preserve"> </w:t>
      </w:r>
      <w:r>
        <w:rPr>
          <w:i/>
        </w:rPr>
        <w:t xml:space="preserve">7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90</w:t>
      </w:r>
      <w:r>
        <w:t xml:space="preserve"> </w:t>
      </w:r>
      <w:r>
        <w:t xml:space="preserve">appartiennent (caractérisés par une coordonnée positive sur l’axe) partage :</w:t>
      </w:r>
    </w:p>
    <w:p>
      <w:pPr>
        <w:pStyle w:val="Compact"/>
        <w:numPr>
          <w:numId w:val="1003"/>
          <w:ilvl w:val="0"/>
        </w:numPr>
      </w:pPr>
      <w:r>
        <w:t xml:space="preserve">de fortes valeurs pour les variables</w:t>
      </w:r>
      <w:r>
        <w:t xml:space="preserve"> </w:t>
      </w:r>
      <w:r>
        <w:rPr>
          <w:i/>
        </w:rPr>
        <w:t xml:space="preserve">x5</w:t>
      </w:r>
      <w:r>
        <w:t xml:space="preserve">,</w:t>
      </w:r>
      <w:r>
        <w:t xml:space="preserve"> </w:t>
      </w:r>
      <w:r>
        <w:rPr>
          <w:i/>
        </w:rPr>
        <w:t xml:space="preserve">x3</w:t>
      </w:r>
      <w:r>
        <w:t xml:space="preserve">,</w:t>
      </w:r>
      <w:r>
        <w:t xml:space="preserve"> </w:t>
      </w:r>
      <w:r>
        <w:rPr>
          <w:i/>
        </w:rPr>
        <w:t xml:space="preserve">x4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numId w:val="1003"/>
          <w:ilvl w:val="0"/>
        </w:numPr>
      </w:pPr>
      <w:r>
        <w:t xml:space="preserve">de faibles valeurs pour la variable</w:t>
      </w:r>
      <w:r>
        <w:t xml:space="preserve"> </w:t>
      </w:r>
      <w:r>
        <w:rPr>
          <w:i/>
        </w:rPr>
        <w:t xml:space="preserve">x2</w:t>
      </w:r>
      <w:r>
        <w:t xml:space="preserve">.</w:t>
      </w:r>
    </w:p>
    <w:p>
      <w:pPr>
        <w:pStyle w:val="FirstParagraph"/>
      </w:pPr>
      <w:r>
        <w:t xml:space="preserve">Le groupe auquel les individus</w:t>
      </w:r>
      <w:r>
        <w:t xml:space="preserve"> </w:t>
      </w:r>
      <w:r>
        <w:rPr>
          <w:i/>
        </w:rPr>
        <w:t xml:space="preserve">35</w:t>
      </w:r>
      <w:r>
        <w:t xml:space="preserve">,</w:t>
      </w:r>
      <w:r>
        <w:t xml:space="preserve"> </w:t>
      </w:r>
      <w:r>
        <w:rPr>
          <w:i/>
        </w:rPr>
        <w:t xml:space="preserve">22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50</w:t>
      </w:r>
      <w:r>
        <w:t xml:space="preserve"> </w:t>
      </w:r>
      <w:r>
        <w:t xml:space="preserve">appartiennent (caractérisés par une coordonnées négative sur l’axe) partage :</w:t>
      </w:r>
    </w:p>
    <w:p>
      <w:pPr>
        <w:pStyle w:val="Compact"/>
        <w:numPr>
          <w:numId w:val="1004"/>
          <w:ilvl w:val="0"/>
        </w:numPr>
      </w:pPr>
      <w:r>
        <w:t xml:space="preserve">de fortes valeurs pour les variables</w:t>
      </w:r>
      <w:r>
        <w:t xml:space="preserve"> </w:t>
      </w:r>
      <w:r>
        <w:rPr>
          <w:i/>
        </w:rPr>
        <w:t xml:space="preserve">x3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x1</w:t>
      </w:r>
      <w:r>
        <w:t xml:space="preserve"> </w:t>
      </w:r>
      <w:r>
        <w:t xml:space="preserve">(de la plus extrême à la moins extrême).</w:t>
      </w:r>
    </w:p>
    <w:p>
      <w:pPr>
        <w:pStyle w:val="Compact"/>
        <w:numPr>
          <w:numId w:val="1004"/>
          <w:ilvl w:val="0"/>
        </w:numPr>
      </w:pPr>
      <w:r>
        <w:t xml:space="preserve">de faibles valeurs pour les variables</w:t>
      </w:r>
      <w:r>
        <w:t xml:space="preserve"> </w:t>
      </w:r>
      <w:r>
        <w:rPr>
          <w:i/>
        </w:rPr>
        <w:t xml:space="preserve">x4</w:t>
      </w:r>
      <w:r>
        <w:t xml:space="preserve">,</w:t>
      </w:r>
      <w:r>
        <w:t xml:space="preserve"> </w:t>
      </w:r>
      <w:r>
        <w:rPr>
          <w:i/>
        </w:rPr>
        <w:t xml:space="preserve">x6</w:t>
      </w:r>
      <w:r>
        <w:t xml:space="preserve">,</w:t>
      </w:r>
      <w:r>
        <w:t xml:space="preserve"> </w:t>
      </w:r>
      <w:r>
        <w:rPr>
          <w:i/>
        </w:rPr>
        <w:t xml:space="preserve">x5</w:t>
      </w:r>
      <w:r>
        <w:t xml:space="preserve"> </w:t>
      </w:r>
      <w:r>
        <w:t xml:space="preserve">et</w:t>
      </w:r>
      <w:r>
        <w:t xml:space="preserve"> </w:t>
      </w:r>
      <w:r>
        <w:rPr>
          <w:i/>
        </w:rPr>
        <w:t xml:space="preserve">x2</w:t>
      </w:r>
      <w:r>
        <w:t xml:space="preserve"> </w:t>
      </w:r>
      <w:r>
        <w:t xml:space="preserve">(de la plus extrême à la moins extrême).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nnexes"/>
      <w:r>
        <w:t xml:space="preserve">Annexes</w:t>
      </w:r>
      <w:bookmarkEnd w:id="26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en Composantes Principales</dc:title>
  <dc:creator>Jeu de données datos.acp</dc:creator>
  <cp:keywords/>
  <dcterms:created xsi:type="dcterms:W3CDTF">2021-02-25T23:14:56Z</dcterms:created>
  <dcterms:modified xsi:type="dcterms:W3CDTF">2021-02-25T23:14:56Z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