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</w:t>
      </w:r>
      <w:r>
        <w:t xml:space="preserve"> </w:t>
      </w:r>
      <w:r>
        <w:t xml:space="preserve">Component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Dataset</w:t>
      </w:r>
      <w:r>
        <w:t xml:space="preserve"> </w:t>
      </w:r>
      <w:r>
        <w:t xml:space="preserve">datos.acp</w:t>
      </w:r>
    </w:p>
    <w:p>
      <w:pPr>
        <w:pStyle w:val="FirstParagraph"/>
      </w:pPr>
      <w:r>
        <w:t xml:space="preserve">This dataset contains 100 individuals and 6 variables.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study-of-the-outliers"/>
      <w:r>
        <w:t xml:space="preserve">1. Study of the outliers</w:t>
      </w:r>
      <w:bookmarkEnd w:id="20"/>
    </w:p>
    <w:p>
      <w:pPr>
        <w:pStyle w:val="FirstParagraph"/>
      </w:pPr>
      <w:r>
        <w:t xml:space="preserve">The analysis of the graphs does not detect any outlier.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inertia-distribution"/>
      <w:r>
        <w:t xml:space="preserve">2. Inertia distribution</w:t>
      </w:r>
      <w:bookmarkEnd w:id="21"/>
    </w:p>
    <w:p>
      <w:pPr>
        <w:pStyle w:val="FirstParagraph"/>
      </w:pPr>
      <w:r>
        <w:t xml:space="preserve">The inertia of the first dimensions shows if there are strong relationships between variables and suggests the number of dimensions that should be studied.</w:t>
      </w:r>
    </w:p>
    <w:p>
      <w:pPr>
        <w:pStyle w:val="BodyText"/>
      </w:pPr>
      <w:r>
        <w:t xml:space="preserve">The first two dimensions of analyse express</w:t>
      </w:r>
      <w:r>
        <w:t xml:space="preserve"> </w:t>
      </w:r>
      <w:r>
        <w:rPr>
          <w:b/>
        </w:rPr>
        <w:t xml:space="preserve">70.88%</w:t>
      </w:r>
      <w:r>
        <w:t xml:space="preserve"> </w:t>
      </w:r>
      <w:r>
        <w:t xml:space="preserve">of the total dataset inertia ; that means that 70.88% of the individuals (or variables) cloud total variability is explained by the plane.</w:t>
      </w:r>
      <w:r>
        <w:t xml:space="preserve"> </w:t>
      </w:r>
      <w:r>
        <w:t xml:space="preserve">This percentage is high and thus the first plane represents an important part of the data variability.</w:t>
      </w:r>
      <w:r>
        <w:t xml:space="preserve"> </w:t>
      </w:r>
      <w:r>
        <w:t xml:space="preserve">This value is strongly greater than the reference value that equals</w:t>
      </w:r>
      <w:r>
        <w:t xml:space="preserve"> </w:t>
      </w:r>
      <w:r>
        <w:rPr>
          <w:b/>
        </w:rPr>
        <w:t xml:space="preserve">44.61%</w:t>
      </w:r>
      <w:r>
        <w:t xml:space="preserve">, the variability explained by this plane is thus highly significant</w:t>
      </w:r>
      <w:r>
        <w:t xml:space="preserve"> </w:t>
      </w:r>
      <w:r>
        <w:t xml:space="preserve">(the reference value is the 0.95-quantile of the inertia percentages distribution obtained by simulating 571 data tables of equivalent size on the basis of a normal distribution).</w:t>
      </w:r>
    </w:p>
    <w:p>
      <w:pPr>
        <w:pStyle w:val="BodyText"/>
      </w:pPr>
      <w:r>
        <w:t xml:space="preserve">From these observations, it is probably not useful to interpret the next dimensions.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port_2021-02-25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2 - Decomposition of the total inertia</w:t>
      </w:r>
    </w:p>
    <w:p>
      <w:pPr>
        <w:pStyle w:val="BodyText"/>
      </w:pPr>
      <w:r>
        <w:t xml:space="preserve">An estimation of the right number of axis to interpret suggests to restrict the analysis to the description of the first 2 axis.</w:t>
      </w:r>
      <w:r>
        <w:t xml:space="preserve"> </w:t>
      </w:r>
      <w:r>
        <w:t xml:space="preserve">These axis present an amount of inertia greater than those obtained by the 0.95-quantile of random distributions (70.88% against 44.61%).</w:t>
      </w:r>
      <w:r>
        <w:t xml:space="preserve"> </w:t>
      </w:r>
      <w:r>
        <w:t xml:space="preserve">This observation suggests that only these axis are carrying a real information.</w:t>
      </w:r>
      <w:r>
        <w:t xml:space="preserve"> </w:t>
      </w:r>
      <w:r>
        <w:t xml:space="preserve">As a consequence, the description will stand to these axis.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description-of-the-plane-12"/>
      <w:r>
        <w:t xml:space="preserve">3. Description of the plane 1:2</w:t>
      </w:r>
      <w:bookmarkEnd w:id="23"/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port_2021-02-25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3.1 - Individuals factor map (PCA)</w:t>
      </w:r>
      <w:r>
        <w:t xml:space="preserve"> </w:t>
      </w:r>
      <w:r>
        <w:rPr>
          <w:i/>
        </w:rPr>
        <w:t xml:space="preserve">The labeled individuals are those with the higher contribution to the plane construction.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port_2021-02-25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3.2 - Variables factor map (PCA)</w:t>
      </w:r>
      <w:r>
        <w:t xml:space="preserve"> </w:t>
      </w:r>
      <w:r>
        <w:rPr>
          <w:i/>
        </w:rPr>
        <w:t xml:space="preserve">The labeled variables are those the best shown on the plane.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dimension 1</w:t>
      </w:r>
      <w:r>
        <w:t xml:space="preserve"> </w:t>
      </w:r>
      <w:r>
        <w:t xml:space="preserve">opposes individuals such as</w:t>
      </w:r>
      <w:r>
        <w:t xml:space="preserve"> </w:t>
      </w:r>
      <w:r>
        <w:rPr>
          <w:i/>
        </w:rPr>
        <w:t xml:space="preserve">45</w:t>
      </w:r>
      <w:r>
        <w:t xml:space="preserve">,</w:t>
      </w:r>
      <w:r>
        <w:t xml:space="preserve"> </w:t>
      </w:r>
      <w:r>
        <w:rPr>
          <w:i/>
        </w:rPr>
        <w:t xml:space="preserve">2</w:t>
      </w:r>
      <w:r>
        <w:t xml:space="preserve">,</w:t>
      </w:r>
      <w:r>
        <w:t xml:space="preserve"> </w:t>
      </w:r>
      <w:r>
        <w:rPr>
          <w:i/>
        </w:rPr>
        <w:t xml:space="preserve">82</w:t>
      </w:r>
      <w:r>
        <w:t xml:space="preserve">,</w:t>
      </w:r>
      <w:r>
        <w:t xml:space="preserve"> </w:t>
      </w:r>
      <w:r>
        <w:rPr>
          <w:i/>
        </w:rPr>
        <w:t xml:space="preserve">57</w:t>
      </w:r>
      <w:r>
        <w:t xml:space="preserve">,</w:t>
      </w:r>
      <w:r>
        <w:t xml:space="preserve"> </w:t>
      </w:r>
      <w:r>
        <w:rPr>
          <w:i/>
        </w:rPr>
        <w:t xml:space="preserve">71</w:t>
      </w:r>
      <w:r>
        <w:t xml:space="preserve">,</w:t>
      </w:r>
      <w:r>
        <w:t xml:space="preserve"> </w:t>
      </w:r>
      <w:r>
        <w:rPr>
          <w:i/>
        </w:rP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93</w:t>
      </w:r>
      <w:r>
        <w:t xml:space="preserve"> </w:t>
      </w:r>
      <w:r>
        <w:t xml:space="preserve">(to the right of the graph, characterized by a strongly positive coordinate on the axis)</w:t>
      </w:r>
      <w:r>
        <w:t xml:space="preserve"> </w:t>
      </w:r>
      <w:r>
        <w:t xml:space="preserve">to individuals such as</w:t>
      </w:r>
      <w:r>
        <w:t xml:space="preserve"> </w:t>
      </w:r>
      <w:r>
        <w:rPr>
          <w:i/>
        </w:rPr>
        <w:t xml:space="preserve">35</w:t>
      </w:r>
      <w:r>
        <w:t xml:space="preserve">,</w:t>
      </w:r>
      <w:r>
        <w:t xml:space="preserve"> </w:t>
      </w:r>
      <w:r>
        <w:rPr>
          <w:i/>
        </w:rPr>
        <w:t xml:space="preserve">22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50</w:t>
      </w:r>
      <w:r>
        <w:t xml:space="preserve"> </w:t>
      </w:r>
      <w:r>
        <w:t xml:space="preserve">(to the left of the graph, characterized by a strongly negative coordinate on the axis).</w:t>
      </w:r>
    </w:p>
    <w:p>
      <w:pPr>
        <w:pStyle w:val="BodyText"/>
      </w:pPr>
      <w:r>
        <w:t xml:space="preserve">The group in which the individuals</w:t>
      </w:r>
      <w:r>
        <w:t xml:space="preserve"> </w:t>
      </w:r>
      <w:r>
        <w:rPr>
          <w:i/>
        </w:rPr>
        <w:t xml:space="preserve">45</w:t>
      </w:r>
      <w:r>
        <w:t xml:space="preserve">,</w:t>
      </w:r>
      <w:r>
        <w:t xml:space="preserve"> </w:t>
      </w:r>
      <w:r>
        <w:rPr>
          <w:i/>
        </w:rPr>
        <w:t xml:space="preserve">2</w:t>
      </w:r>
      <w:r>
        <w:t xml:space="preserve">,</w:t>
      </w:r>
      <w:r>
        <w:t xml:space="preserve"> </w:t>
      </w:r>
      <w:r>
        <w:rPr>
          <w:i/>
        </w:rPr>
        <w:t xml:space="preserve">82</w:t>
      </w:r>
      <w:r>
        <w:t xml:space="preserve">,</w:t>
      </w:r>
      <w:r>
        <w:t xml:space="preserve"> </w:t>
      </w:r>
      <w:r>
        <w:rPr>
          <w:i/>
        </w:rPr>
        <w:t xml:space="preserve">57</w:t>
      </w:r>
      <w:r>
        <w:t xml:space="preserve">,</w:t>
      </w:r>
      <w:r>
        <w:t xml:space="preserve"> </w:t>
      </w:r>
      <w:r>
        <w:rPr>
          <w:i/>
        </w:rPr>
        <w:t xml:space="preserve">71</w:t>
      </w:r>
      <w:r>
        <w:t xml:space="preserve">,</w:t>
      </w:r>
      <w:r>
        <w:t xml:space="preserve"> </w:t>
      </w:r>
      <w:r>
        <w:rPr>
          <w:i/>
        </w:rP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93</w:t>
      </w:r>
      <w:r>
        <w:t xml:space="preserve"> </w:t>
      </w:r>
      <w:r>
        <w:t xml:space="preserve">stand (characterized by a positive coordinate on the axis) is sharing :</w:t>
      </w:r>
    </w:p>
    <w:p>
      <w:pPr>
        <w:pStyle w:val="Compact"/>
        <w:numPr>
          <w:numId w:val="1001"/>
          <w:ilvl w:val="0"/>
        </w:numPr>
      </w:pPr>
      <w:r>
        <w:t xml:space="preserve">high values for the variables</w:t>
      </w:r>
      <w:r>
        <w:t xml:space="preserve"> </w:t>
      </w:r>
      <w:r>
        <w:rPr>
          <w:i/>
        </w:rPr>
        <w:t xml:space="preserve">x2</w:t>
      </w:r>
      <w:r>
        <w:t xml:space="preserve">,</w:t>
      </w:r>
      <w:r>
        <w:t xml:space="preserve"> </w:t>
      </w:r>
      <w:r>
        <w:rPr>
          <w:i/>
        </w:rPr>
        <w:t xml:space="preserve">x6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x4</w:t>
      </w:r>
      <w:r>
        <w:t xml:space="preserve"> </w:t>
      </w:r>
      <w:r>
        <w:t xml:space="preserve">(variables are sorted from the strongest).</w:t>
      </w:r>
    </w:p>
    <w:p>
      <w:pPr>
        <w:pStyle w:val="Compact"/>
        <w:numPr>
          <w:numId w:val="1001"/>
          <w:ilvl w:val="0"/>
        </w:numPr>
      </w:pPr>
      <w:r>
        <w:t xml:space="preserve">low values for the variables</w:t>
      </w:r>
      <w:r>
        <w:t xml:space="preserve"> </w:t>
      </w:r>
      <w:r>
        <w:rPr>
          <w:i/>
        </w:rPr>
        <w:t xml:space="preserve">x3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x1</w:t>
      </w:r>
      <w:r>
        <w:t xml:space="preserve"> </w:t>
      </w:r>
      <w:r>
        <w:t xml:space="preserve">(variables are sorted from the weakest).</w:t>
      </w:r>
    </w:p>
    <w:p>
      <w:pPr>
        <w:pStyle w:val="FirstParagraph"/>
      </w:pPr>
      <w:r>
        <w:t xml:space="preserve">The group in which the individuals</w:t>
      </w:r>
      <w:r>
        <w:t xml:space="preserve"> </w:t>
      </w:r>
      <w:r>
        <w:rPr>
          <w:i/>
        </w:rPr>
        <w:t xml:space="preserve">35</w:t>
      </w:r>
      <w:r>
        <w:t xml:space="preserve">,</w:t>
      </w:r>
      <w:r>
        <w:t xml:space="preserve"> </w:t>
      </w:r>
      <w:r>
        <w:rPr>
          <w:i/>
        </w:rPr>
        <w:t xml:space="preserve">22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50</w:t>
      </w:r>
      <w:r>
        <w:t xml:space="preserve"> </w:t>
      </w:r>
      <w:r>
        <w:t xml:space="preserve">stand (characterized by a negative coordinate on the axis) is sharing :</w:t>
      </w:r>
    </w:p>
    <w:p>
      <w:pPr>
        <w:pStyle w:val="Compact"/>
        <w:numPr>
          <w:numId w:val="1002"/>
          <w:ilvl w:val="0"/>
        </w:numPr>
      </w:pPr>
      <w:r>
        <w:t xml:space="preserve">high values for the variables</w:t>
      </w:r>
      <w:r>
        <w:t xml:space="preserve"> </w:t>
      </w:r>
      <w:r>
        <w:rPr>
          <w:i/>
        </w:rPr>
        <w:t xml:space="preserve">x3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x1</w:t>
      </w:r>
      <w:r>
        <w:t xml:space="preserve"> </w:t>
      </w:r>
      <w:r>
        <w:t xml:space="preserve">(variables are sorted from the strongest).</w:t>
      </w:r>
    </w:p>
    <w:p>
      <w:pPr>
        <w:pStyle w:val="Compact"/>
        <w:numPr>
          <w:numId w:val="1002"/>
          <w:ilvl w:val="0"/>
        </w:numPr>
      </w:pPr>
      <w:r>
        <w:t xml:space="preserve">low values for the variables</w:t>
      </w:r>
      <w:r>
        <w:t xml:space="preserve"> </w:t>
      </w:r>
      <w:r>
        <w:rPr>
          <w:i/>
        </w:rPr>
        <w:t xml:space="preserve">x4</w:t>
      </w:r>
      <w:r>
        <w:t xml:space="preserve">,</w:t>
      </w:r>
      <w:r>
        <w:t xml:space="preserve"> </w:t>
      </w:r>
      <w:r>
        <w:rPr>
          <w:i/>
        </w:rPr>
        <w:t xml:space="preserve">x6</w:t>
      </w:r>
      <w:r>
        <w:t xml:space="preserve">,</w:t>
      </w:r>
      <w:r>
        <w:t xml:space="preserve"> </w:t>
      </w:r>
      <w:r>
        <w:rPr>
          <w:i/>
        </w:rPr>
        <w:t xml:space="preserve">x5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x2</w:t>
      </w:r>
      <w:r>
        <w:t xml:space="preserve"> </w:t>
      </w:r>
      <w:r>
        <w:t xml:space="preserve">(variables are sorted from the weakest).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dimension 2</w:t>
      </w:r>
      <w:r>
        <w:t xml:space="preserve"> </w:t>
      </w:r>
      <w:r>
        <w:t xml:space="preserve">opposes individuals such as</w:t>
      </w:r>
      <w:r>
        <w:t xml:space="preserve"> </w:t>
      </w:r>
      <w:r>
        <w:rPr>
          <w:i/>
        </w:rPr>
        <w:t xml:space="preserve">5</w:t>
      </w:r>
      <w:r>
        <w:t xml:space="preserve">,</w:t>
      </w:r>
      <w:r>
        <w:t xml:space="preserve"> </w:t>
      </w:r>
      <w:r>
        <w:rPr>
          <w:i/>
        </w:rPr>
        <w:t xml:space="preserve">42</w:t>
      </w:r>
      <w:r>
        <w:t xml:space="preserve">,</w:t>
      </w:r>
      <w:r>
        <w:t xml:space="preserve"> </w:t>
      </w:r>
      <w:r>
        <w:rPr>
          <w:i/>
        </w:rPr>
        <w:t xml:space="preserve">28</w:t>
      </w:r>
      <w:r>
        <w:t xml:space="preserve">,</w:t>
      </w:r>
      <w:r>
        <w:t xml:space="preserve"> </w:t>
      </w:r>
      <w:r>
        <w:rPr>
          <w:i/>
        </w:rPr>
        <w:t xml:space="preserve">19</w:t>
      </w:r>
      <w:r>
        <w:t xml:space="preserve">,</w:t>
      </w:r>
      <w:r>
        <w:t xml:space="preserve"> </w:t>
      </w:r>
      <w:r>
        <w:rPr>
          <w:i/>
        </w:rPr>
        <w:t xml:space="preserve">7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90</w:t>
      </w:r>
      <w:r>
        <w:t xml:space="preserve"> </w:t>
      </w:r>
      <w:r>
        <w:t xml:space="preserve">(to the top of the graph, characterized by a strongly positive coordinate on the axis)</w:t>
      </w:r>
      <w:r>
        <w:t xml:space="preserve"> </w:t>
      </w:r>
      <w:r>
        <w:t xml:space="preserve">to individuals such as</w:t>
      </w:r>
      <w:r>
        <w:t xml:space="preserve"> </w:t>
      </w:r>
      <w:r>
        <w:rPr>
          <w:i/>
        </w:rPr>
        <w:t xml:space="preserve">35</w:t>
      </w:r>
      <w:r>
        <w:t xml:space="preserve">,</w:t>
      </w:r>
      <w:r>
        <w:t xml:space="preserve"> </w:t>
      </w:r>
      <w:r>
        <w:rPr>
          <w:i/>
        </w:rPr>
        <w:t xml:space="preserve">22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50</w:t>
      </w:r>
      <w:r>
        <w:t xml:space="preserve"> </w:t>
      </w:r>
      <w:r>
        <w:t xml:space="preserve">(to the bottom of the graph, characterized by a strongly negative coordinate on the axis).</w:t>
      </w:r>
    </w:p>
    <w:p>
      <w:pPr>
        <w:pStyle w:val="BodyText"/>
      </w:pPr>
      <w:r>
        <w:t xml:space="preserve">The group in which the individuals</w:t>
      </w:r>
      <w:r>
        <w:t xml:space="preserve"> </w:t>
      </w:r>
      <w:r>
        <w:rPr>
          <w:i/>
        </w:rPr>
        <w:t xml:space="preserve">5</w:t>
      </w:r>
      <w:r>
        <w:t xml:space="preserve">,</w:t>
      </w:r>
      <w:r>
        <w:t xml:space="preserve"> </w:t>
      </w:r>
      <w:r>
        <w:rPr>
          <w:i/>
        </w:rPr>
        <w:t xml:space="preserve">42</w:t>
      </w:r>
      <w:r>
        <w:t xml:space="preserve">,</w:t>
      </w:r>
      <w:r>
        <w:t xml:space="preserve"> </w:t>
      </w:r>
      <w:r>
        <w:rPr>
          <w:i/>
        </w:rPr>
        <w:t xml:space="preserve">28</w:t>
      </w:r>
      <w:r>
        <w:t xml:space="preserve">,</w:t>
      </w:r>
      <w:r>
        <w:t xml:space="preserve"> </w:t>
      </w:r>
      <w:r>
        <w:rPr>
          <w:i/>
        </w:rPr>
        <w:t xml:space="preserve">19</w:t>
      </w:r>
      <w:r>
        <w:t xml:space="preserve">,</w:t>
      </w:r>
      <w:r>
        <w:t xml:space="preserve"> </w:t>
      </w:r>
      <w:r>
        <w:rPr>
          <w:i/>
        </w:rPr>
        <w:t xml:space="preserve">7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90</w:t>
      </w:r>
      <w:r>
        <w:t xml:space="preserve"> </w:t>
      </w:r>
      <w:r>
        <w:t xml:space="preserve">stand (characterized by a positive coordinate on the axis) is sharing :</w:t>
      </w:r>
    </w:p>
    <w:p>
      <w:pPr>
        <w:pStyle w:val="Compact"/>
        <w:numPr>
          <w:numId w:val="1003"/>
          <w:ilvl w:val="0"/>
        </w:numPr>
      </w:pPr>
      <w:r>
        <w:t xml:space="preserve">high values for the variables</w:t>
      </w:r>
      <w:r>
        <w:t xml:space="preserve"> </w:t>
      </w:r>
      <w:r>
        <w:rPr>
          <w:i/>
        </w:rPr>
        <w:t xml:space="preserve">x5</w:t>
      </w:r>
      <w:r>
        <w:t xml:space="preserve">,</w:t>
      </w:r>
      <w:r>
        <w:t xml:space="preserve"> </w:t>
      </w:r>
      <w:r>
        <w:rPr>
          <w:i/>
        </w:rPr>
        <w:t xml:space="preserve">x3</w:t>
      </w:r>
      <w:r>
        <w:t xml:space="preserve">,</w:t>
      </w:r>
      <w:r>
        <w:t xml:space="preserve"> </w:t>
      </w:r>
      <w:r>
        <w:rPr>
          <w:i/>
        </w:rPr>
        <w:t xml:space="preserve">x4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x1</w:t>
      </w:r>
      <w:r>
        <w:t xml:space="preserve"> </w:t>
      </w:r>
      <w:r>
        <w:t xml:space="preserve">(variables are sorted from the strongest).</w:t>
      </w:r>
    </w:p>
    <w:p>
      <w:pPr>
        <w:pStyle w:val="Compact"/>
        <w:numPr>
          <w:numId w:val="1003"/>
          <w:ilvl w:val="0"/>
        </w:numPr>
      </w:pPr>
      <w:r>
        <w:t xml:space="preserve">low values for the variable</w:t>
      </w:r>
      <w:r>
        <w:t xml:space="preserve"> </w:t>
      </w:r>
      <w:r>
        <w:rPr>
          <w:i/>
        </w:rPr>
        <w:t xml:space="preserve">x2</w:t>
      </w:r>
      <w:r>
        <w:t xml:space="preserve">.</w:t>
      </w:r>
    </w:p>
    <w:p>
      <w:pPr>
        <w:pStyle w:val="FirstParagraph"/>
      </w:pPr>
      <w:r>
        <w:t xml:space="preserve">The group in which the individuals</w:t>
      </w:r>
      <w:r>
        <w:t xml:space="preserve"> </w:t>
      </w:r>
      <w:r>
        <w:rPr>
          <w:i/>
        </w:rPr>
        <w:t xml:space="preserve">35</w:t>
      </w:r>
      <w:r>
        <w:t xml:space="preserve">,</w:t>
      </w:r>
      <w:r>
        <w:t xml:space="preserve"> </w:t>
      </w:r>
      <w:r>
        <w:rPr>
          <w:i/>
        </w:rPr>
        <w:t xml:space="preserve">22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50</w:t>
      </w:r>
      <w:r>
        <w:t xml:space="preserve"> </w:t>
      </w:r>
      <w:r>
        <w:t xml:space="preserve">stand (characterized by a negative coordinate on the axis) is sharing :</w:t>
      </w:r>
    </w:p>
    <w:p>
      <w:pPr>
        <w:pStyle w:val="Compact"/>
        <w:numPr>
          <w:numId w:val="1004"/>
          <w:ilvl w:val="0"/>
        </w:numPr>
      </w:pPr>
      <w:r>
        <w:t xml:space="preserve">high values for the variables</w:t>
      </w:r>
      <w:r>
        <w:t xml:space="preserve"> </w:t>
      </w:r>
      <w:r>
        <w:rPr>
          <w:i/>
        </w:rPr>
        <w:t xml:space="preserve">x3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x1</w:t>
      </w:r>
      <w:r>
        <w:t xml:space="preserve"> </w:t>
      </w:r>
      <w:r>
        <w:t xml:space="preserve">(variables are sorted from the strongest).</w:t>
      </w:r>
    </w:p>
    <w:p>
      <w:pPr>
        <w:pStyle w:val="Compact"/>
        <w:numPr>
          <w:numId w:val="1004"/>
          <w:ilvl w:val="0"/>
        </w:numPr>
      </w:pPr>
      <w:r>
        <w:t xml:space="preserve">low values for the variables</w:t>
      </w:r>
      <w:r>
        <w:t xml:space="preserve"> </w:t>
      </w:r>
      <w:r>
        <w:rPr>
          <w:i/>
        </w:rPr>
        <w:t xml:space="preserve">x4</w:t>
      </w:r>
      <w:r>
        <w:t xml:space="preserve">,</w:t>
      </w:r>
      <w:r>
        <w:t xml:space="preserve"> </w:t>
      </w:r>
      <w:r>
        <w:rPr>
          <w:i/>
        </w:rPr>
        <w:t xml:space="preserve">x6</w:t>
      </w:r>
      <w:r>
        <w:t xml:space="preserve">,</w:t>
      </w:r>
      <w:r>
        <w:t xml:space="preserve"> </w:t>
      </w:r>
      <w:r>
        <w:rPr>
          <w:i/>
        </w:rPr>
        <w:t xml:space="preserve">x5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x2</w:t>
      </w:r>
      <w:r>
        <w:t xml:space="preserve"> </w:t>
      </w:r>
      <w:r>
        <w:t xml:space="preserve">(variables are sorted from the weakest).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nnexes"/>
      <w:r>
        <w:t xml:space="preserve">Annexes</w:t>
      </w:r>
      <w:bookmarkEnd w:id="26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</dc:title>
  <dc:creator>Dataset datos.acp</dc:creator>
  <cp:keywords/>
  <dcterms:created xsi:type="dcterms:W3CDTF">2021-02-25T23:09:51Z</dcterms:created>
  <dcterms:modified xsi:type="dcterms:W3CDTF">2021-02-25T23:09:51Z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