
<file path=[Content_Types].xml><?xml version="1.0" encoding="utf-8"?>
<Types xmlns="http://schemas.openxmlformats.org/package/2006/content-types">
  <Default Extension="ttf" ContentType="application/x-font-tt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792484" cy="3946752"/>
            <wp:docPr id="1" name="Picture 1"/>
            <wp:cNvGraphicFramePr>
              <a:graphicFrameLocks noChangeAspect="1"/>
            </wp:cNvGraphicFramePr>
            <a:graphic>
              <a:graphicData uri="http://schemas.openxmlformats.org/drawingml/2006/picture">
                <pic:pic>
                  <pic:nvPicPr>
                    <pic:cNvPr id="0" name="cover-illustration.png"/>
                    <pic:cNvPicPr/>
                  </pic:nvPicPr>
                  <pic:blipFill>
                    <a:blip r:embed="rId9"/>
                    <a:stretch>
                      <a:fillRect/>
                    </a:stretch>
                  </pic:blipFill>
                  <pic:spPr>
                    <a:xfrm>
                      <a:off x="0" y="0"/>
                      <a:ext cx="4792484" cy="3946752"/>
                    </a:xfrm>
                    <a:prstGeom prst="rect"/>
                  </pic:spPr>
                </pic:pic>
              </a:graphicData>
            </a:graphic>
          </wp:inline>
        </w:drawing>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0"/>
        <w:gridCol w:w="5100"/>
      </w:tblGrid>
      <w:tr>
        <w:trPr>
          <w:trHeight w:val="1928" w:hRule="atLeast"/>
        </w:trPr>
        <w:tc>
          <w:tcPr>
            <w:tcW w:type="dxa" w:w="3515"/>
          </w:tcPr>
          <w:p>
            <w:pPr>
              <w:jc w:val="right"/>
            </w:pPr>
            <w:r>
              <w:drawing>
                <wp:inline xmlns:a="http://schemas.openxmlformats.org/drawingml/2006/main" xmlns:pic="http://schemas.openxmlformats.org/drawingml/2006/picture">
                  <wp:extent cx="2088000" cy="988856"/>
                  <wp:docPr id="2" name="Picture 2"/>
                  <wp:cNvGraphicFramePr>
                    <a:graphicFrameLocks noChangeAspect="1"/>
                  </wp:cNvGraphicFramePr>
                  <a:graphic>
                    <a:graphicData uri="http://schemas.openxmlformats.org/drawingml/2006/picture">
                      <pic:pic>
                        <pic:nvPicPr>
                          <pic:cNvPr id="0" name="progressa-logo.png"/>
                          <pic:cNvPicPr/>
                        </pic:nvPicPr>
                        <pic:blipFill>
                          <a:blip r:embed="rId10"/>
                          <a:stretch>
                            <a:fillRect/>
                          </a:stretch>
                        </pic:blipFill>
                        <pic:spPr>
                          <a:xfrm>
                            <a:off x="0" y="0"/>
                            <a:ext cx="2088000" cy="988856"/>
                          </a:xfrm>
                          <a:prstGeom prst="rect"/>
                        </pic:spPr>
                      </pic:pic>
                    </a:graphicData>
                  </a:graphic>
                </wp:inline>
              </w:drawing>
            </w:r>
          </w:p>
        </w:tc>
        <w:tc>
          <w:tcPr>
            <w:tcW w:type="dxa" w:w="850"/>
            <w:shd w:val="clear" w:color="auto" w:fill="0091C4"/>
          </w:tcPr>
          <w:p>
            <w:r/>
          </w:p>
        </w:tc>
      </w:tr>
    </w:tbl>
    <w:p>
      <w:pPr>
        <w:spacing w:after="200"/>
      </w:pPr>
    </w:p>
    <w:tbl>
      <w:tblPr>
        <w:tblW w:type="auto" w:w="0"/>
        <w:jc w:val="center"/>
        <w:tblLayout w:type="fixed"/>
        <w:tblLook w:firstColumn="1" w:firstRow="1" w:lastColumn="0" w:lastRow="0" w:noHBand="0" w:noVBand="1" w:val="04A0"/>
        <w:tblBorders>
          <w:top w:val="single" w:sz="20" w:color="000000"/>
          <w:left w:val="none" w:sz="0" w:color="000000"/>
          <w:bottom w:val="single" w:sz="20" w:color="000000"/>
          <w:right w:val="none" w:sz="0" w:color="000000"/>
          <w:insideH w:val="none" w:sz="0" w:color="000000"/>
          <w:insideV w:val="none" w:sz="0" w:color="000000"/>
        </w:tblBorders>
        <w:tblCellMar>
          <w:top w:w="340" w:type="dxa"/>
          <w:start w:w="0" w:type="dxa"/>
          <w:bottom w:w="340" w:type="dxa"/>
          <w:end w:w="0" w:type="dxa"/>
        </w:tblCellMar>
      </w:tblPr>
      <w:tblGrid>
        <w:gridCol w:w="10200"/>
      </w:tblGrid>
      <w:tr>
        <w:tc>
          <w:tcPr>
            <w:tcW w:type="dxa" w:w="10199"/>
          </w:tcPr>
          <w:p>
            <w:pPr>
              <w:pStyle w:val="ManualTitle"/>
            </w:pPr>
            <w:r>
              <w:rPr>
                <w:rFonts w:ascii="Open Sans" w:hAnsi="Open Sans"/>
                <w:b/>
                <w:i w:val="0"/>
                <w:sz w:val="52"/>
              </w:rPr>
              <w:t>Fixcal · Progressa Corporate Group</w:t>
            </w:r>
          </w:p>
          <w:p>
            <w:pPr>
              <w:pStyle w:val="ManualSubtitle"/>
            </w:pPr>
            <w:r>
              <w:rPr>
                <w:rFonts w:ascii="Open Sans" w:hAnsi="Open Sans"/>
                <w:b w:val="0"/>
                <w:i w:val="0"/>
                <w:sz w:val="26"/>
              </w:rPr>
              <w:t>Guía completa, de arriba a abajo, de cada función disponible para una empresa cliente en el Portal Fixcal.</w:t>
            </w:r>
          </w:p>
        </w:tc>
      </w:tr>
    </w:tbl>
    <w:p>
      <w:pPr>
        <w:pStyle w:val="ManualCoverMeta"/>
      </w:pPr>
      <w:r>
        <w:rPr>
          <w:rFonts w:ascii="Open Sans" w:hAnsi="Open Sans"/>
          <w:b/>
          <w:i w:val="0"/>
        </w:rPr>
        <w:t xml:space="preserve">Para: </w:t>
      </w:r>
      <w:r>
        <w:rPr>
          <w:rFonts w:ascii="Open Sans" w:hAnsi="Open Sans"/>
          <w:b w:val="0"/>
          <w:i w:val="0"/>
        </w:rPr>
        <w:t>dueños, contadores y personal administrativo de la empresa</w:t>
      </w:r>
    </w:p>
    <w:p>
      <w:pPr>
        <w:pStyle w:val="ManualCoverMeta"/>
      </w:pPr>
      <w:r>
        <w:rPr>
          <w:rFonts w:ascii="Open Sans" w:hAnsi="Open Sans"/>
          <w:b/>
          <w:i w:val="0"/>
        </w:rPr>
        <w:t xml:space="preserve">Cubre: </w:t>
      </w:r>
      <w:r>
        <w:rPr>
          <w:rFonts w:ascii="Open Sans" w:hAnsi="Open Sans"/>
          <w:b w:val="0"/>
          <w:i w:val="0"/>
        </w:rPr>
        <w:t>el portal de empresas (no la consola de Progressa ni el panel de aliados)</w:t>
      </w:r>
    </w:p>
    <w:p>
      <w:r>
        <w:br w:type="page"/>
      </w:r>
    </w:p>
    <w:p>
      <w:pPr>
        <w:pStyle w:val="ManualH1"/>
      </w:pPr>
      <w:r>
        <w:rPr>
          <w:rFonts w:ascii="Open Sans" w:hAnsi="Open Sans"/>
          <w:b/>
          <w:i w:val="0"/>
        </w:rPr>
        <w:t>Contenido</w:t>
      </w:r>
    </w:p>
    <w:tbl>
      <w:tblPr>
        <w:tblW w:type="auto" w:w="0"/>
        <w:jc w:val="center"/>
        <w:tblLayout w:type="fixed"/>
        <w:tblLook w:firstColumn="1" w:firstRow="1" w:lastColumn="0" w:lastRow="0" w:noHBand="0" w:noVBand="1" w:val="04A0"/>
        <w:tblBorders>
          <w:top w:val="single" w:sz="6" w:space="0" w:color="E2E5E9"/>
          <w:left w:val="single" w:sz="6" w:space="0" w:color="E2E5E9"/>
          <w:bottom w:val="single" w:sz="6" w:space="0" w:color="E2E5E9"/>
          <w:right w:val="single" w:sz="6" w:space="0" w:color="E2E5E9"/>
          <w:insideH w:val="single" w:sz="6" w:space="0" w:color="E2E5E9"/>
          <w:insideV w:val="single" w:sz="6" w:space="0" w:color="E2E5E9"/>
        </w:tblBorders>
        <w:tblCellMar>
          <w:top w:w="60" w:type="dxa"/>
          <w:start w:w="110" w:type="dxa"/>
          <w:bottom w:w="60" w:type="dxa"/>
          <w:end w:w="110" w:type="dxa"/>
        </w:tblCellMar>
        <w:tblLayout w:type="fixed"/>
        <w:tblW w:w="10199" w:type="dxa"/>
      </w:tblPr>
      <w:tblGrid>
        <w:gridCol w:w="5099"/>
        <w:gridCol w:w="5099"/>
      </w:tblGrid>
      <w:tr>
        <w:tc>
          <w:tcPr>
            <w:tcW w:w="5099" w:type="dxa"/>
          </w:tcPr>
          <w:p>
            <w:pPr>
              <w:pStyle w:val="ManualTableCell"/>
            </w:pPr>
            <w:r>
              <w:rPr>
                <w:rFonts w:ascii="Open Sans" w:hAnsi="Open Sans"/>
                <w:b/>
                <w:i w:val="0"/>
                <w:color w:val="073763"/>
              </w:rPr>
              <w:t>EMPEZANDO</w:t>
            </w:r>
          </w:p>
          <w:p>
            <w:pPr>
              <w:pStyle w:val="ManualTableCell"/>
            </w:pPr>
            <w:r>
              <w:rPr>
                <w:rFonts w:ascii="Open Sans" w:hAnsi="Open Sans"/>
                <w:b w:val="0"/>
                <w:i w:val="0"/>
              </w:rPr>
              <w:t>Bienvenida</w:t>
            </w:r>
          </w:p>
          <w:p>
            <w:pPr>
              <w:pStyle w:val="ManualTableCell"/>
            </w:pPr>
            <w:r>
              <w:rPr>
                <w:rFonts w:ascii="Open Sans" w:hAnsi="Open Sans"/>
                <w:b w:val="0"/>
                <w:i w:val="0"/>
              </w:rPr>
              <w:t>Primeros pasos</w:t>
            </w:r>
          </w:p>
          <w:p>
            <w:pPr>
              <w:pStyle w:val="ManualTableCell"/>
            </w:pPr>
            <w:r>
              <w:rPr>
                <w:rFonts w:ascii="Open Sans" w:hAnsi="Open Sans"/>
                <w:b w:val="0"/>
                <w:i w:val="0"/>
              </w:rPr>
              <w:t>Cómo moverse en el portal</w:t>
            </w:r>
          </w:p>
          <w:p>
            <w:pPr>
              <w:pStyle w:val="ManualTableCell"/>
            </w:pPr>
            <w:r>
              <w:rPr>
                <w:rFonts w:ascii="Open Sans" w:hAnsi="Open Sans"/>
                <w:b/>
                <w:i w:val="0"/>
                <w:color w:val="073763"/>
              </w:rPr>
              <w:t>COMPROBANTES FISCALES</w:t>
            </w:r>
          </w:p>
          <w:p>
            <w:pPr>
              <w:pStyle w:val="ManualTableCell"/>
            </w:pPr>
            <w:r>
              <w:rPr>
                <w:rFonts w:ascii="Open Sans" w:hAnsi="Open Sans"/>
                <w:b w:val="0"/>
                <w:i w:val="0"/>
              </w:rPr>
              <w:t>Panel principal</w:t>
            </w:r>
          </w:p>
          <w:p>
            <w:pPr>
              <w:pStyle w:val="ManualTableCell"/>
            </w:pPr>
            <w:r>
              <w:rPr>
                <w:rFonts w:ascii="Open Sans" w:hAnsi="Open Sans"/>
                <w:b w:val="0"/>
                <w:i w:val="0"/>
              </w:rPr>
              <w:t>Emisiones</w:t>
            </w:r>
          </w:p>
          <w:p>
            <w:pPr>
              <w:pStyle w:val="ManualTableCell"/>
            </w:pPr>
            <w:r>
              <w:rPr>
                <w:rFonts w:ascii="Open Sans" w:hAnsi="Open Sans"/>
                <w:b w:val="0"/>
                <w:i w:val="0"/>
              </w:rPr>
              <w:t>Seguimiento</w:t>
            </w:r>
          </w:p>
          <w:p>
            <w:pPr>
              <w:pStyle w:val="ManualTableCell"/>
            </w:pPr>
            <w:r>
              <w:rPr>
                <w:rFonts w:ascii="Open Sans" w:hAnsi="Open Sans"/>
                <w:b w:val="0"/>
                <w:i w:val="0"/>
              </w:rPr>
              <w:t>Recepciones</w:t>
            </w:r>
          </w:p>
          <w:p>
            <w:pPr>
              <w:pStyle w:val="ManualTableCell"/>
            </w:pPr>
            <w:r>
              <w:rPr>
                <w:rFonts w:ascii="Open Sans" w:hAnsi="Open Sans"/>
                <w:b w:val="0"/>
                <w:i w:val="0"/>
              </w:rPr>
              <w:t>Ventas y Compras</w:t>
            </w:r>
          </w:p>
          <w:p>
            <w:pPr>
              <w:pStyle w:val="ManualTableCell"/>
            </w:pPr>
            <w:r>
              <w:rPr>
                <w:rFonts w:ascii="Open Sans" w:hAnsi="Open Sans"/>
                <w:b w:val="0"/>
                <w:i w:val="0"/>
              </w:rPr>
              <w:t>Reportes</w:t>
            </w:r>
          </w:p>
        </w:tc>
        <w:tc>
          <w:tcPr>
            <w:tcW w:w="5099" w:type="dxa"/>
          </w:tcPr>
          <w:p>
            <w:pPr>
              <w:pStyle w:val="ManualTableCell"/>
            </w:pPr>
            <w:r>
              <w:rPr>
                <w:rFonts w:ascii="Open Sans" w:hAnsi="Open Sans"/>
                <w:b/>
                <w:i w:val="0"/>
                <w:color w:val="073763"/>
              </w:rPr>
              <w:t>CUENTA Y EQUIPO</w:t>
            </w:r>
          </w:p>
          <w:p>
            <w:pPr>
              <w:pStyle w:val="ManualTableCell"/>
            </w:pPr>
            <w:r>
              <w:rPr>
                <w:rFonts w:ascii="Open Sans" w:hAnsi="Open Sans"/>
                <w:b w:val="0"/>
                <w:i w:val="0"/>
              </w:rPr>
              <w:t>Usuarios</w:t>
            </w:r>
          </w:p>
          <w:p>
            <w:pPr>
              <w:pStyle w:val="ManualTableCell"/>
            </w:pPr>
            <w:r>
              <w:rPr>
                <w:rFonts w:ascii="Open Sans" w:hAnsi="Open Sans"/>
                <w:b w:val="0"/>
                <w:i w:val="0"/>
              </w:rPr>
              <w:t>Facturación con Fixcal</w:t>
            </w:r>
          </w:p>
          <w:p>
            <w:pPr>
              <w:pStyle w:val="ManualTableCell"/>
            </w:pPr>
            <w:r>
              <w:rPr>
                <w:rFonts w:ascii="Open Sans" w:hAnsi="Open Sans"/>
                <w:b w:val="0"/>
                <w:i w:val="0"/>
              </w:rPr>
              <w:t>Configuración</w:t>
            </w:r>
          </w:p>
          <w:p>
            <w:pPr>
              <w:pStyle w:val="ManualTableCell"/>
            </w:pPr>
            <w:r>
              <w:rPr>
                <w:rFonts w:ascii="Open Sans" w:hAnsi="Open Sans"/>
                <w:b w:val="0"/>
                <w:i w:val="0"/>
              </w:rPr>
              <w:t>Mi perfil</w:t>
            </w:r>
          </w:p>
          <w:p>
            <w:pPr>
              <w:pStyle w:val="ManualTableCell"/>
            </w:pPr>
            <w:r>
              <w:rPr>
                <w:rFonts w:ascii="Open Sans" w:hAnsi="Open Sans"/>
                <w:b w:val="0"/>
                <w:i w:val="0"/>
              </w:rPr>
              <w:t>Varias empresas</w:t>
            </w:r>
          </w:p>
          <w:p>
            <w:pPr>
              <w:pStyle w:val="ManualTableCell"/>
            </w:pPr>
            <w:r>
              <w:rPr>
                <w:rFonts w:ascii="Open Sans" w:hAnsi="Open Sans"/>
                <w:b/>
                <w:i w:val="0"/>
                <w:color w:val="073763"/>
              </w:rPr>
              <w:t>REFERENCIA</w:t>
            </w:r>
          </w:p>
          <w:p>
            <w:pPr>
              <w:pStyle w:val="ManualTableCell"/>
            </w:pPr>
            <w:r>
              <w:rPr>
                <w:rFonts w:ascii="Open Sans" w:hAnsi="Open Sans"/>
                <w:b w:val="0"/>
                <w:i w:val="0"/>
              </w:rPr>
              <w:t>Qué depende de su plan</w:t>
            </w:r>
          </w:p>
          <w:p>
            <w:pPr>
              <w:pStyle w:val="ManualTableCell"/>
            </w:pPr>
            <w:r>
              <w:rPr>
                <w:rFonts w:ascii="Open Sans" w:hAnsi="Open Sans"/>
                <w:b w:val="0"/>
                <w:i w:val="0"/>
              </w:rPr>
              <w:t>Glosario</w:t>
            </w:r>
          </w:p>
        </w:tc>
      </w:tr>
    </w:tbl>
    <w:p>
      <w:pPr>
        <w:spacing w:after="80"/>
      </w:pPr>
    </w:p>
    <w:p>
      <w:pPr>
        <w:pStyle w:val="ManualBar"/>
        <w:shd w:val="clear" w:color="auto" w:fill="0091C4"/>
        <w:pBdr>
          <w:top w:val="single" w:sz="2" w:space="6" w:color="0091C4"/>
          <w:left w:val="single" w:sz="2" w:space="6" w:color="0091C4"/>
          <w:bottom w:val="single" w:sz="2" w:space="6" w:color="0091C4"/>
          <w:right w:val="single" w:sz="2" w:space="6" w:color="0091C4"/>
        </w:pBdr>
        <w:keepNext/>
      </w:pPr>
      <w:r>
        <w:rPr>
          <w:rFonts w:ascii="Open Sans" w:hAnsi="Open Sans"/>
          <w:b/>
          <w:color w:val="FFFFFF"/>
        </w:rPr>
        <w:t>EMPEZANDO</w:t>
      </w:r>
    </w:p>
    <w:p>
      <w:pPr>
        <w:pStyle w:val="ManualH1"/>
      </w:pPr>
      <w:r>
        <w:rPr>
          <w:rFonts w:ascii="Open Sans" w:hAnsi="Open Sans"/>
          <w:b/>
          <w:i w:val="0"/>
        </w:rPr>
        <w:t>Bienvenida, primeros pasos y navegación.</w:t>
      </w:r>
    </w:p>
    <w:p>
      <w:pPr>
        <w:pStyle w:val="ManualH2"/>
        <w:keepNext/>
      </w:pPr>
      <w:r>
        <w:rPr>
          <w:rFonts w:ascii="Open Sans" w:hAnsi="Open Sans"/>
          <w:b/>
          <w:i w:val="0"/>
        </w:rPr>
        <w:t>Bienvenida</w:t>
      </w:r>
    </w:p>
    <w:p>
      <w:r>
        <w:rPr>
          <w:rFonts w:ascii="Open Sans" w:hAnsi="Open Sans"/>
          <w:b w:val="0"/>
          <w:i w:val="0"/>
        </w:rPr>
        <w:t xml:space="preserve">El Portal Fixcal es el lugar donde su empresa emite, recibe y da seguimiento a sus </w:t>
      </w:r>
      <w:r>
        <w:rPr>
          <w:rFonts w:ascii="Open Sans" w:hAnsi="Open Sans"/>
          <w:b/>
          <w:i w:val="0"/>
        </w:rPr>
        <w:t>comprobantes fiscales electrónicos (e-CF)</w:t>
      </w:r>
      <w:r>
        <w:rPr>
          <w:rFonts w:ascii="Open Sans" w:hAnsi="Open Sans"/>
          <w:b w:val="0"/>
          <w:i w:val="0"/>
        </w:rPr>
        <w:t xml:space="preserve"> ante la DGII, además de administrar su equipo y su cuenta con Fixcal.</w:t>
      </w:r>
    </w:p>
    <w:p>
      <w:r>
        <w:rPr>
          <w:rFonts w:ascii="Open Sans" w:hAnsi="Open Sans"/>
          <w:b w:val="0"/>
          <w:i w:val="0"/>
        </w:rPr>
        <w:t xml:space="preserve">Todo el portal gira alrededor de tres preguntas: </w:t>
      </w:r>
      <w:r>
        <w:rPr>
          <w:rFonts w:ascii="Open Sans" w:hAnsi="Open Sans"/>
          <w:b/>
          <w:i w:val="0"/>
        </w:rPr>
        <w:t>¿qué facturó su empresa?</w:t>
      </w:r>
      <w:r>
        <w:rPr>
          <w:rFonts w:ascii="Open Sans" w:hAnsi="Open Sans"/>
          <w:b w:val="0"/>
          <w:i w:val="0"/>
        </w:rPr>
        <w:t xml:space="preserve"> (Emisiones), </w:t>
      </w:r>
      <w:r>
        <w:rPr>
          <w:rFonts w:ascii="Open Sans" w:hAnsi="Open Sans"/>
          <w:b/>
          <w:i w:val="0"/>
        </w:rPr>
        <w:t>¿qué le facturaron a usted?</w:t>
      </w:r>
      <w:r>
        <w:rPr>
          <w:rFonts w:ascii="Open Sans" w:hAnsi="Open Sans"/>
          <w:b w:val="0"/>
          <w:i w:val="0"/>
        </w:rPr>
        <w:t xml:space="preserve"> (Recepciones) y </w:t>
      </w:r>
      <w:r>
        <w:rPr>
          <w:rFonts w:ascii="Open Sans" w:hAnsi="Open Sans"/>
          <w:b/>
          <w:i w:val="0"/>
        </w:rPr>
        <w:t>¿en qué estado está cada comprobante ante la DGII?</w:t>
      </w:r>
      <w:r>
        <w:rPr>
          <w:rFonts w:ascii="Open Sans" w:hAnsi="Open Sans"/>
          <w:b w:val="0"/>
          <w:i w:val="0"/>
        </w:rPr>
        <w:t xml:space="preserve"> (Seguimiento). El resto de las secciones —Reportes, Usuarios, Facturación y Configuración— existen para dar soporte a esas tres.</w:t>
      </w:r>
    </w:p>
    <w:p>
      <w:pPr>
        <w:pStyle w:val="ManualNote"/>
        <w:shd w:val="clear" w:color="auto" w:fill="F4F6F8"/>
        <w:pBdr>
          <w:left w:val="single" w:sz="18" w:space="6" w:color="0091C4"/>
        </w:pBdr>
        <w:ind w:left="170" w:right="113"/>
      </w:pPr>
      <w:r>
        <w:rPr>
          <w:rFonts w:ascii="Open Sans" w:hAnsi="Open Sans"/>
          <w:b/>
          <w:i/>
        </w:rPr>
        <w:t xml:space="preserve">NOTA: </w:t>
      </w:r>
      <w:r>
        <w:rPr>
          <w:rFonts w:ascii="Open Sans" w:hAnsi="Open Sans"/>
          <w:b w:val="0"/>
          <w:i w:val="0"/>
        </w:rPr>
        <w:t>algunas funciones de este manual solo aplican si su empresa está en ambiente de pruebas (TesteCF) o certificación (CerteCF), o si Fixcal activó una función particular para su cuenta. La sección "Qué depende de su plan" resume todas esas condiciones en una sola tabla.</w:t>
      </w:r>
    </w:p>
    <w:p>
      <w:pPr>
        <w:pStyle w:val="ManualH2"/>
        <w:keepNext/>
      </w:pPr>
      <w:r>
        <w:rPr>
          <w:rFonts w:ascii="Open Sans" w:hAnsi="Open Sans"/>
          <w:b/>
          <w:i w:val="0"/>
        </w:rPr>
        <w:t>Primeros pasos</w:t>
      </w:r>
    </w:p>
    <w:p>
      <w:pPr>
        <w:pStyle w:val="ManualH3"/>
        <w:keepNext/>
      </w:pPr>
      <w:r>
        <w:rPr>
          <w:rFonts w:ascii="Open Sans" w:hAnsi="Open Sans"/>
          <w:b/>
          <w:i w:val="0"/>
        </w:rPr>
        <w:t>Crear su cuenta y verificar su correo</w:t>
      </w:r>
    </w:p>
    <w:p>
      <w:r>
        <w:rPr>
          <w:rFonts w:ascii="Open Sans" w:hAnsi="Open Sans"/>
          <w:b w:val="0"/>
          <w:i w:val="0"/>
        </w:rPr>
        <w:t>Al registrarse recibe un correo de verificación. Si no lo encuentra, la pantalla de verificación permite reenviarlo. Si olvida su contraseña, la pantalla de recuperación le envía un enlace para definir una nueva.</w:t>
      </w:r>
    </w:p>
    <w:p>
      <w:pPr>
        <w:pStyle w:val="ManualH3"/>
        <w:keepNext/>
      </w:pPr>
      <w:r>
        <w:rPr>
          <w:rFonts w:ascii="Open Sans" w:hAnsi="Open Sans"/>
          <w:b/>
          <w:i w:val="0"/>
        </w:rPr>
        <w:t>Unirse a una empresa</w:t>
      </w:r>
    </w:p>
    <w:p>
      <w:pPr>
        <w:pStyle w:val="ManualBullet"/>
        <w:ind w:left="284" w:hanging="170"/>
      </w:pPr>
      <w:r>
        <w:rPr>
          <w:rFonts w:ascii="Open Sans" w:hAnsi="Open Sans"/>
          <w:color w:val="0091C4"/>
        </w:rPr>
        <w:t xml:space="preserve">•  </w:t>
      </w:r>
      <w:r>
        <w:rPr>
          <w:rFonts w:ascii="Open Sans" w:hAnsi="Open Sans"/>
          <w:b/>
          <w:i w:val="0"/>
        </w:rPr>
        <w:t>Crear empresa</w:t>
      </w:r>
      <w:r>
        <w:rPr>
          <w:rFonts w:ascii="Open Sans" w:hAnsi="Open Sans"/>
          <w:b w:val="0"/>
          <w:i w:val="0"/>
        </w:rPr>
        <w:t xml:space="preserve"> </w:t>
      </w:r>
      <w:r>
        <w:rPr>
          <w:rFonts w:ascii="Open Sans" w:hAnsi="Open Sans"/>
          <w:b w:val="0"/>
          <w:i w:val="0"/>
        </w:rPr>
        <w:t>— ingresa el RNC de su empresa y el portal busca automáticamente la razón social registrada; solo falta confirmar el nombre comercial y, opcionalmente, un correo de contacto.</w:t>
      </w:r>
    </w:p>
    <w:p>
      <w:pPr>
        <w:pStyle w:val="ManualBullet"/>
        <w:ind w:left="284" w:hanging="170"/>
      </w:pPr>
      <w:r>
        <w:rPr>
          <w:rFonts w:ascii="Open Sans" w:hAnsi="Open Sans"/>
          <w:color w:val="0091C4"/>
        </w:rPr>
        <w:t xml:space="preserve">•  </w:t>
      </w:r>
      <w:r>
        <w:rPr>
          <w:rFonts w:ascii="Open Sans" w:hAnsi="Open Sans"/>
          <w:b/>
          <w:i w:val="0"/>
        </w:rPr>
        <w:t>Tengo una invitación</w:t>
      </w:r>
      <w:r>
        <w:rPr>
          <w:rFonts w:ascii="Open Sans" w:hAnsi="Open Sans"/>
          <w:b w:val="0"/>
          <w:i w:val="0"/>
        </w:rPr>
        <w:t xml:space="preserve"> </w:t>
      </w:r>
      <w:r>
        <w:rPr>
          <w:rFonts w:ascii="Open Sans" w:hAnsi="Open Sans"/>
          <w:b w:val="0"/>
          <w:i w:val="0"/>
        </w:rPr>
        <w:t>— entra el código (formato XXXX-XXXX) o abre el enlace que le llegó por correo, revisa a qué empresa y con qué rol se está uniendo, y confirma.</w:t>
      </w:r>
    </w:p>
    <w:p>
      <w:pPr>
        <w:pStyle w:val="ManualH3"/>
        <w:keepNext/>
      </w:pPr>
      <w:r>
        <w:rPr>
          <w:rFonts w:ascii="Open Sans" w:hAnsi="Open Sans"/>
          <w:b/>
          <w:i w:val="0"/>
        </w:rPr>
        <w:t>El recorrido guiado</w:t>
      </w:r>
    </w:p>
    <w:p>
      <w:r>
        <w:rPr>
          <w:rFonts w:ascii="Open Sans" w:hAnsi="Open Sans"/>
          <w:b w:val="0"/>
          <w:i w:val="0"/>
        </w:rPr>
        <w:t xml:space="preserve">Al entrar por primera vez a una empresa nueva, el portal ofrece un recorrido paso a paso que señala el menú, la insignia de ambiente DGII, sus datos fiscales, el certificado digital, sus secuencias de NCF y cómo emitir su primera factura. Puede saltarlo y volver a verlo después desde </w:t>
      </w:r>
      <w:r>
        <w:rPr>
          <w:rFonts w:ascii="Open Sans" w:hAnsi="Open Sans"/>
          <w:b/>
          <w:i w:val="0"/>
        </w:rPr>
        <w:t>Reiniciar tour</w:t>
      </w:r>
      <w:r>
        <w:rPr>
          <w:rFonts w:ascii="Open Sans" w:hAnsi="Open Sans"/>
          <w:b w:val="0"/>
          <w:i w:val="0"/>
        </w:rPr>
        <w:t>, en el menú de su usuario.</w:t>
      </w:r>
    </w:p>
    <w:p>
      <w:pPr>
        <w:pStyle w:val="ManualH2"/>
        <w:keepNext/>
      </w:pPr>
      <w:r>
        <w:rPr>
          <w:rFonts w:ascii="Open Sans" w:hAnsi="Open Sans"/>
          <w:b/>
          <w:i w:val="0"/>
        </w:rPr>
        <w:t>Cómo moverse en el portal</w:t>
      </w:r>
    </w:p>
    <w:p>
      <w:r>
        <w:rPr>
          <w:rFonts w:ascii="Open Sans" w:hAnsi="Open Sans"/>
          <w:b w:val="0"/>
          <w:i w:val="0"/>
        </w:rPr>
        <w:t xml:space="preserve">La misma barra lateral y la misma barra superior lo acompañan en cualquier pantalla: </w:t>
      </w:r>
      <w:r>
        <w:rPr>
          <w:rFonts w:ascii="Open Sans" w:hAnsi="Open Sans"/>
          <w:b/>
          <w:i w:val="0"/>
        </w:rPr>
        <w:t>Panel, Emisiones, Seguimiento, Recepciones, Reportes, Usuarios, Facturación</w:t>
      </w:r>
      <w:r>
        <w:rPr>
          <w:rFonts w:ascii="Open Sans" w:hAnsi="Open Sans"/>
          <w:b w:val="0"/>
          <w:i w:val="0"/>
        </w:rPr>
        <w:t xml:space="preserve"> y </w:t>
      </w:r>
      <w:r>
        <w:rPr>
          <w:rFonts w:ascii="Open Sans" w:hAnsi="Open Sans"/>
          <w:b/>
          <w:i w:val="0"/>
        </w:rPr>
        <w:t>Configuración</w:t>
      </w:r>
      <w:r>
        <w:rPr>
          <w:rFonts w:ascii="Open Sans" w:hAnsi="Open Sans"/>
          <w:b w:val="0"/>
          <w:i w:val="0"/>
        </w:rPr>
        <w:t>. Un segundo grupo —</w:t>
      </w:r>
      <w:r>
        <w:rPr>
          <w:rFonts w:ascii="Open Sans" w:hAnsi="Open Sans"/>
          <w:b/>
          <w:i w:val="0"/>
        </w:rPr>
        <w:t>Ventas, Compras, Secuencias</w:t>
      </w:r>
      <w:r>
        <w:rPr>
          <w:rFonts w:ascii="Open Sans" w:hAnsi="Open Sans"/>
          <w:b w:val="0"/>
          <w:i w:val="0"/>
        </w:rPr>
        <w:t xml:space="preserve"> y </w:t>
      </w:r>
      <w:r>
        <w:rPr>
          <w:rFonts w:ascii="Open Sans" w:hAnsi="Open Sans"/>
          <w:b/>
          <w:i w:val="0"/>
        </w:rPr>
        <w:t>Firmar XML</w:t>
      </w:r>
      <w:r>
        <w:rPr>
          <w:rFonts w:ascii="Open Sans" w:hAnsi="Open Sans"/>
          <w:b w:val="0"/>
          <w:i w:val="0"/>
        </w:rPr>
        <w:t>— solo aparece mientras su empresa trabaja en ambiente de pruebas o certificación.</w:t>
      </w:r>
    </w:p>
    <w:p>
      <w:pPr>
        <w:pStyle w:val="ManualH3"/>
        <w:keepNext/>
      </w:pPr>
      <w:r>
        <w:rPr>
          <w:rFonts w:ascii="Open Sans" w:hAnsi="Open Sans"/>
          <w:b/>
          <w:i w:val="0"/>
        </w:rPr>
        <w:t>Ambiente DGII</w:t>
      </w:r>
    </w:p>
    <w:tbl>
      <w:tblPr>
        <w:tblW w:type="auto" w:w="0"/>
        <w:jc w:val="center"/>
        <w:tblLayout w:type="fixed"/>
        <w:tblLook w:firstColumn="1" w:firstRow="1" w:lastColumn="0" w:lastRow="0" w:noHBand="0" w:noVBand="1" w:val="04A0"/>
        <w:tblBorders>
          <w:top w:val="single" w:sz="6" w:space="0" w:color="0091C4"/>
          <w:left w:val="single" w:sz="6" w:space="0" w:color="0091C4"/>
          <w:bottom w:val="single" w:sz="6" w:space="0" w:color="0091C4"/>
          <w:right w:val="single" w:sz="6" w:space="0" w:color="0091C4"/>
          <w:insideH w:val="single" w:sz="6" w:space="0" w:color="0091C4"/>
          <w:insideV w:val="single" w:sz="6" w:space="0" w:color="0091C4"/>
        </w:tblBorders>
        <w:tblCellMar>
          <w:top w:w="60" w:type="dxa"/>
          <w:start w:w="110" w:type="dxa"/>
          <w:bottom w:w="60" w:type="dxa"/>
          <w:end w:w="110" w:type="dxa"/>
        </w:tblCellMar>
        <w:tblLayout w:type="fixed"/>
        <w:tblW w:w="10199" w:type="dxa"/>
      </w:tblPr>
      <w:tblGrid>
        <w:gridCol w:w="3468"/>
        <w:gridCol w:w="6731"/>
      </w:tblGrid>
      <w:tr>
        <w:trPr>
          <w:tblHeader/>
        </w:trPr>
        <w:tc>
          <w:tcPr>
            <w:shd w:val="clear" w:color="auto" w:fill="F4F6F8"/>
            <w:tcW w:w="3468" w:type="dxa"/>
          </w:tcPr>
          <w:p>
            <w:pPr>
              <w:pStyle w:val="ManualTableCell"/>
            </w:pPr>
            <w:r>
              <w:rPr>
                <w:rFonts w:ascii="Open Sans" w:hAnsi="Open Sans"/>
                <w:b/>
                <w:i w:val="0"/>
                <w:color w:val="073763"/>
              </w:rPr>
              <w:t>Ambiente</w:t>
            </w:r>
          </w:p>
        </w:tc>
        <w:tc>
          <w:tcPr>
            <w:shd w:val="clear" w:color="auto" w:fill="F4F6F8"/>
            <w:tcW w:w="6731" w:type="dxa"/>
          </w:tcPr>
          <w:p>
            <w:pPr>
              <w:pStyle w:val="ManualTableCell"/>
            </w:pPr>
            <w:r>
              <w:rPr>
                <w:rFonts w:ascii="Open Sans" w:hAnsi="Open Sans"/>
                <w:b/>
                <w:i w:val="0"/>
                <w:color w:val="073763"/>
              </w:rPr>
              <w:t>Significado</w:t>
            </w:r>
          </w:p>
        </w:tc>
      </w:tr>
      <w:tr>
        <w:tc>
          <w:tcPr>
            <w:tcW w:w="3468" w:type="dxa"/>
          </w:tcPr>
          <w:p>
            <w:pPr>
              <w:pStyle w:val="ManualTableCell"/>
            </w:pPr>
            <w:r>
              <w:rPr>
                <w:rFonts w:ascii="Open Sans" w:hAnsi="Open Sans"/>
                <w:b/>
                <w:i w:val="0"/>
              </w:rPr>
              <w:t>TesteCF</w:t>
            </w:r>
          </w:p>
        </w:tc>
        <w:tc>
          <w:tcPr>
            <w:tcW w:w="6731" w:type="dxa"/>
          </w:tcPr>
          <w:p>
            <w:pPr>
              <w:pStyle w:val="ManualTableCell"/>
            </w:pPr>
            <w:r>
              <w:rPr>
                <w:rFonts w:ascii="Open Sans" w:hAnsi="Open Sans"/>
                <w:b w:val="0"/>
                <w:i w:val="0"/>
              </w:rPr>
              <w:t>Pruebas técnicas, sin validez fiscal.</w:t>
            </w:r>
          </w:p>
        </w:tc>
      </w:tr>
      <w:tr>
        <w:tc>
          <w:tcPr>
            <w:tcW w:w="3468" w:type="dxa"/>
          </w:tcPr>
          <w:p>
            <w:pPr>
              <w:pStyle w:val="ManualTableCell"/>
            </w:pPr>
            <w:r>
              <w:rPr>
                <w:rFonts w:ascii="Open Sans" w:hAnsi="Open Sans"/>
                <w:b/>
                <w:i w:val="0"/>
              </w:rPr>
              <w:t>CerteCF</w:t>
            </w:r>
          </w:p>
        </w:tc>
        <w:tc>
          <w:tcPr>
            <w:tcW w:w="6731" w:type="dxa"/>
          </w:tcPr>
          <w:p>
            <w:pPr>
              <w:pStyle w:val="ManualTableCell"/>
            </w:pPr>
            <w:r>
              <w:rPr>
                <w:rFonts w:ascii="Open Sans" w:hAnsi="Open Sans"/>
                <w:b w:val="0"/>
                <w:i w:val="0"/>
              </w:rPr>
              <w:t>Proceso formal de certificación con la DGII, previo a producción.</w:t>
            </w:r>
          </w:p>
        </w:tc>
      </w:tr>
      <w:tr>
        <w:tc>
          <w:tcPr>
            <w:tcW w:w="3468" w:type="dxa"/>
          </w:tcPr>
          <w:p>
            <w:pPr>
              <w:pStyle w:val="ManualTableCell"/>
            </w:pPr>
            <w:r>
              <w:rPr>
                <w:rFonts w:ascii="Open Sans" w:hAnsi="Open Sans"/>
                <w:b/>
                <w:i w:val="0"/>
              </w:rPr>
              <w:t>eCF</w:t>
            </w:r>
          </w:p>
        </w:tc>
        <w:tc>
          <w:tcPr>
            <w:tcW w:w="6731" w:type="dxa"/>
          </w:tcPr>
          <w:p>
            <w:pPr>
              <w:pStyle w:val="ManualTableCell"/>
            </w:pPr>
            <w:r>
              <w:rPr>
                <w:rFonts w:ascii="Open Sans" w:hAnsi="Open Sans"/>
                <w:b w:val="0"/>
                <w:i w:val="0"/>
              </w:rPr>
              <w:t>Producción: sus comprobantes ya tienen validez fiscal real.</w:t>
            </w:r>
          </w:p>
        </w:tc>
      </w:tr>
    </w:tbl>
    <w:p>
      <w:pPr>
        <w:spacing w:after="80"/>
      </w:pPr>
    </w:p>
    <w:p>
      <w:r>
        <w:rPr>
          <w:rFonts w:ascii="Open Sans" w:hAnsi="Open Sans"/>
          <w:b w:val="0"/>
          <w:i w:val="0"/>
        </w:rPr>
        <w:t>Si pertenece a más de una empresa, un selector en la barra superior le permite cambiar cuál tiene activa. La campana de notificaciones muestra invitaciones pendientes y avisos del sistema. Si ve una barra ámbar indicando que un administrador de Progressa "entró" a su empresa para asistirlo, es normal: es la única señal visible de esa asistencia.</w:t>
      </w:r>
    </w:p>
    <w:p>
      <w:pPr>
        <w:pStyle w:val="ManualBar"/>
        <w:shd w:val="clear" w:color="auto" w:fill="0091C4"/>
        <w:pBdr>
          <w:top w:val="single" w:sz="2" w:space="6" w:color="0091C4"/>
          <w:left w:val="single" w:sz="2" w:space="6" w:color="0091C4"/>
          <w:bottom w:val="single" w:sz="2" w:space="6" w:color="0091C4"/>
          <w:right w:val="single" w:sz="2" w:space="6" w:color="0091C4"/>
        </w:pBdr>
        <w:keepNext/>
      </w:pPr>
      <w:r>
        <w:rPr>
          <w:rFonts w:ascii="Open Sans" w:hAnsi="Open Sans"/>
          <w:b/>
          <w:color w:val="FFFFFF"/>
        </w:rPr>
        <w:t>COMPROBANTES FISCALES</w:t>
      </w:r>
    </w:p>
    <w:p>
      <w:pPr>
        <w:pStyle w:val="ManualH1"/>
      </w:pPr>
      <w:r>
        <w:rPr>
          <w:rFonts w:ascii="Open Sans" w:hAnsi="Open Sans"/>
          <w:b/>
          <w:i w:val="0"/>
        </w:rPr>
        <w:t>Emitir, dar seguimiento y recibir</w:t>
      </w:r>
    </w:p>
    <w:p>
      <w:pPr>
        <w:pStyle w:val="ManualH2"/>
        <w:keepNext/>
      </w:pPr>
      <w:r>
        <w:rPr>
          <w:rFonts w:ascii="Open Sans" w:hAnsi="Open Sans"/>
          <w:b/>
          <w:i w:val="0"/>
        </w:rPr>
        <w:t>Panel principal</w:t>
      </w:r>
    </w:p>
    <w:p>
      <w:r>
        <w:rPr>
          <w:rFonts w:ascii="Open Sans" w:hAnsi="Open Sans"/>
          <w:b w:val="0"/>
          <w:i w:val="0"/>
        </w:rPr>
        <w:t>Su primera pantalla al entrar: un resumen del período que elija, con un selector de fechas que controla todas las cifras de la página.</w:t>
      </w:r>
    </w:p>
    <w:p>
      <w:pPr>
        <w:pStyle w:val="ManualBullet"/>
        <w:ind w:left="284" w:hanging="170"/>
      </w:pPr>
      <w:r>
        <w:rPr>
          <w:rFonts w:ascii="Open Sans" w:hAnsi="Open Sans"/>
          <w:color w:val="0091C4"/>
        </w:rPr>
        <w:t xml:space="preserve">•  </w:t>
      </w:r>
      <w:r>
        <w:rPr>
          <w:rFonts w:ascii="Open Sans" w:hAnsi="Open Sans"/>
          <w:b/>
          <w:i w:val="0"/>
        </w:rPr>
        <w:t>Tarjetas de resumen</w:t>
      </w:r>
      <w:r>
        <w:rPr>
          <w:rFonts w:ascii="Open Sans" w:hAnsi="Open Sans"/>
          <w:b w:val="0"/>
          <w:i w:val="0"/>
        </w:rPr>
        <w:t xml:space="preserve"> — total de emisiones y recepciones (cantidad y monto en RD$), total del período y, si aplica, su saldo pendiente con Progressa en USD.</w:t>
      </w:r>
    </w:p>
    <w:p>
      <w:pPr>
        <w:pStyle w:val="ManualBullet"/>
        <w:ind w:left="284" w:hanging="170"/>
      </w:pPr>
      <w:r>
        <w:rPr>
          <w:rFonts w:ascii="Open Sans" w:hAnsi="Open Sans"/>
          <w:color w:val="0091C4"/>
        </w:rPr>
        <w:t xml:space="preserve">•  </w:t>
      </w:r>
      <w:r>
        <w:rPr>
          <w:rFonts w:ascii="Open Sans" w:hAnsi="Open Sans"/>
          <w:b/>
          <w:i w:val="0"/>
        </w:rPr>
        <w:t>Gráficos</w:t>
      </w:r>
      <w:r>
        <w:rPr>
          <w:rFonts w:ascii="Open Sans" w:hAnsi="Open Sans"/>
          <w:b w:val="0"/>
          <w:i w:val="0"/>
        </w:rPr>
        <w:t xml:space="preserve"> — emisiones por mes y por tipo de comprobante, para ver de un vistazo cómo se mueve su facturación.</w:t>
      </w:r>
    </w:p>
    <w:p>
      <w:r>
        <w:rPr>
          <w:rFonts w:ascii="Open Sans" w:hAnsi="Open Sans"/>
          <w:b w:val="0"/>
          <w:i w:val="0"/>
        </w:rPr>
        <w:t xml:space="preserve">Si tiene un saldo vencido con Fixcal, un aviso lo lleva directo a Facturación. Los botones rápidos abren Reportes o Configuración; el de </w:t>
      </w:r>
      <w:r>
        <w:rPr>
          <w:rFonts w:ascii="Open Sans" w:hAnsi="Open Sans"/>
          <w:b/>
          <w:i w:val="0"/>
        </w:rPr>
        <w:t>Nueva venta</w:t>
      </w:r>
      <w:r>
        <w:rPr>
          <w:rFonts w:ascii="Open Sans" w:hAnsi="Open Sans"/>
          <w:b w:val="0"/>
          <w:i w:val="0"/>
        </w:rPr>
        <w:t xml:space="preserve"> solo aparece fuera de producción.</w:t>
      </w:r>
    </w:p>
    <w:p>
      <w:pPr>
        <w:pStyle w:val="ManualH2"/>
        <w:keepNext/>
      </w:pPr>
      <w:r>
        <w:rPr>
          <w:rFonts w:ascii="Open Sans" w:hAnsi="Open Sans"/>
          <w:b/>
          <w:i w:val="0"/>
        </w:rPr>
        <w:t>Emisiones</w:t>
      </w:r>
    </w:p>
    <w:p>
      <w:r>
        <w:rPr>
          <w:rFonts w:ascii="Open Sans" w:hAnsi="Open Sans"/>
          <w:b w:val="0"/>
          <w:i w:val="0"/>
        </w:rPr>
        <w:t xml:space="preserve">El registro completo de cada comprobante fiscal electrónico que su empresa ha emitido. Filtre por rango de fechas, busque por eNCF, nombre o RNC del comprador, elija qué columnas ver y ordene por fecha o monto. Cada fila se abre en un panel de detalle con el encabezado, el comprador, las líneas de la factura, el desglose de ITBIS, el código QR y el código de seguridad certificado ante la DGII, con una vista lista para imprimir y descarga del XML firmado. Si su empresa tiene la integración con Odoo activa, cada comprobante aceptado muestra un botón </w:t>
      </w:r>
      <w:r>
        <w:rPr>
          <w:rFonts w:ascii="Open Sans" w:hAnsi="Open Sans"/>
          <w:b/>
          <w:i w:val="0"/>
        </w:rPr>
        <w:t>Enviar a Odoo</w:t>
      </w:r>
      <w:r>
        <w:rPr>
          <w:rFonts w:ascii="Open Sans" w:hAnsi="Open Sans"/>
          <w:b w:val="0"/>
          <w:i w:val="0"/>
        </w:rPr>
        <w:t>.</w:t>
      </w:r>
    </w:p>
    <w:p>
      <w:pPr>
        <w:pStyle w:val="ManualH2"/>
        <w:keepNext/>
      </w:pPr>
      <w:r>
        <w:rPr>
          <w:rFonts w:ascii="Open Sans" w:hAnsi="Open Sans"/>
          <w:b/>
          <w:i w:val="0"/>
        </w:rPr>
        <w:t>Seguimiento</w:t>
      </w:r>
    </w:p>
    <w:p>
      <w:r>
        <w:rPr>
          <w:rFonts w:ascii="Open Sans" w:hAnsi="Open Sans"/>
          <w:b w:val="0"/>
          <w:i w:val="0"/>
        </w:rPr>
        <w:t>Mientras Emisiones le dice qué emitió, Seguimiento le dice qué pasó después con cada comprobante. Cada factura muestra tres estados independientes —</w:t>
      </w:r>
      <w:r>
        <w:rPr>
          <w:rFonts w:ascii="Open Sans" w:hAnsi="Open Sans"/>
          <w:b/>
          <w:i w:val="0"/>
        </w:rPr>
        <w:t>Entrega</w:t>
      </w:r>
      <w:r>
        <w:rPr>
          <w:rFonts w:ascii="Open Sans" w:hAnsi="Open Sans"/>
          <w:b w:val="0"/>
          <w:i w:val="0"/>
        </w:rPr>
        <w:t xml:space="preserve">, </w:t>
      </w:r>
      <w:r>
        <w:rPr>
          <w:rFonts w:ascii="Open Sans" w:hAnsi="Open Sans"/>
          <w:b/>
          <w:i w:val="0"/>
        </w:rPr>
        <w:t>Acuse de recibo</w:t>
      </w:r>
      <w:r>
        <w:rPr>
          <w:rFonts w:ascii="Open Sans" w:hAnsi="Open Sans"/>
          <w:b w:val="0"/>
          <w:i w:val="0"/>
        </w:rPr>
        <w:t xml:space="preserve"> y </w:t>
      </w:r>
      <w:r>
        <w:rPr>
          <w:rFonts w:ascii="Open Sans" w:hAnsi="Open Sans"/>
          <w:b/>
          <w:i w:val="0"/>
        </w:rPr>
        <w:t>Aprobación comercial</w:t>
      </w:r>
      <w:r>
        <w:rPr>
          <w:rFonts w:ascii="Open Sans" w:hAnsi="Open Sans"/>
          <w:b w:val="0"/>
          <w:i w:val="0"/>
        </w:rPr>
        <w:t>— y su detalle abre una línea de tiempo con cuatro momentos (Emitido, Entregado, Acusado, Aprobado), con descarga del XML de la factura y del acuse (ARECF) por separado.</w:t>
      </w:r>
    </w:p>
    <w:p>
      <w:pPr>
        <w:pStyle w:val="ManualH2"/>
        <w:keepNext/>
      </w:pPr>
      <w:r>
        <w:rPr>
          <w:rFonts w:ascii="Open Sans" w:hAnsi="Open Sans"/>
          <w:b/>
          <w:i w:val="0"/>
        </w:rPr>
        <w:t>Recepciones</w:t>
      </w:r>
    </w:p>
    <w:p>
      <w:r>
        <w:rPr>
          <w:rFonts w:ascii="Open Sans" w:hAnsi="Open Sans"/>
          <w:b w:val="0"/>
          <w:i w:val="0"/>
        </w:rPr>
        <w:t>Los comprobantes que sus proveedores le emitieron a usted, recibidos automáticamente a través de la DGII.</w:t>
      </w:r>
    </w:p>
    <w:p>
      <w:pPr>
        <w:pStyle w:val="ManualNote"/>
        <w:shd w:val="clear" w:color="auto" w:fill="F4F6F8"/>
        <w:pBdr>
          <w:left w:val="single" w:sz="18" w:space="6" w:color="0091C4"/>
        </w:pBdr>
        <w:ind w:left="170" w:right="113"/>
      </w:pPr>
      <w:r>
        <w:rPr>
          <w:rFonts w:ascii="Open Sans" w:hAnsi="Open Sans"/>
          <w:b/>
          <w:i/>
        </w:rPr>
        <w:t xml:space="preserve">IMPORTANTE: </w:t>
      </w:r>
      <w:r>
        <w:rPr>
          <w:rFonts w:ascii="Open Sans" w:hAnsi="Open Sans"/>
          <w:b w:val="0"/>
          <w:i w:val="0"/>
        </w:rPr>
        <w:t>la activación de recepciones es una acción irreversible y requiere certificado digital configurado.</w:t>
      </w:r>
    </w:p>
    <w:p>
      <w:r>
        <w:rPr>
          <w:rFonts w:ascii="Open Sans" w:hAnsi="Open Sans"/>
          <w:b w:val="0"/>
          <w:i w:val="0"/>
        </w:rPr>
        <w:t xml:space="preserve">Una vez activa, la tabla funciona como Emisiones con una columna de estado de aprobación; mientras un comprobante esté pendiente, puede registrar </w:t>
      </w:r>
      <w:r>
        <w:rPr>
          <w:rFonts w:ascii="Open Sans" w:hAnsi="Open Sans"/>
          <w:b/>
          <w:i w:val="0"/>
        </w:rPr>
        <w:t>Aprobar</w:t>
      </w:r>
      <w:r>
        <w:rPr>
          <w:rFonts w:ascii="Open Sans" w:hAnsi="Open Sans"/>
          <w:b w:val="0"/>
          <w:i w:val="0"/>
        </w:rPr>
        <w:t xml:space="preserve">, </w:t>
      </w:r>
      <w:r>
        <w:rPr>
          <w:rFonts w:ascii="Open Sans" w:hAnsi="Open Sans"/>
          <w:b/>
          <w:i w:val="0"/>
        </w:rPr>
        <w:t>Rechazar</w:t>
      </w:r>
      <w:r>
        <w:rPr>
          <w:rFonts w:ascii="Open Sans" w:hAnsi="Open Sans"/>
          <w:b w:val="0"/>
          <w:i w:val="0"/>
        </w:rPr>
        <w:t xml:space="preserve"> o </w:t>
      </w:r>
      <w:r>
        <w:rPr>
          <w:rFonts w:ascii="Open Sans" w:hAnsi="Open Sans"/>
          <w:b/>
          <w:i w:val="0"/>
        </w:rPr>
        <w:t>Condicional</w:t>
      </w:r>
      <w:r>
        <w:rPr>
          <w:rFonts w:ascii="Open Sans" w:hAnsi="Open Sans"/>
          <w:b w:val="0"/>
          <w:i w:val="0"/>
        </w:rPr>
        <w:t xml:space="preserve"> (estas dos últimas exigen un motivo).</w:t>
      </w:r>
    </w:p>
    <w:p>
      <w:pPr>
        <w:pStyle w:val="ManualH2"/>
        <w:keepNext/>
      </w:pPr>
      <w:r>
        <w:rPr>
          <w:rFonts w:ascii="Open Sans" w:hAnsi="Open Sans"/>
          <w:b/>
          <w:i w:val="0"/>
        </w:rPr>
        <w:t>Ventas y Compras</w:t>
      </w:r>
    </w:p>
    <w:p>
      <w:pPr>
        <w:pStyle w:val="ManualNote"/>
        <w:shd w:val="clear" w:color="auto" w:fill="F4F6F8"/>
        <w:pBdr>
          <w:left w:val="single" w:sz="18" w:space="6" w:color="0091C4"/>
        </w:pBdr>
        <w:ind w:left="170" w:right="113"/>
      </w:pPr>
      <w:r>
        <w:rPr>
          <w:rFonts w:ascii="Open Sans" w:hAnsi="Open Sans"/>
          <w:b/>
          <w:i/>
        </w:rPr>
        <w:t xml:space="preserve">NOTA: </w:t>
      </w:r>
      <w:r>
        <w:rPr>
          <w:rFonts w:ascii="Open Sans" w:hAnsi="Open Sans"/>
          <w:b w:val="0"/>
          <w:i w:val="0"/>
        </w:rPr>
        <w:t>esta sección solo está disponible en TesteCF / CerteCF. Desaparece del menú en producción, porque ahí la emisión real ocurre desde su sistema integrado.</w:t>
      </w:r>
    </w:p>
    <w:tbl>
      <w:tblPr>
        <w:tblW w:type="auto" w:w="0"/>
        <w:jc w:val="center"/>
        <w:tblLayout w:type="fixed"/>
        <w:tblLook w:firstColumn="1" w:firstRow="1" w:lastColumn="0" w:lastRow="0" w:noHBand="0" w:noVBand="1" w:val="04A0"/>
        <w:tblBorders>
          <w:top w:val="single" w:sz="6" w:space="0" w:color="0091C4"/>
          <w:left w:val="single" w:sz="6" w:space="0" w:color="0091C4"/>
          <w:bottom w:val="single" w:sz="6" w:space="0" w:color="0091C4"/>
          <w:right w:val="single" w:sz="6" w:space="0" w:color="0091C4"/>
          <w:insideH w:val="single" w:sz="6" w:space="0" w:color="0091C4"/>
          <w:insideV w:val="single" w:sz="6" w:space="0" w:color="0091C4"/>
        </w:tblBorders>
        <w:tblCellMar>
          <w:top w:w="60" w:type="dxa"/>
          <w:start w:w="110" w:type="dxa"/>
          <w:bottom w:w="60" w:type="dxa"/>
          <w:end w:w="110" w:type="dxa"/>
        </w:tblCellMar>
        <w:tblLayout w:type="fixed"/>
        <w:tblW w:w="10199" w:type="dxa"/>
      </w:tblPr>
      <w:tblGrid>
        <w:gridCol w:w="5099"/>
        <w:gridCol w:w="5099"/>
      </w:tblGrid>
      <w:tr>
        <w:trPr>
          <w:tblHeader/>
        </w:trPr>
        <w:tc>
          <w:tcPr>
            <w:shd w:val="clear" w:color="auto" w:fill="F4F6F8"/>
            <w:gridSpan w:val="2"/>
            <w:tcW w:w="10199" w:type="dxa"/>
          </w:tcPr>
          <w:p>
            <w:pPr>
              <w:pStyle w:val="ManualTableCell"/>
            </w:pPr>
            <w:r>
              <w:rPr>
                <w:rFonts w:ascii="Open Sans" w:hAnsi="Open Sans"/>
                <w:b/>
                <w:i w:val="0"/>
                <w:color w:val="073763"/>
              </w:rPr>
              <w:t>Tipos de comprobante</w:t>
            </w:r>
          </w:p>
        </w:tc>
      </w:tr>
      <w:tr>
        <w:tc>
          <w:tcPr>
            <w:tcW w:w="5099" w:type="dxa"/>
          </w:tcPr>
          <w:p>
            <w:pPr>
              <w:pStyle w:val="ManualTableCell"/>
            </w:pPr>
            <w:r>
              <w:rPr>
                <w:rFonts w:ascii="Open Sans" w:hAnsi="Open Sans"/>
                <w:b/>
                <w:i w:val="0"/>
              </w:rPr>
              <w:t>En Ventas</w:t>
            </w:r>
          </w:p>
        </w:tc>
        <w:tc>
          <w:tcPr>
            <w:tcW w:w="5099" w:type="dxa"/>
          </w:tcPr>
          <w:p>
            <w:pPr>
              <w:pStyle w:val="ManualTableCell"/>
            </w:pPr>
            <w:r>
              <w:rPr>
                <w:rFonts w:ascii="Open Sans" w:hAnsi="Open Sans"/>
                <w:b/>
                <w:i w:val="0"/>
              </w:rPr>
              <w:t>En Compras</w:t>
            </w:r>
          </w:p>
        </w:tc>
      </w:tr>
      <w:tr>
        <w:tc>
          <w:tcPr>
            <w:tcW w:w="5099" w:type="dxa"/>
          </w:tcPr>
          <w:p>
            <w:pPr>
              <w:pStyle w:val="ManualTableCell"/>
            </w:pPr>
            <w:r>
              <w:rPr>
                <w:rFonts w:ascii="Open Sans" w:hAnsi="Open Sans"/>
                <w:b w:val="0"/>
                <w:i w:val="0"/>
              </w:rPr>
              <w:t>T31 · Crédito Fiscal</w:t>
            </w:r>
          </w:p>
        </w:tc>
        <w:tc>
          <w:tcPr>
            <w:tcW w:w="5099" w:type="dxa"/>
          </w:tcPr>
          <w:p>
            <w:pPr>
              <w:pStyle w:val="ManualTableCell"/>
            </w:pPr>
            <w:r>
              <w:rPr>
                <w:rFonts w:ascii="Open Sans" w:hAnsi="Open Sans"/>
                <w:b w:val="0"/>
                <w:i w:val="0"/>
              </w:rPr>
              <w:t>T41 · Compras (gastos)</w:t>
            </w:r>
          </w:p>
        </w:tc>
      </w:tr>
      <w:tr>
        <w:tc>
          <w:tcPr>
            <w:tcW w:w="5099" w:type="dxa"/>
          </w:tcPr>
          <w:p>
            <w:pPr>
              <w:pStyle w:val="ManualTableCell"/>
            </w:pPr>
            <w:r>
              <w:rPr>
                <w:rFonts w:ascii="Open Sans" w:hAnsi="Open Sans"/>
                <w:b w:val="0"/>
                <w:i w:val="0"/>
              </w:rPr>
              <w:t>T32 · Consumo</w:t>
            </w:r>
          </w:p>
        </w:tc>
        <w:tc>
          <w:tcPr>
            <w:tcW w:w="5099" w:type="dxa"/>
          </w:tcPr>
          <w:p>
            <w:pPr>
              <w:pStyle w:val="ManualTableCell"/>
            </w:pPr>
            <w:r>
              <w:rPr>
                <w:rFonts w:ascii="Open Sans" w:hAnsi="Open Sans"/>
                <w:b w:val="0"/>
                <w:i w:val="0"/>
              </w:rPr>
              <w:t>T43 · Gastos menores</w:t>
            </w:r>
          </w:p>
        </w:tc>
      </w:tr>
      <w:tr>
        <w:tc>
          <w:tcPr>
            <w:tcW w:w="5099" w:type="dxa"/>
          </w:tcPr>
          <w:p>
            <w:pPr>
              <w:pStyle w:val="ManualTableCell"/>
            </w:pPr>
            <w:r>
              <w:rPr>
                <w:rFonts w:ascii="Open Sans" w:hAnsi="Open Sans"/>
                <w:b w:val="0"/>
                <w:i w:val="0"/>
              </w:rPr>
              <w:t>T33 · Nota de Débito</w:t>
            </w:r>
          </w:p>
        </w:tc>
        <w:tc>
          <w:tcPr>
            <w:tcW w:w="5099" w:type="dxa"/>
          </w:tcPr>
          <w:p>
            <w:pPr>
              <w:pStyle w:val="ManualTableCell"/>
            </w:pPr>
            <w:r>
              <w:rPr>
                <w:rFonts w:ascii="Open Sans" w:hAnsi="Open Sans"/>
                <w:b w:val="0"/>
                <w:i w:val="0"/>
              </w:rPr>
              <w:t>T47 · Pagos al exterior</w:t>
            </w:r>
          </w:p>
        </w:tc>
      </w:tr>
      <w:tr>
        <w:tc>
          <w:tcPr>
            <w:tcW w:w="5099" w:type="dxa"/>
          </w:tcPr>
          <w:p>
            <w:pPr>
              <w:pStyle w:val="ManualTableCell"/>
            </w:pPr>
            <w:r>
              <w:rPr>
                <w:rFonts w:ascii="Open Sans" w:hAnsi="Open Sans"/>
                <w:b w:val="0"/>
                <w:i w:val="0"/>
              </w:rPr>
              <w:t>T34 · Nota de Crédito</w:t>
            </w:r>
          </w:p>
        </w:tc>
        <w:tc>
          <w:tcPr>
            <w:tcW w:w="5099" w:type="dxa"/>
          </w:tcPr>
          <w:p>
            <w:pPr>
              <w:pStyle w:val="ManualTableCell"/>
            </w:pPr>
            <w:r>
              <w:rPr>
                <w:rFonts w:ascii="Open Sans" w:hAnsi="Open Sans"/>
                <w:b w:val="0"/>
                <w:i w:val="0"/>
              </w:rPr>
              <w:t>T34 · Nota de Crédito</w:t>
            </w:r>
          </w:p>
        </w:tc>
      </w:tr>
      <w:tr>
        <w:tc>
          <w:tcPr>
            <w:tcW w:w="5099" w:type="dxa"/>
          </w:tcPr>
          <w:p>
            <w:pPr>
              <w:pStyle w:val="ManualTableCell"/>
            </w:pPr>
            <w:r>
              <w:rPr>
                <w:rFonts w:ascii="Open Sans" w:hAnsi="Open Sans"/>
                <w:b w:val="0"/>
                <w:i w:val="0"/>
              </w:rPr>
              <w:t>T44 / T45 / T46 · Regímenes especiales, gubernamental, exportaciones</w:t>
            </w:r>
          </w:p>
        </w:tc>
        <w:tc>
          <w:tcPr>
            <w:tcW w:w="5099" w:type="dxa"/>
          </w:tcPr>
          <w:p>
            <w:pPr>
              <w:pStyle w:val="ManualTableCell"/>
            </w:pPr>
            <w:r>
              <w:rPr>
                <w:rFonts w:ascii="Open Sans" w:hAnsi="Open Sans"/>
                <w:b w:val="0"/>
                <w:i w:val="0"/>
              </w:rPr>
              <w:t>—</w:t>
            </w:r>
          </w:p>
        </w:tc>
      </w:tr>
    </w:tbl>
    <w:p>
      <w:pPr>
        <w:spacing w:after="80"/>
      </w:pPr>
    </w:p>
    <w:p>
      <w:r>
        <w:rPr>
          <w:rFonts w:ascii="Open Sans" w:hAnsi="Open Sans"/>
          <w:b w:val="0"/>
          <w:i w:val="0"/>
        </w:rPr>
        <w:t xml:space="preserve">El RNC del comprador o proveedor se busca en línea y completa el nombre automáticamente. Agregue líneas con cantidad, precio e impuesto; el total se recalcula al escribir. </w:t>
      </w:r>
      <w:r>
        <w:rPr>
          <w:rFonts w:ascii="Open Sans" w:hAnsi="Open Sans"/>
          <w:b/>
          <w:i w:val="0"/>
        </w:rPr>
        <w:t>Emitir</w:t>
      </w:r>
      <w:r>
        <w:rPr>
          <w:rFonts w:ascii="Open Sans" w:hAnsi="Open Sans"/>
          <w:b w:val="0"/>
          <w:i w:val="0"/>
        </w:rPr>
        <w:t xml:space="preserve"> envía a la DGII de inmediato con un indicador de progreso hasta confirmar Aceptado o Rechazado; </w:t>
      </w:r>
      <w:r>
        <w:rPr>
          <w:rFonts w:ascii="Open Sans" w:hAnsi="Open Sans"/>
          <w:b/>
          <w:i w:val="0"/>
        </w:rPr>
        <w:t>Guardar borrador</w:t>
      </w:r>
      <w:r>
        <w:rPr>
          <w:rFonts w:ascii="Open Sans" w:hAnsi="Open Sans"/>
          <w:b w:val="0"/>
          <w:i w:val="0"/>
        </w:rPr>
        <w:t xml:space="preserve"> lo deja listo para confirmar después.</w:t>
      </w:r>
    </w:p>
    <w:p>
      <w:pPr>
        <w:pStyle w:val="ManualH2"/>
        <w:keepNext/>
      </w:pPr>
      <w:r>
        <w:rPr>
          <w:rFonts w:ascii="Open Sans" w:hAnsi="Open Sans"/>
          <w:b/>
          <w:i w:val="0"/>
        </w:rPr>
        <w:t>Reportes</w:t>
      </w:r>
    </w:p>
    <w:p>
      <w:r>
        <w:rPr>
          <w:rFonts w:ascii="Open Sans" w:hAnsi="Open Sans"/>
          <w:b/>
          <w:i w:val="0"/>
        </w:rPr>
        <w:t>Visión:</w:t>
      </w:r>
      <w:r>
        <w:rPr>
          <w:rFonts w:ascii="Open Sans" w:hAnsi="Open Sans"/>
          <w:b w:val="0"/>
          <w:i w:val="0"/>
        </w:rPr>
        <w:t xml:space="preserve"> indicadores, gráfico mensual, desglose por tipo y estado, y un ranking de sus diez clientes principales con filtro al hacer clic. </w:t>
      </w:r>
      <w:r>
        <w:rPr>
          <w:rFonts w:ascii="Open Sans" w:hAnsi="Open Sans"/>
          <w:b/>
          <w:i w:val="0"/>
        </w:rPr>
        <w:t>Detalle:</w:t>
      </w:r>
      <w:r>
        <w:rPr>
          <w:rFonts w:ascii="Open Sans" w:hAnsi="Open Sans"/>
          <w:b w:val="0"/>
          <w:i w:val="0"/>
        </w:rPr>
        <w:t xml:space="preserve"> la lista línea por línea del período filtrado. </w:t>
      </w:r>
      <w:r>
        <w:rPr>
          <w:rFonts w:ascii="Open Sans" w:hAnsi="Open Sans"/>
          <w:b/>
          <w:i w:val="0"/>
        </w:rPr>
        <w:t>Exportar:</w:t>
      </w:r>
      <w:r>
        <w:rPr>
          <w:rFonts w:ascii="Open Sans" w:hAnsi="Open Sans"/>
          <w:b w:val="0"/>
          <w:i w:val="0"/>
        </w:rPr>
        <w:t xml:space="preserve"> descarga masiva de XML, Excel de Emisiones/Recepciones/Pagos, y reporte en PDF del período.</w:t>
      </w:r>
    </w:p>
    <w:p>
      <w:pPr>
        <w:pStyle w:val="ManualBar"/>
        <w:shd w:val="clear" w:color="auto" w:fill="0091C4"/>
        <w:pBdr>
          <w:top w:val="single" w:sz="2" w:space="6" w:color="0091C4"/>
          <w:left w:val="single" w:sz="2" w:space="6" w:color="0091C4"/>
          <w:bottom w:val="single" w:sz="2" w:space="6" w:color="0091C4"/>
          <w:right w:val="single" w:sz="2" w:space="6" w:color="0091C4"/>
        </w:pBdr>
        <w:keepNext/>
      </w:pPr>
      <w:r>
        <w:rPr>
          <w:rFonts w:ascii="Open Sans" w:hAnsi="Open Sans"/>
          <w:b/>
          <w:color w:val="FFFFFF"/>
        </w:rPr>
        <w:t>CUENTA Y EQUIPO</w:t>
      </w:r>
    </w:p>
    <w:p>
      <w:pPr>
        <w:pStyle w:val="ManualH1"/>
      </w:pPr>
      <w:r>
        <w:rPr>
          <w:rFonts w:ascii="Open Sans" w:hAnsi="Open Sans"/>
          <w:b/>
          <w:i w:val="0"/>
        </w:rPr>
        <w:t>Su equipo, su cuenta y su configuración</w:t>
      </w:r>
    </w:p>
    <w:p>
      <w:pPr>
        <w:pStyle w:val="ManualH2"/>
        <w:keepNext/>
      </w:pPr>
      <w:r>
        <w:rPr>
          <w:rFonts w:ascii="Open Sans" w:hAnsi="Open Sans"/>
          <w:b/>
          <w:i w:val="0"/>
        </w:rPr>
        <w:t>Usuarios</w:t>
      </w:r>
    </w:p>
    <w:tbl>
      <w:tblPr>
        <w:tblW w:type="auto" w:w="0"/>
        <w:jc w:val="center"/>
        <w:tblLayout w:type="fixed"/>
        <w:tblLook w:firstColumn="1" w:firstRow="1" w:lastColumn="0" w:lastRow="0" w:noHBand="0" w:noVBand="1" w:val="04A0"/>
        <w:tblBorders>
          <w:top w:val="single" w:sz="6" w:space="0" w:color="0091C4"/>
          <w:left w:val="single" w:sz="6" w:space="0" w:color="0091C4"/>
          <w:bottom w:val="single" w:sz="6" w:space="0" w:color="0091C4"/>
          <w:right w:val="single" w:sz="6" w:space="0" w:color="0091C4"/>
          <w:insideH w:val="single" w:sz="6" w:space="0" w:color="0091C4"/>
          <w:insideV w:val="single" w:sz="6" w:space="0" w:color="0091C4"/>
        </w:tblBorders>
        <w:tblCellMar>
          <w:top w:w="60" w:type="dxa"/>
          <w:start w:w="110" w:type="dxa"/>
          <w:bottom w:w="60" w:type="dxa"/>
          <w:end w:w="110" w:type="dxa"/>
        </w:tblCellMar>
        <w:tblLayout w:type="fixed"/>
        <w:tblW w:w="10199" w:type="dxa"/>
      </w:tblPr>
      <w:tblGrid>
        <w:gridCol w:w="3468"/>
        <w:gridCol w:w="6731"/>
      </w:tblGrid>
      <w:tr>
        <w:trPr>
          <w:tblHeader/>
        </w:trPr>
        <w:tc>
          <w:tcPr>
            <w:shd w:val="clear" w:color="auto" w:fill="F4F6F8"/>
            <w:tcW w:w="3468" w:type="dxa"/>
          </w:tcPr>
          <w:p>
            <w:pPr>
              <w:pStyle w:val="ManualTableCell"/>
            </w:pPr>
            <w:r>
              <w:rPr>
                <w:rFonts w:ascii="Open Sans" w:hAnsi="Open Sans"/>
                <w:b/>
                <w:i w:val="0"/>
                <w:color w:val="073763"/>
              </w:rPr>
              <w:t>Rol</w:t>
            </w:r>
          </w:p>
        </w:tc>
        <w:tc>
          <w:tcPr>
            <w:shd w:val="clear" w:color="auto" w:fill="F4F6F8"/>
            <w:tcW w:w="6731" w:type="dxa"/>
          </w:tcPr>
          <w:p>
            <w:pPr>
              <w:pStyle w:val="ManualTableCell"/>
            </w:pPr>
            <w:r>
              <w:rPr>
                <w:rFonts w:ascii="Open Sans" w:hAnsi="Open Sans"/>
                <w:b/>
                <w:i w:val="0"/>
                <w:color w:val="073763"/>
              </w:rPr>
              <w:t>Qué puede hacer</w:t>
            </w:r>
          </w:p>
        </w:tc>
      </w:tr>
      <w:tr>
        <w:tc>
          <w:tcPr>
            <w:tcW w:w="3468" w:type="dxa"/>
          </w:tcPr>
          <w:p>
            <w:pPr>
              <w:pStyle w:val="ManualTableCell"/>
            </w:pPr>
            <w:r>
              <w:rPr>
                <w:rFonts w:ascii="Open Sans" w:hAnsi="Open Sans"/>
                <w:b w:val="0"/>
                <w:i w:val="0"/>
              </w:rPr>
              <w:t>owner</w:t>
            </w:r>
          </w:p>
        </w:tc>
        <w:tc>
          <w:tcPr>
            <w:tcW w:w="6731" w:type="dxa"/>
          </w:tcPr>
          <w:p>
            <w:pPr>
              <w:pStyle w:val="ManualTableCell"/>
            </w:pPr>
            <w:r>
              <w:rPr>
                <w:rFonts w:ascii="Open Sans" w:hAnsi="Open Sans"/>
                <w:b w:val="0"/>
                <w:i w:val="0"/>
              </w:rPr>
              <w:t>Dueño de la cuenta. No se le puede quitar el rol ni removerlo.</w:t>
            </w:r>
          </w:p>
        </w:tc>
      </w:tr>
      <w:tr>
        <w:tc>
          <w:tcPr>
            <w:tcW w:w="3468" w:type="dxa"/>
          </w:tcPr>
          <w:p>
            <w:pPr>
              <w:pStyle w:val="ManualTableCell"/>
            </w:pPr>
            <w:r>
              <w:rPr>
                <w:rFonts w:ascii="Open Sans" w:hAnsi="Open Sans"/>
                <w:b w:val="0"/>
                <w:i w:val="0"/>
              </w:rPr>
              <w:t>admin</w:t>
            </w:r>
          </w:p>
        </w:tc>
        <w:tc>
          <w:tcPr>
            <w:tcW w:w="6731" w:type="dxa"/>
          </w:tcPr>
          <w:p>
            <w:pPr>
              <w:pStyle w:val="ManualTableCell"/>
            </w:pPr>
            <w:r>
              <w:rPr>
                <w:rFonts w:ascii="Open Sans" w:hAnsi="Open Sans"/>
                <w:b w:val="0"/>
                <w:i w:val="0"/>
              </w:rPr>
              <w:t>Invita, cambia roles y remueve miembros (menos a otro admin, salvo que sea el owner).</w:t>
            </w:r>
          </w:p>
        </w:tc>
      </w:tr>
      <w:tr>
        <w:tc>
          <w:tcPr>
            <w:tcW w:w="3468" w:type="dxa"/>
          </w:tcPr>
          <w:p>
            <w:pPr>
              <w:pStyle w:val="ManualTableCell"/>
            </w:pPr>
            <w:r>
              <w:rPr>
                <w:rFonts w:ascii="Open Sans" w:hAnsi="Open Sans"/>
                <w:b w:val="0"/>
                <w:i w:val="0"/>
              </w:rPr>
              <w:t>user</w:t>
            </w:r>
          </w:p>
        </w:tc>
        <w:tc>
          <w:tcPr>
            <w:tcW w:w="6731" w:type="dxa"/>
          </w:tcPr>
          <w:p>
            <w:pPr>
              <w:pStyle w:val="ManualTableCell"/>
            </w:pPr>
            <w:r>
              <w:rPr>
                <w:rFonts w:ascii="Open Sans" w:hAnsi="Open Sans"/>
                <w:b w:val="0"/>
                <w:i w:val="0"/>
              </w:rPr>
              <w:t>Acceso operativo, sin gestión de equipo.</w:t>
            </w:r>
          </w:p>
        </w:tc>
      </w:tr>
    </w:tbl>
    <w:p>
      <w:pPr>
        <w:spacing w:after="80"/>
      </w:pPr>
    </w:p>
    <w:p>
      <w:r>
        <w:rPr>
          <w:rFonts w:ascii="Open Sans" w:hAnsi="Open Sans"/>
          <w:b w:val="0"/>
          <w:i w:val="0"/>
        </w:rPr>
        <w:t>Dueños y administradores invitan por correo indicando el rol; la invitación queda listada con su estado (Pendiente, Expirada, Aceptada) y puede reenviarse. Nadie puede removerse a sí mismo, y el dueño no puede ser removido.</w:t>
      </w:r>
    </w:p>
    <w:p>
      <w:pPr>
        <w:pStyle w:val="ManualH2"/>
        <w:keepNext/>
      </w:pPr>
      <w:r>
        <w:rPr>
          <w:rFonts w:ascii="Open Sans" w:hAnsi="Open Sans"/>
          <w:b/>
          <w:i w:val="0"/>
        </w:rPr>
        <w:t>Facturación con Fixcal</w:t>
      </w:r>
    </w:p>
    <w:p>
      <w:pPr>
        <w:pStyle w:val="ManualNote"/>
        <w:shd w:val="clear" w:color="auto" w:fill="F4F6F8"/>
        <w:pBdr>
          <w:left w:val="single" w:sz="18" w:space="6" w:color="0091C4"/>
        </w:pBdr>
        <w:ind w:left="170" w:right="113"/>
      </w:pPr>
      <w:r>
        <w:rPr>
          <w:rFonts w:ascii="Open Sans" w:hAnsi="Open Sans"/>
          <w:b/>
          <w:i/>
        </w:rPr>
        <w:t xml:space="preserve">NOTA: </w:t>
      </w:r>
      <w:r>
        <w:rPr>
          <w:rFonts w:ascii="Open Sans" w:hAnsi="Open Sans"/>
          <w:b w:val="0"/>
          <w:i w:val="0"/>
        </w:rPr>
        <w:t>no confundir con Ventas ni Emisiones — esto es lo que su empresa le paga a Fixcal por el servicio.</w:t>
      </w:r>
    </w:p>
    <w:p>
      <w:r>
        <w:rPr>
          <w:rFonts w:ascii="Open Sans" w:hAnsi="Open Sans"/>
          <w:b w:val="0"/>
          <w:i w:val="0"/>
        </w:rPr>
        <w:t xml:space="preserve">Muestra su saldo pendiente en USD con botón de pago o instrucciones de transferencia, el estimado del mes en curso y el historial de hasta 24 períodos con su comprobante en PDF. </w:t>
      </w:r>
      <w:r>
        <w:rPr>
          <w:rFonts w:ascii="Open Sans" w:hAnsi="Open Sans"/>
          <w:b/>
          <w:i w:val="0"/>
        </w:rPr>
        <w:t>Consumo</w:t>
      </w:r>
      <w:r>
        <w:rPr>
          <w:rFonts w:ascii="Open Sans" w:hAnsi="Open Sans"/>
          <w:b w:val="0"/>
          <w:i w:val="0"/>
        </w:rPr>
        <w:t xml:space="preserve"> detalla los últimos seis meses; </w:t>
      </w:r>
      <w:r>
        <w:rPr>
          <w:rFonts w:ascii="Open Sans" w:hAnsi="Open Sans"/>
          <w:b/>
          <w:i w:val="0"/>
        </w:rPr>
        <w:t>Facturas</w:t>
      </w:r>
      <w:r>
        <w:rPr>
          <w:rFonts w:ascii="Open Sans" w:hAnsi="Open Sans"/>
          <w:b w:val="0"/>
          <w:i w:val="0"/>
        </w:rPr>
        <w:t xml:space="preserve"> lista los comprobantes fiscales que Fixcal le emitió; </w:t>
      </w:r>
      <w:r>
        <w:rPr>
          <w:rFonts w:ascii="Open Sans" w:hAnsi="Open Sans"/>
          <w:b/>
          <w:i w:val="0"/>
        </w:rPr>
        <w:t>Método de pago</w:t>
      </w:r>
      <w:r>
        <w:rPr>
          <w:rFonts w:ascii="Open Sans" w:hAnsi="Open Sans"/>
          <w:b w:val="0"/>
          <w:i w:val="0"/>
        </w:rPr>
        <w:t xml:space="preserve"> muestra la tarjeta guardada y permite agregar o reemplazar una, cuando esta función está habilitada para su cuenta.</w:t>
      </w:r>
    </w:p>
    <w:p>
      <w:pPr>
        <w:pStyle w:val="ManualH2"/>
        <w:keepNext/>
      </w:pPr>
      <w:r>
        <w:rPr>
          <w:rFonts w:ascii="Open Sans" w:hAnsi="Open Sans"/>
          <w:b/>
          <w:i w:val="0"/>
        </w:rPr>
        <w:t>Configuración</w:t>
      </w:r>
    </w:p>
    <w:p>
      <w:pPr>
        <w:pStyle w:val="ManualH3"/>
        <w:keepNext/>
      </w:pPr>
      <w:r>
        <w:rPr>
          <w:rFonts w:ascii="Open Sans" w:hAnsi="Open Sans"/>
          <w:b/>
          <w:i w:val="0"/>
        </w:rPr>
        <w:t>Datos de la empresa</w:t>
      </w:r>
    </w:p>
    <w:p>
      <w:r>
        <w:rPr>
          <w:rFonts w:ascii="Open Sans" w:hAnsi="Open Sans"/>
          <w:b w:val="0"/>
          <w:i w:val="0"/>
        </w:rPr>
        <w:t>Logo, identificación, contacto y ambiente DGII, en un único formulario.</w:t>
      </w:r>
    </w:p>
    <w:p>
      <w:pPr>
        <w:pStyle w:val="ManualH3"/>
        <w:keepNext/>
      </w:pPr>
      <w:r>
        <w:rPr>
          <w:rFonts w:ascii="Open Sans" w:hAnsi="Open Sans"/>
          <w:b/>
          <w:i w:val="0"/>
        </w:rPr>
        <w:t>Certificado digital</w:t>
      </w:r>
    </w:p>
    <w:p>
      <w:r>
        <w:rPr>
          <w:rFonts w:ascii="Open Sans" w:hAnsi="Open Sans"/>
          <w:b w:val="0"/>
          <w:i w:val="0"/>
        </w:rPr>
        <w:t>Suba su .pfx / .p12 con contraseña. Es requisito para activar Recepciones y usar Firmar XML.</w:t>
      </w:r>
    </w:p>
    <w:p>
      <w:pPr>
        <w:pStyle w:val="ManualH3"/>
        <w:keepNext/>
      </w:pPr>
      <w:r>
        <w:rPr>
          <w:rFonts w:ascii="Open Sans" w:hAnsi="Open Sans"/>
          <w:b/>
          <w:i w:val="0"/>
        </w:rPr>
        <w:t>Clave API</w:t>
      </w:r>
    </w:p>
    <w:p>
      <w:r>
        <w:rPr>
          <w:rFonts w:ascii="Open Sans" w:hAnsi="Open Sans"/>
          <w:b w:val="0"/>
          <w:i w:val="0"/>
        </w:rPr>
        <w:t>Una clave de pruebas que usted mismo genera y ve, y una clave de producción que se solicita y Fixcal aprueba. Ambas se envían en la cabecera x-api-key.</w:t>
      </w:r>
    </w:p>
    <w:p>
      <w:pPr>
        <w:pStyle w:val="ManualH3"/>
        <w:keepNext/>
      </w:pPr>
      <w:r>
        <w:rPr>
          <w:rFonts w:ascii="Open Sans" w:hAnsi="Open Sans"/>
          <w:b/>
          <w:i w:val="0"/>
        </w:rPr>
        <w:t>Secuencias (NCF)</w:t>
      </w:r>
    </w:p>
    <w:p>
      <w:r>
        <w:rPr>
          <w:rFonts w:ascii="Open Sans" w:hAnsi="Open Sans"/>
          <w:b w:val="0"/>
          <w:i w:val="0"/>
        </w:rPr>
        <w:t>Si usa secuencias formales, gestiona rangos autorizados por tipo con alertas cuando quedan pocos números; si no, define el próximo número a usar de forma simple.</w:t>
      </w:r>
    </w:p>
    <w:p>
      <w:pPr>
        <w:pStyle w:val="ManualH3"/>
        <w:keepNext/>
      </w:pPr>
      <w:r>
        <w:rPr>
          <w:rFonts w:ascii="Open Sans" w:hAnsi="Open Sans"/>
          <w:b/>
          <w:i w:val="0"/>
        </w:rPr>
        <w:t>Odoo</w:t>
      </w:r>
    </w:p>
    <w:p>
      <w:r>
        <w:rPr>
          <w:rFonts w:ascii="Open Sans" w:hAnsi="Open Sans"/>
          <w:b w:val="0"/>
          <w:i w:val="0"/>
        </w:rPr>
        <w:t>Conecta su instancia de Odoo y habilita los botones "Enviar a Odoo", cuando esta integración está activada para su cuenta.</w:t>
      </w:r>
    </w:p>
    <w:p>
      <w:pPr>
        <w:pStyle w:val="ManualH3"/>
        <w:keepNext/>
      </w:pPr>
      <w:r>
        <w:rPr>
          <w:rFonts w:ascii="Open Sans" w:hAnsi="Open Sans"/>
          <w:b/>
          <w:i w:val="0"/>
        </w:rPr>
        <w:t>Firmar XML</w:t>
      </w:r>
    </w:p>
    <w:p>
      <w:pPr>
        <w:pStyle w:val="ManualNote"/>
        <w:shd w:val="clear" w:color="auto" w:fill="F4F6F8"/>
        <w:pBdr>
          <w:left w:val="single" w:sz="18" w:space="6" w:color="0091C4"/>
        </w:pBdr>
        <w:ind w:left="170" w:right="113"/>
      </w:pPr>
      <w:r>
        <w:rPr>
          <w:rFonts w:ascii="Open Sans" w:hAnsi="Open Sans"/>
          <w:b/>
          <w:i/>
        </w:rPr>
        <w:t xml:space="preserve">NOTA: </w:t>
      </w:r>
      <w:r>
        <w:rPr>
          <w:rFonts w:ascii="Open Sans" w:hAnsi="Open Sans"/>
          <w:b w:val="0"/>
          <w:i w:val="0"/>
        </w:rPr>
        <w:t>solo disponible en TesteCF / CerteCF.</w:t>
      </w:r>
    </w:p>
    <w:p>
      <w:r>
        <w:rPr>
          <w:rFonts w:ascii="Open Sans" w:hAnsi="Open Sans"/>
          <w:b w:val="0"/>
          <w:i w:val="0"/>
        </w:rPr>
        <w:t>Firma cualquier archivo XML con su certificado, para certificación.</w:t>
      </w:r>
    </w:p>
    <w:p>
      <w:pPr>
        <w:pStyle w:val="ManualH2"/>
        <w:keepNext/>
      </w:pPr>
      <w:r>
        <w:rPr>
          <w:rFonts w:ascii="Open Sans" w:hAnsi="Open Sans"/>
          <w:b/>
          <w:i w:val="0"/>
        </w:rPr>
        <w:t>Mi perfil y varias empresas</w:t>
      </w:r>
    </w:p>
    <w:p>
      <w:r>
        <w:rPr>
          <w:rFonts w:ascii="Open Sans" w:hAnsi="Open Sans"/>
          <w:b w:val="0"/>
          <w:i w:val="0"/>
        </w:rPr>
        <w:t xml:space="preserve">En </w:t>
      </w:r>
      <w:r>
        <w:rPr>
          <w:rFonts w:ascii="Open Sans" w:hAnsi="Open Sans"/>
          <w:b/>
          <w:i w:val="0"/>
        </w:rPr>
        <w:t>Mi perfil</w:t>
      </w:r>
      <w:r>
        <w:rPr>
          <w:rFonts w:ascii="Open Sans" w:hAnsi="Open Sans"/>
          <w:b w:val="0"/>
          <w:i w:val="0"/>
        </w:rPr>
        <w:t xml:space="preserve"> edita su nombre para mostrar y consulta si su correo está verificado, desde cuándo es miembro y a qué empresas pertenece (el cambio de contraseña se hace desde la pantalla de recuperación). Si trabaja para más de una empresa —o es contable de varios clientes— el selector de empresa en la barra superior le permite alternar entre ellas en segundos, y puede sumarse a una nueva con el mismo flujo de invitación de "Primeros pasos".</w:t>
      </w:r>
    </w:p>
    <w:p>
      <w:pPr>
        <w:pStyle w:val="ManualBar"/>
        <w:shd w:val="clear" w:color="auto" w:fill="0091C4"/>
        <w:pBdr>
          <w:top w:val="single" w:sz="2" w:space="6" w:color="0091C4"/>
          <w:left w:val="single" w:sz="2" w:space="6" w:color="0091C4"/>
          <w:bottom w:val="single" w:sz="2" w:space="6" w:color="0091C4"/>
          <w:right w:val="single" w:sz="2" w:space="6" w:color="0091C4"/>
        </w:pBdr>
        <w:keepNext/>
      </w:pPr>
      <w:r>
        <w:rPr>
          <w:rFonts w:ascii="Open Sans" w:hAnsi="Open Sans"/>
          <w:b/>
          <w:color w:val="FFFFFF"/>
        </w:rPr>
        <w:t>REFERENCIA</w:t>
      </w:r>
    </w:p>
    <w:p>
      <w:pPr>
        <w:pStyle w:val="ManualH1"/>
      </w:pPr>
      <w:r>
        <w:rPr>
          <w:rFonts w:ascii="Open Sans" w:hAnsi="Open Sans"/>
          <w:b/>
          <w:i w:val="0"/>
        </w:rPr>
        <w:t>Disponibilidad y glosario</w:t>
      </w:r>
    </w:p>
    <w:p>
      <w:pPr>
        <w:pStyle w:val="ManualH2"/>
        <w:keepNext/>
      </w:pPr>
      <w:r>
        <w:rPr>
          <w:rFonts w:ascii="Open Sans" w:hAnsi="Open Sans"/>
          <w:b/>
          <w:i w:val="0"/>
        </w:rPr>
        <w:t>Qué depende de su plan</w:t>
      </w:r>
    </w:p>
    <w:p>
      <w:r>
        <w:rPr>
          <w:rFonts w:ascii="Open Sans" w:hAnsi="Open Sans"/>
          <w:b w:val="0"/>
          <w:i w:val="0"/>
        </w:rPr>
        <w:t>No todas las empresas ven exactamente el mismo portal:</w:t>
      </w:r>
    </w:p>
    <w:tbl>
      <w:tblPr>
        <w:tblW w:type="auto" w:w="0"/>
        <w:jc w:val="center"/>
        <w:tblLayout w:type="fixed"/>
        <w:tblLook w:firstColumn="1" w:firstRow="1" w:lastColumn="0" w:lastRow="0" w:noHBand="0" w:noVBand="1" w:val="04A0"/>
        <w:tblBorders>
          <w:top w:val="single" w:sz="6" w:space="0" w:color="0091C4"/>
          <w:left w:val="single" w:sz="6" w:space="0" w:color="0091C4"/>
          <w:bottom w:val="single" w:sz="6" w:space="0" w:color="0091C4"/>
          <w:right w:val="single" w:sz="6" w:space="0" w:color="0091C4"/>
          <w:insideH w:val="single" w:sz="6" w:space="0" w:color="0091C4"/>
          <w:insideV w:val="single" w:sz="6" w:space="0" w:color="0091C4"/>
        </w:tblBorders>
        <w:tblCellMar>
          <w:top w:w="60" w:type="dxa"/>
          <w:start w:w="110" w:type="dxa"/>
          <w:bottom w:w="60" w:type="dxa"/>
          <w:end w:w="110" w:type="dxa"/>
        </w:tblCellMar>
        <w:tblLayout w:type="fixed"/>
        <w:tblW w:w="10199" w:type="dxa"/>
      </w:tblPr>
      <w:tblGrid>
        <w:gridCol w:w="3468"/>
        <w:gridCol w:w="6731"/>
      </w:tblGrid>
      <w:tr>
        <w:trPr>
          <w:tblHeader/>
        </w:trPr>
        <w:tc>
          <w:tcPr>
            <w:shd w:val="clear" w:color="auto" w:fill="F4F6F8"/>
            <w:tcW w:w="3468" w:type="dxa"/>
          </w:tcPr>
          <w:p>
            <w:pPr>
              <w:pStyle w:val="ManualTableCell"/>
            </w:pPr>
            <w:r>
              <w:rPr>
                <w:rFonts w:ascii="Open Sans" w:hAnsi="Open Sans"/>
                <w:b/>
                <w:i w:val="0"/>
                <w:color w:val="073763"/>
              </w:rPr>
              <w:t>Condición</w:t>
            </w:r>
          </w:p>
        </w:tc>
        <w:tc>
          <w:tcPr>
            <w:shd w:val="clear" w:color="auto" w:fill="F4F6F8"/>
            <w:tcW w:w="6731" w:type="dxa"/>
          </w:tcPr>
          <w:p>
            <w:pPr>
              <w:pStyle w:val="ManualTableCell"/>
            </w:pPr>
            <w:r>
              <w:rPr>
                <w:rFonts w:ascii="Open Sans" w:hAnsi="Open Sans"/>
                <w:b/>
                <w:i w:val="0"/>
                <w:color w:val="073763"/>
              </w:rPr>
              <w:t>Qué cambia</w:t>
            </w:r>
          </w:p>
        </w:tc>
      </w:tr>
      <w:tr>
        <w:tc>
          <w:tcPr>
            <w:tcW w:w="3468" w:type="dxa"/>
          </w:tcPr>
          <w:p>
            <w:pPr>
              <w:pStyle w:val="ManualTableCell"/>
            </w:pPr>
            <w:r>
              <w:rPr>
                <w:rFonts w:ascii="Open Sans" w:hAnsi="Open Sans"/>
                <w:b w:val="0"/>
                <w:i w:val="0"/>
              </w:rPr>
              <w:t>Ambiente eCF (producción)</w:t>
            </w:r>
          </w:p>
        </w:tc>
        <w:tc>
          <w:tcPr>
            <w:tcW w:w="6731" w:type="dxa"/>
          </w:tcPr>
          <w:p>
            <w:pPr>
              <w:pStyle w:val="ManualTableCell"/>
            </w:pPr>
            <w:r>
              <w:rPr>
                <w:rFonts w:ascii="Open Sans" w:hAnsi="Open Sans"/>
                <w:b w:val="0"/>
                <w:i w:val="0"/>
              </w:rPr>
              <w:t>Oculta Ventas, Compras, Secuencias y Firmar XML del menú.</w:t>
            </w:r>
          </w:p>
        </w:tc>
      </w:tr>
      <w:tr>
        <w:tc>
          <w:tcPr>
            <w:tcW w:w="3468" w:type="dxa"/>
          </w:tcPr>
          <w:p>
            <w:pPr>
              <w:pStyle w:val="ManualTableCell"/>
            </w:pPr>
            <w:r>
              <w:rPr>
                <w:rFonts w:ascii="Open Sans" w:hAnsi="Open Sans"/>
                <w:b w:val="0"/>
                <w:i w:val="0"/>
              </w:rPr>
              <w:t>Secuencias formales activadas</w:t>
            </w:r>
          </w:p>
        </w:tc>
        <w:tc>
          <w:tcPr>
            <w:tcW w:w="6731" w:type="dxa"/>
          </w:tcPr>
          <w:p>
            <w:pPr>
              <w:pStyle w:val="ManualTableCell"/>
            </w:pPr>
            <w:r>
              <w:rPr>
                <w:rFonts w:ascii="Open Sans" w:hAnsi="Open Sans"/>
                <w:b w:val="0"/>
                <w:i w:val="0"/>
              </w:rPr>
              <w:t>Determina si Secuencias abre rangos autorizados o numeración simple.</w:t>
            </w:r>
          </w:p>
        </w:tc>
      </w:tr>
      <w:tr>
        <w:tc>
          <w:tcPr>
            <w:tcW w:w="3468" w:type="dxa"/>
          </w:tcPr>
          <w:p>
            <w:pPr>
              <w:pStyle w:val="ManualTableCell"/>
            </w:pPr>
            <w:r>
              <w:rPr>
                <w:rFonts w:ascii="Open Sans" w:hAnsi="Open Sans"/>
                <w:b w:val="0"/>
                <w:i w:val="0"/>
              </w:rPr>
              <w:t>Integración con Odoo habilitada</w:t>
            </w:r>
          </w:p>
        </w:tc>
        <w:tc>
          <w:tcPr>
            <w:tcW w:w="6731" w:type="dxa"/>
          </w:tcPr>
          <w:p>
            <w:pPr>
              <w:pStyle w:val="ManualTableCell"/>
            </w:pPr>
            <w:r>
              <w:rPr>
                <w:rFonts w:ascii="Open Sans" w:hAnsi="Open Sans"/>
                <w:b w:val="0"/>
                <w:i w:val="0"/>
              </w:rPr>
              <w:t>Muestra Odoo en Configuración y los botones "Enviar a Odoo".</w:t>
            </w:r>
          </w:p>
        </w:tc>
      </w:tr>
      <w:tr>
        <w:tc>
          <w:tcPr>
            <w:tcW w:w="3468" w:type="dxa"/>
          </w:tcPr>
          <w:p>
            <w:pPr>
              <w:pStyle w:val="ManualTableCell"/>
            </w:pPr>
            <w:r>
              <w:rPr>
                <w:rFonts w:ascii="Open Sans" w:hAnsi="Open Sans"/>
                <w:b w:val="0"/>
                <w:i w:val="0"/>
              </w:rPr>
              <w:t>Pagos con tarjeta habilitados</w:t>
            </w:r>
          </w:p>
        </w:tc>
        <w:tc>
          <w:tcPr>
            <w:tcW w:w="6731" w:type="dxa"/>
          </w:tcPr>
          <w:p>
            <w:pPr>
              <w:pStyle w:val="ManualTableCell"/>
            </w:pPr>
            <w:r>
              <w:rPr>
                <w:rFonts w:ascii="Open Sans" w:hAnsi="Open Sans"/>
                <w:b w:val="0"/>
                <w:i w:val="0"/>
              </w:rPr>
              <w:t>Muestra "Método de pago" en Facturación.</w:t>
            </w:r>
          </w:p>
        </w:tc>
      </w:tr>
      <w:tr>
        <w:tc>
          <w:tcPr>
            <w:tcW w:w="3468" w:type="dxa"/>
          </w:tcPr>
          <w:p>
            <w:pPr>
              <w:pStyle w:val="ManualTableCell"/>
            </w:pPr>
            <w:r>
              <w:rPr>
                <w:rFonts w:ascii="Open Sans" w:hAnsi="Open Sans"/>
                <w:b w:val="0"/>
                <w:i w:val="0"/>
              </w:rPr>
              <w:t>Certificado digital configurado</w:t>
            </w:r>
          </w:p>
        </w:tc>
        <w:tc>
          <w:tcPr>
            <w:tcW w:w="6731" w:type="dxa"/>
          </w:tcPr>
          <w:p>
            <w:pPr>
              <w:pStyle w:val="ManualTableCell"/>
            </w:pPr>
            <w:r>
              <w:rPr>
                <w:rFonts w:ascii="Open Sans" w:hAnsi="Open Sans"/>
                <w:b w:val="0"/>
                <w:i w:val="0"/>
              </w:rPr>
              <w:t>Requisito para Recepciones y Firmar XML.</w:t>
            </w:r>
          </w:p>
        </w:tc>
      </w:tr>
      <w:tr>
        <w:tc>
          <w:tcPr>
            <w:tcW w:w="3468" w:type="dxa"/>
          </w:tcPr>
          <w:p>
            <w:pPr>
              <w:pStyle w:val="ManualTableCell"/>
            </w:pPr>
            <w:r>
              <w:rPr>
                <w:rFonts w:ascii="Open Sans" w:hAnsi="Open Sans"/>
                <w:b w:val="0"/>
                <w:i w:val="0"/>
              </w:rPr>
              <w:t>Cuenta suspendida</w:t>
            </w:r>
          </w:p>
        </w:tc>
        <w:tc>
          <w:tcPr>
            <w:tcW w:w="6731" w:type="dxa"/>
          </w:tcPr>
          <w:p>
            <w:pPr>
              <w:pStyle w:val="ManualTableCell"/>
            </w:pPr>
            <w:r>
              <w:rPr>
                <w:rFonts w:ascii="Open Sans" w:hAnsi="Open Sans"/>
                <w:b w:val="0"/>
                <w:i w:val="0"/>
              </w:rPr>
              <w:t>Bloquea la generación o solicitud de nuevas claves API.</w:t>
            </w:r>
          </w:p>
        </w:tc>
      </w:tr>
    </w:tbl>
    <w:p>
      <w:pPr>
        <w:spacing w:after="80"/>
      </w:pPr>
    </w:p>
    <w:p>
      <w:r>
        <w:rPr>
          <w:rFonts w:ascii="Open Sans" w:hAnsi="Open Sans"/>
          <w:b w:val="0"/>
          <w:i w:val="0"/>
        </w:rPr>
        <w:t>Si una función de este manual no aparece en su portal, lo más probable es una de estas condiciones y no un error. Ante la duda, escriba a su contacto en Fixcal.</w:t>
      </w:r>
    </w:p>
    <w:p>
      <w:pPr>
        <w:pStyle w:val="ManualH2"/>
        <w:keepNext/>
      </w:pPr>
      <w:r>
        <w:rPr>
          <w:rFonts w:ascii="Open Sans" w:hAnsi="Open Sans"/>
          <w:b/>
          <w:i w:val="0"/>
        </w:rPr>
        <w:t>Glosario</w:t>
      </w:r>
    </w:p>
    <w:tbl>
      <w:tblPr>
        <w:tblW w:type="auto" w:w="0"/>
        <w:jc w:val="center"/>
        <w:tblLayout w:type="fixed"/>
        <w:tblLook w:firstColumn="1" w:firstRow="1" w:lastColumn="0" w:lastRow="0" w:noHBand="0" w:noVBand="1" w:val="04A0"/>
        <w:tblBorders>
          <w:top w:val="single" w:sz="6" w:space="0" w:color="0091C4"/>
          <w:left w:val="single" w:sz="6" w:space="0" w:color="0091C4"/>
          <w:bottom w:val="single" w:sz="6" w:space="0" w:color="0091C4"/>
          <w:right w:val="single" w:sz="6" w:space="0" w:color="0091C4"/>
          <w:insideH w:val="single" w:sz="6" w:space="0" w:color="0091C4"/>
          <w:insideV w:val="single" w:sz="6" w:space="0" w:color="0091C4"/>
        </w:tblBorders>
        <w:tblCellMar>
          <w:top w:w="60" w:type="dxa"/>
          <w:start w:w="110" w:type="dxa"/>
          <w:bottom w:w="60" w:type="dxa"/>
          <w:end w:w="110" w:type="dxa"/>
        </w:tblCellMar>
        <w:tblLayout w:type="fixed"/>
        <w:tblW w:w="10199" w:type="dxa"/>
      </w:tblPr>
      <w:tblGrid>
        <w:gridCol w:w="3468"/>
        <w:gridCol w:w="6731"/>
      </w:tblGrid>
      <w:tr>
        <w:trPr>
          <w:tblHeader/>
        </w:trPr>
        <w:tc>
          <w:tcPr>
            <w:shd w:val="clear" w:color="auto" w:fill="F4F6F8"/>
            <w:tcW w:w="3468" w:type="dxa"/>
          </w:tcPr>
          <w:p>
            <w:pPr>
              <w:pStyle w:val="ManualTableCell"/>
            </w:pPr>
            <w:r>
              <w:rPr>
                <w:rFonts w:ascii="Open Sans" w:hAnsi="Open Sans"/>
                <w:b/>
                <w:i w:val="0"/>
                <w:color w:val="073763"/>
              </w:rPr>
              <w:t>Término</w:t>
            </w:r>
          </w:p>
        </w:tc>
        <w:tc>
          <w:tcPr>
            <w:shd w:val="clear" w:color="auto" w:fill="F4F6F8"/>
            <w:tcW w:w="6731" w:type="dxa"/>
          </w:tcPr>
          <w:p>
            <w:pPr>
              <w:pStyle w:val="ManualTableCell"/>
            </w:pPr>
            <w:r>
              <w:rPr>
                <w:rFonts w:ascii="Open Sans" w:hAnsi="Open Sans"/>
                <w:b/>
                <w:i w:val="0"/>
                <w:color w:val="073763"/>
              </w:rPr>
              <w:t>Significado</w:t>
            </w:r>
          </w:p>
        </w:tc>
      </w:tr>
      <w:tr>
        <w:tc>
          <w:tcPr>
            <w:tcW w:w="3468" w:type="dxa"/>
          </w:tcPr>
          <w:p>
            <w:pPr>
              <w:pStyle w:val="ManualTableCell"/>
            </w:pPr>
            <w:r>
              <w:rPr>
                <w:rFonts w:ascii="Open Sans" w:hAnsi="Open Sans"/>
                <w:b w:val="0"/>
                <w:i w:val="0"/>
              </w:rPr>
              <w:t>e-CF</w:t>
            </w:r>
          </w:p>
        </w:tc>
        <w:tc>
          <w:tcPr>
            <w:tcW w:w="6731" w:type="dxa"/>
          </w:tcPr>
          <w:p>
            <w:pPr>
              <w:pStyle w:val="ManualTableCell"/>
            </w:pPr>
            <w:r>
              <w:rPr>
                <w:rFonts w:ascii="Open Sans" w:hAnsi="Open Sans"/>
                <w:b w:val="0"/>
                <w:i w:val="0"/>
              </w:rPr>
              <w:t>Comprobante Fiscal Electrónico validado por la DGII.</w:t>
            </w:r>
          </w:p>
        </w:tc>
      </w:tr>
      <w:tr>
        <w:tc>
          <w:tcPr>
            <w:tcW w:w="3468" w:type="dxa"/>
          </w:tcPr>
          <w:p>
            <w:pPr>
              <w:pStyle w:val="ManualTableCell"/>
            </w:pPr>
            <w:r>
              <w:rPr>
                <w:rFonts w:ascii="Open Sans" w:hAnsi="Open Sans"/>
                <w:b w:val="0"/>
                <w:i w:val="0"/>
              </w:rPr>
              <w:t>eNCF</w:t>
            </w:r>
          </w:p>
        </w:tc>
        <w:tc>
          <w:tcPr>
            <w:tcW w:w="6731" w:type="dxa"/>
          </w:tcPr>
          <w:p>
            <w:pPr>
              <w:pStyle w:val="ManualTableCell"/>
            </w:pPr>
            <w:r>
              <w:rPr>
                <w:rFonts w:ascii="Open Sans" w:hAnsi="Open Sans"/>
                <w:b w:val="0"/>
                <w:i w:val="0"/>
              </w:rPr>
              <w:t>Número de Comprobante Fiscal Electrónico: identificador único de cada e-CF.</w:t>
            </w:r>
          </w:p>
        </w:tc>
      </w:tr>
      <w:tr>
        <w:tc>
          <w:tcPr>
            <w:tcW w:w="3468" w:type="dxa"/>
          </w:tcPr>
          <w:p>
            <w:pPr>
              <w:pStyle w:val="ManualTableCell"/>
            </w:pPr>
            <w:r>
              <w:rPr>
                <w:rFonts w:ascii="Open Sans" w:hAnsi="Open Sans"/>
                <w:b w:val="0"/>
                <w:i w:val="0"/>
              </w:rPr>
              <w:t>RNC</w:t>
            </w:r>
          </w:p>
        </w:tc>
        <w:tc>
          <w:tcPr>
            <w:tcW w:w="6731" w:type="dxa"/>
          </w:tcPr>
          <w:p>
            <w:pPr>
              <w:pStyle w:val="ManualTableCell"/>
            </w:pPr>
            <w:r>
              <w:rPr>
                <w:rFonts w:ascii="Open Sans" w:hAnsi="Open Sans"/>
                <w:b w:val="0"/>
                <w:i w:val="0"/>
              </w:rPr>
              <w:t>Registro Nacional del Contribuyente.</w:t>
            </w:r>
          </w:p>
        </w:tc>
      </w:tr>
      <w:tr>
        <w:tc>
          <w:tcPr>
            <w:tcW w:w="3468" w:type="dxa"/>
          </w:tcPr>
          <w:p>
            <w:pPr>
              <w:pStyle w:val="ManualTableCell"/>
            </w:pPr>
            <w:r>
              <w:rPr>
                <w:rFonts w:ascii="Open Sans" w:hAnsi="Open Sans"/>
                <w:b w:val="0"/>
                <w:i w:val="0"/>
              </w:rPr>
              <w:t>ITBIS</w:t>
            </w:r>
          </w:p>
        </w:tc>
        <w:tc>
          <w:tcPr>
            <w:tcW w:w="6731" w:type="dxa"/>
          </w:tcPr>
          <w:p>
            <w:pPr>
              <w:pStyle w:val="ManualTableCell"/>
            </w:pPr>
            <w:r>
              <w:rPr>
                <w:rFonts w:ascii="Open Sans" w:hAnsi="Open Sans"/>
                <w:b w:val="0"/>
                <w:i w:val="0"/>
              </w:rPr>
              <w:t>Impuesto sobre Transferencia de Bienes Industrializados y Servicios.</w:t>
            </w:r>
          </w:p>
        </w:tc>
      </w:tr>
      <w:tr>
        <w:tc>
          <w:tcPr>
            <w:tcW w:w="3468" w:type="dxa"/>
          </w:tcPr>
          <w:p>
            <w:pPr>
              <w:pStyle w:val="ManualTableCell"/>
            </w:pPr>
            <w:r>
              <w:rPr>
                <w:rFonts w:ascii="Open Sans" w:hAnsi="Open Sans"/>
                <w:b w:val="0"/>
                <w:i w:val="0"/>
              </w:rPr>
              <w:t>DGII</w:t>
            </w:r>
          </w:p>
        </w:tc>
        <w:tc>
          <w:tcPr>
            <w:tcW w:w="6731" w:type="dxa"/>
          </w:tcPr>
          <w:p>
            <w:pPr>
              <w:pStyle w:val="ManualTableCell"/>
            </w:pPr>
            <w:r>
              <w:rPr>
                <w:rFonts w:ascii="Open Sans" w:hAnsi="Open Sans"/>
                <w:b w:val="0"/>
                <w:i w:val="0"/>
              </w:rPr>
              <w:t>Dirección General de Impuestos Internos.</w:t>
            </w:r>
          </w:p>
        </w:tc>
      </w:tr>
      <w:tr>
        <w:tc>
          <w:tcPr>
            <w:tcW w:w="3468" w:type="dxa"/>
          </w:tcPr>
          <w:p>
            <w:pPr>
              <w:pStyle w:val="ManualTableCell"/>
            </w:pPr>
            <w:r>
              <w:rPr>
                <w:rFonts w:ascii="Open Sans" w:hAnsi="Open Sans"/>
                <w:b w:val="0"/>
                <w:i w:val="0"/>
              </w:rPr>
              <w:t>ARECF</w:t>
            </w:r>
          </w:p>
        </w:tc>
        <w:tc>
          <w:tcPr>
            <w:tcW w:w="6731" w:type="dxa"/>
          </w:tcPr>
          <w:p>
            <w:pPr>
              <w:pStyle w:val="ManualTableCell"/>
            </w:pPr>
            <w:r>
              <w:rPr>
                <w:rFonts w:ascii="Open Sans" w:hAnsi="Open Sans"/>
                <w:b w:val="0"/>
                <w:i w:val="0"/>
              </w:rPr>
              <w:t>Acuse de Recibo del Comprobante Fiscal Electrónico.</w:t>
            </w:r>
          </w:p>
        </w:tc>
      </w:tr>
      <w:tr>
        <w:tc>
          <w:tcPr>
            <w:tcW w:w="3468" w:type="dxa"/>
          </w:tcPr>
          <w:p>
            <w:pPr>
              <w:pStyle w:val="ManualTableCell"/>
            </w:pPr>
            <w:r>
              <w:rPr>
                <w:rFonts w:ascii="Open Sans" w:hAnsi="Open Sans"/>
                <w:b w:val="0"/>
                <w:i w:val="0"/>
              </w:rPr>
              <w:t>TesteCF</w:t>
            </w:r>
          </w:p>
        </w:tc>
        <w:tc>
          <w:tcPr>
            <w:tcW w:w="6731" w:type="dxa"/>
          </w:tcPr>
          <w:p>
            <w:pPr>
              <w:pStyle w:val="ManualTableCell"/>
            </w:pPr>
            <w:r>
              <w:rPr>
                <w:rFonts w:ascii="Open Sans" w:hAnsi="Open Sans"/>
                <w:b w:val="0"/>
                <w:i w:val="0"/>
              </w:rPr>
              <w:t>Ambiente de pruebas técnicas, sin validez fiscal.</w:t>
            </w:r>
          </w:p>
        </w:tc>
      </w:tr>
      <w:tr>
        <w:tc>
          <w:tcPr>
            <w:tcW w:w="3468" w:type="dxa"/>
          </w:tcPr>
          <w:p>
            <w:pPr>
              <w:pStyle w:val="ManualTableCell"/>
            </w:pPr>
            <w:r>
              <w:rPr>
                <w:rFonts w:ascii="Open Sans" w:hAnsi="Open Sans"/>
                <w:b w:val="0"/>
                <w:i w:val="0"/>
              </w:rPr>
              <w:t>CerteCF</w:t>
            </w:r>
          </w:p>
        </w:tc>
        <w:tc>
          <w:tcPr>
            <w:tcW w:w="6731" w:type="dxa"/>
          </w:tcPr>
          <w:p>
            <w:pPr>
              <w:pStyle w:val="ManualTableCell"/>
            </w:pPr>
            <w:r>
              <w:rPr>
                <w:rFonts w:ascii="Open Sans" w:hAnsi="Open Sans"/>
                <w:b w:val="0"/>
                <w:i w:val="0"/>
              </w:rPr>
              <w:t>Ambiente del proceso formal de certificación con la DGII.</w:t>
            </w:r>
          </w:p>
        </w:tc>
      </w:tr>
      <w:tr>
        <w:tc>
          <w:tcPr>
            <w:tcW w:w="3468" w:type="dxa"/>
          </w:tcPr>
          <w:p>
            <w:pPr>
              <w:pStyle w:val="ManualTableCell"/>
            </w:pPr>
            <w:r>
              <w:rPr>
                <w:rFonts w:ascii="Open Sans" w:hAnsi="Open Sans"/>
                <w:b w:val="0"/>
                <w:i w:val="0"/>
              </w:rPr>
              <w:t>eCF (ambiente)</w:t>
            </w:r>
          </w:p>
        </w:tc>
        <w:tc>
          <w:tcPr>
            <w:tcW w:w="6731" w:type="dxa"/>
          </w:tcPr>
          <w:p>
            <w:pPr>
              <w:pStyle w:val="ManualTableCell"/>
            </w:pPr>
            <w:r>
              <w:rPr>
                <w:rFonts w:ascii="Open Sans" w:hAnsi="Open Sans"/>
                <w:b w:val="0"/>
                <w:i w:val="0"/>
              </w:rPr>
              <w:t>Producción: comprobantes con validez fiscal real.</w:t>
            </w:r>
          </w:p>
        </w:tc>
      </w:tr>
      <w:tr>
        <w:tc>
          <w:tcPr>
            <w:tcW w:w="3468" w:type="dxa"/>
          </w:tcPr>
          <w:p>
            <w:pPr>
              <w:pStyle w:val="ManualTableCell"/>
            </w:pPr>
            <w:r>
              <w:rPr>
                <w:rFonts w:ascii="Open Sans" w:hAnsi="Open Sans"/>
                <w:b w:val="0"/>
                <w:i w:val="0"/>
              </w:rPr>
              <w:t>T31 / T32</w:t>
            </w:r>
          </w:p>
        </w:tc>
        <w:tc>
          <w:tcPr>
            <w:tcW w:w="6731" w:type="dxa"/>
          </w:tcPr>
          <w:p>
            <w:pPr>
              <w:pStyle w:val="ManualTableCell"/>
            </w:pPr>
            <w:r>
              <w:rPr>
                <w:rFonts w:ascii="Open Sans" w:hAnsi="Open Sans"/>
                <w:b w:val="0"/>
                <w:i w:val="0"/>
              </w:rPr>
              <w:t>Crédito Fiscal / Consumo.</w:t>
            </w:r>
          </w:p>
        </w:tc>
      </w:tr>
      <w:tr>
        <w:tc>
          <w:tcPr>
            <w:tcW w:w="3468" w:type="dxa"/>
          </w:tcPr>
          <w:p>
            <w:pPr>
              <w:pStyle w:val="ManualTableCell"/>
            </w:pPr>
            <w:r>
              <w:rPr>
                <w:rFonts w:ascii="Open Sans" w:hAnsi="Open Sans"/>
                <w:b w:val="0"/>
                <w:i w:val="0"/>
              </w:rPr>
              <w:t>T33 / T34</w:t>
            </w:r>
          </w:p>
        </w:tc>
        <w:tc>
          <w:tcPr>
            <w:tcW w:w="6731" w:type="dxa"/>
          </w:tcPr>
          <w:p>
            <w:pPr>
              <w:pStyle w:val="ManualTableCell"/>
            </w:pPr>
            <w:r>
              <w:rPr>
                <w:rFonts w:ascii="Open Sans" w:hAnsi="Open Sans"/>
                <w:b w:val="0"/>
                <w:i w:val="0"/>
              </w:rPr>
              <w:t>Nota de Débito / Nota de Crédito.</w:t>
            </w:r>
          </w:p>
        </w:tc>
      </w:tr>
      <w:tr>
        <w:tc>
          <w:tcPr>
            <w:tcW w:w="3468" w:type="dxa"/>
          </w:tcPr>
          <w:p>
            <w:pPr>
              <w:pStyle w:val="ManualTableCell"/>
            </w:pPr>
            <w:r>
              <w:rPr>
                <w:rFonts w:ascii="Open Sans" w:hAnsi="Open Sans"/>
                <w:b w:val="0"/>
                <w:i w:val="0"/>
              </w:rPr>
              <w:t>T41 / T43</w:t>
            </w:r>
          </w:p>
        </w:tc>
        <w:tc>
          <w:tcPr>
            <w:tcW w:w="6731" w:type="dxa"/>
          </w:tcPr>
          <w:p>
            <w:pPr>
              <w:pStyle w:val="ManualTableCell"/>
            </w:pPr>
            <w:r>
              <w:rPr>
                <w:rFonts w:ascii="Open Sans" w:hAnsi="Open Sans"/>
                <w:b w:val="0"/>
                <w:i w:val="0"/>
              </w:rPr>
              <w:t>Compras (gastos) / Gastos menores.</w:t>
            </w:r>
          </w:p>
        </w:tc>
      </w:tr>
      <w:tr>
        <w:tc>
          <w:tcPr>
            <w:tcW w:w="3468" w:type="dxa"/>
          </w:tcPr>
          <w:p>
            <w:pPr>
              <w:pStyle w:val="ManualTableCell"/>
            </w:pPr>
            <w:r>
              <w:rPr>
                <w:rFonts w:ascii="Open Sans" w:hAnsi="Open Sans"/>
                <w:b w:val="0"/>
                <w:i w:val="0"/>
              </w:rPr>
              <w:t>T44 / T45 / T46</w:t>
            </w:r>
          </w:p>
        </w:tc>
        <w:tc>
          <w:tcPr>
            <w:tcW w:w="6731" w:type="dxa"/>
          </w:tcPr>
          <w:p>
            <w:pPr>
              <w:pStyle w:val="ManualTableCell"/>
            </w:pPr>
            <w:r>
              <w:rPr>
                <w:rFonts w:ascii="Open Sans" w:hAnsi="Open Sans"/>
                <w:b w:val="0"/>
                <w:i w:val="0"/>
              </w:rPr>
              <w:t>Regímenes especiales / Gubernamental / Exportaciones.</w:t>
            </w:r>
          </w:p>
        </w:tc>
      </w:tr>
      <w:tr>
        <w:tc>
          <w:tcPr>
            <w:tcW w:w="3468" w:type="dxa"/>
          </w:tcPr>
          <w:p>
            <w:pPr>
              <w:pStyle w:val="ManualTableCell"/>
            </w:pPr>
            <w:r>
              <w:rPr>
                <w:rFonts w:ascii="Open Sans" w:hAnsi="Open Sans"/>
                <w:b w:val="0"/>
                <w:i w:val="0"/>
              </w:rPr>
              <w:t>T47</w:t>
            </w:r>
          </w:p>
        </w:tc>
        <w:tc>
          <w:tcPr>
            <w:tcW w:w="6731" w:type="dxa"/>
          </w:tcPr>
          <w:p>
            <w:pPr>
              <w:pStyle w:val="ManualTableCell"/>
            </w:pPr>
            <w:r>
              <w:rPr>
                <w:rFonts w:ascii="Open Sans" w:hAnsi="Open Sans"/>
                <w:b w:val="0"/>
                <w:i w:val="0"/>
              </w:rPr>
              <w:t>Pagos al exterior.</w:t>
            </w:r>
          </w:p>
        </w:tc>
      </w:tr>
    </w:tbl>
    <w:p>
      <w:pPr>
        <w:spacing w:after="80"/>
      </w:pP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font w:name="Open Sans">
    <w:embedRegular w:fontKey="{00000000-0000-0000-0000-000000000000}" r:id="rIdFontRegular" w:subsetted="0"/>
    <w:embedBold w:fontKey="{00000000-0000-0000-0000-000000000000}" r:id="rIdFontBold" w:subsetted="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48" w:after="160" w:before="0"/>
      <w:jc w:val="both"/>
    </w:pPr>
    <w:rPr>
      <w:rFonts w:ascii="Open Sans" w:hAnsi="Open Sans" w:cs="Open Sans" w:eastAsia="Open Sans"/>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Title">
    <w:name w:val="ManualTitle"/>
    <w:basedOn w:val="Normal"/>
    <w:pPr>
      <w:spacing w:before="0" w:after="240" w:lineRule="auto" w:line="288"/>
      <w:jc w:val="center"/>
    </w:pPr>
    <w:rPr>
      <w:rFonts w:ascii="Open Sans" w:hAnsi="Open Sans" w:cs="Open Sans" w:eastAsia="Open Sans"/>
      <w:b/>
      <w:color w:val="202124"/>
      <w:sz w:val="52"/>
    </w:rPr>
  </w:style>
  <w:style w:type="paragraph" w:customStyle="1" w:styleId="ManualSubtitle">
    <w:name w:val="ManualSubtitle"/>
    <w:basedOn w:val="Normal"/>
    <w:pPr>
      <w:spacing w:before="0" w:after="0" w:lineRule="auto" w:line="288"/>
      <w:jc w:val="center"/>
    </w:pPr>
    <w:rPr>
      <w:rFonts w:ascii="Open Sans" w:hAnsi="Open Sans" w:cs="Open Sans" w:eastAsia="Open Sans"/>
      <w:b/>
      <w:color w:val="202124"/>
      <w:sz w:val="26"/>
    </w:rPr>
  </w:style>
  <w:style w:type="paragraph" w:customStyle="1" w:styleId="ManualCoverMeta">
    <w:name w:val="ManualCoverMeta"/>
    <w:basedOn w:val="Normal"/>
    <w:pPr>
      <w:spacing w:before="0" w:after="60" w:lineRule="auto" w:line="348"/>
      <w:jc w:val="center"/>
    </w:pPr>
    <w:rPr>
      <w:rFonts w:ascii="Open Sans" w:hAnsi="Open Sans" w:cs="Open Sans" w:eastAsia="Open Sans"/>
      <w:b w:val="0"/>
      <w:color w:val="5F6368"/>
      <w:sz w:val="21"/>
    </w:rPr>
  </w:style>
  <w:style w:type="paragraph" w:customStyle="1" w:styleId="ManualH1">
    <w:name w:val="ManualH1"/>
    <w:basedOn w:val="Normal"/>
    <w:pPr>
      <w:spacing w:before="360" w:after="240" w:lineRule="auto" w:line="288"/>
      <w:jc w:val="left"/>
    </w:pPr>
    <w:rPr>
      <w:rFonts w:ascii="Open Sans" w:hAnsi="Open Sans" w:cs="Open Sans" w:eastAsia="Open Sans"/>
      <w:b/>
      <w:color w:val="202124"/>
      <w:sz w:val="38"/>
    </w:rPr>
  </w:style>
  <w:style w:type="paragraph" w:customStyle="1" w:styleId="ManualH2">
    <w:name w:val="ManualH2"/>
    <w:basedOn w:val="Normal"/>
    <w:pPr>
      <w:spacing w:before="320" w:after="120" w:lineRule="auto" w:line="288"/>
      <w:jc w:val="left"/>
    </w:pPr>
    <w:rPr>
      <w:rFonts w:ascii="Open Sans" w:hAnsi="Open Sans" w:cs="Open Sans" w:eastAsia="Open Sans"/>
      <w:b/>
      <w:color w:val="202124"/>
      <w:sz w:val="28"/>
    </w:rPr>
  </w:style>
  <w:style w:type="paragraph" w:customStyle="1" w:styleId="ManualH3">
    <w:name w:val="ManualH3"/>
    <w:basedOn w:val="Normal"/>
    <w:pPr>
      <w:spacing w:before="280" w:after="80" w:lineRule="auto" w:line="348"/>
      <w:jc w:val="left"/>
    </w:pPr>
    <w:rPr>
      <w:rFonts w:ascii="Open Sans" w:hAnsi="Open Sans" w:cs="Open Sans" w:eastAsia="Open Sans"/>
      <w:b/>
      <w:color w:val="073763"/>
      <w:sz w:val="23"/>
    </w:rPr>
  </w:style>
  <w:style w:type="paragraph" w:customStyle="1" w:styleId="ManualBar">
    <w:name w:val="ManualBar"/>
    <w:basedOn w:val="Normal"/>
    <w:pPr>
      <w:spacing w:before="440" w:after="200" w:lineRule="auto" w:line="348"/>
      <w:jc w:val="left"/>
    </w:pPr>
    <w:rPr>
      <w:rFonts w:ascii="Open Sans" w:hAnsi="Open Sans" w:cs="Open Sans" w:eastAsia="Open Sans"/>
      <w:b/>
      <w:color w:val="FFFFFF"/>
      <w:sz w:val="22"/>
    </w:rPr>
  </w:style>
  <w:style w:type="paragraph" w:customStyle="1" w:styleId="ManualNote">
    <w:name w:val="ManualNote"/>
    <w:basedOn w:val="Normal"/>
    <w:pPr>
      <w:spacing w:before="120" w:after="160" w:lineRule="auto" w:line="348"/>
      <w:jc w:val="both"/>
    </w:pPr>
    <w:rPr>
      <w:rFonts w:ascii="Open Sans" w:hAnsi="Open Sans" w:cs="Open Sans" w:eastAsia="Open Sans"/>
      <w:b w:val="0"/>
      <w:color w:val="202124"/>
      <w:sz w:val="21"/>
    </w:rPr>
  </w:style>
  <w:style w:type="paragraph" w:customStyle="1" w:styleId="ManualBullet">
    <w:name w:val="ManualBullet"/>
    <w:basedOn w:val="Normal"/>
    <w:pPr>
      <w:spacing w:before="0" w:after="80" w:lineRule="auto" w:line="348"/>
      <w:jc w:val="both"/>
    </w:pPr>
    <w:rPr>
      <w:rFonts w:ascii="Open Sans" w:hAnsi="Open Sans" w:cs="Open Sans" w:eastAsia="Open Sans"/>
      <w:b w:val="0"/>
      <w:color w:val="202124"/>
      <w:sz w:val="21"/>
    </w:rPr>
  </w:style>
  <w:style w:type="paragraph" w:customStyle="1" w:styleId="ManualTableCell">
    <w:name w:val="ManualTableCell"/>
    <w:basedOn w:val="Normal"/>
    <w:pPr>
      <w:spacing w:before="0" w:after="0" w:lineRule="auto" w:line="348"/>
      <w:jc w:val="left"/>
    </w:pPr>
    <w:rPr>
      <w:rFonts w:ascii="Open Sans" w:hAnsi="Open Sans" w:cs="Open Sans" w:eastAsia="Open Sans"/>
      <w:b w:val="0"/>
      <w:color w:val="20212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_rels/fontTable.xml.rels><?xml version="1.0" encoding="UTF-8" standalone="yes"?><Relationships xmlns="http://schemas.openxmlformats.org/package/2006/relationships"><Relationship Id="rIdFontRegular" Type="http://schemas.openxmlformats.org/officeDocument/2006/relationships/font" Target="fonts/OpenSans-regular.ttf"/><Relationship Id="rIdFontBold"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