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100" w:before="0"/>
        <w:jc w:val="center"/>
      </w:pPr>
      <w:r>
        <w:rPr>
          <w:rFonts w:ascii="Calibri" w:cs="Calibri" w:eastAsia="Calibri" w:hAnsi="Calibri"/>
          <w:b/>
          <w:bCs/>
          <w:color w:val="111111"/>
          <w:sz w:val="52"/>
          <w:szCs w:val="52"/>
        </w:rPr>
        <w:t xml:space="preserve">EaaS CONTRACT CLAUSE BANK</w:t>
      </w:r>
    </w:p>
    <w:p>
      <w:pPr>
        <w:spacing w:after="200" w:before="60"/>
        <w:jc w:val="center"/>
      </w:pPr>
      <w:r>
        <w:rPr>
          <w:rFonts w:ascii="Calibri" w:cs="Calibri" w:eastAsia="Calibri" w:hAnsi="Calibri"/>
          <w:b w:val="false"/>
          <w:bCs w:val="false"/>
          <w:i/>
          <w:iCs/>
          <w:color w:val="444444"/>
          <w:sz w:val="26"/>
          <w:szCs w:val="26"/>
        </w:rPr>
        <w:t xml:space="preserve">75 Essential Clauses for Equipment-as-a-Service, Product-as-a-Service &amp; Cooling-as-a-Service Contracts</w:t>
      </w:r>
    </w:p>
    <w:p>
      <w:pPr>
        <w:pBdr>
          <w:bottom w:val="thick" w:color="00FB92" w:sz="12" w:space="1"/>
        </w:pBdr>
        <w:spacing w:after="240" w:before="0"/>
      </w:pPr>
    </w:p>
    <w:p>
      <w:pPr>
        <w:spacing w:after="40" w:before="40"/>
      </w:pPr>
      <w:r>
        <w:rPr>
          <w:rFonts w:ascii="Calibri" w:cs="Calibri" w:eastAsia="Calibri" w:hAnsi="Calibri"/>
          <w:b/>
          <w:bCs/>
          <w:color w:val="111111"/>
          <w:sz w:val="20"/>
          <w:szCs w:val="20"/>
        </w:rPr>
        <w:t xml:space="preserve">Compiled by: </w:t>
      </w:r>
      <w:r>
        <w:rPr>
          <w:rFonts w:ascii="Calibri" w:cs="Calibri" w:eastAsia="Calibri" w:hAnsi="Calibri"/>
          <w:color w:val="444444"/>
          <w:sz w:val="20"/>
          <w:szCs w:val="20"/>
        </w:rPr>
        <w:t xml:space="preserve">Luis Prato / KLEXU</w:t>
      </w:r>
    </w:p>
    <w:p>
      <w:pPr>
        <w:spacing w:after="40" w:before="40"/>
      </w:pPr>
      <w:r>
        <w:rPr>
          <w:rFonts w:ascii="Calibri" w:cs="Calibri" w:eastAsia="Calibri" w:hAnsi="Calibri"/>
          <w:b/>
          <w:bCs/>
          <w:color w:val="111111"/>
          <w:sz w:val="20"/>
          <w:szCs w:val="20"/>
        </w:rPr>
        <w:t xml:space="preserve">Primary Source: </w:t>
      </w:r>
      <w:r>
        <w:rPr>
          <w:rFonts w:ascii="Calibri" w:cs="Calibri" w:eastAsia="Calibri" w:hAnsi="Calibri"/>
          <w:color w:val="444444"/>
          <w:sz w:val="20"/>
          <w:szCs w:val="20"/>
        </w:rPr>
        <w:t xml:space="preserve">EaaS H2020 EU Project No. 892499 — Belgium, Netherlands &amp; Spain Standardised Contracts (January 2022)</w:t>
      </w:r>
    </w:p>
    <w:p>
      <w:pPr>
        <w:spacing w:after="40" w:before="40"/>
      </w:pPr>
      <w:r>
        <w:rPr>
          <w:rFonts w:ascii="Calibri" w:cs="Calibri" w:eastAsia="Calibri" w:hAnsi="Calibri"/>
          <w:b/>
          <w:bCs/>
          <w:color w:val="111111"/>
          <w:sz w:val="20"/>
          <w:szCs w:val="20"/>
        </w:rPr>
        <w:t xml:space="preserve">Additional Sources: </w:t>
      </w:r>
      <w:r>
        <w:rPr>
          <w:rFonts w:ascii="Calibri" w:cs="Calibri" w:eastAsia="Calibri" w:hAnsi="Calibri"/>
          <w:color w:val="444444"/>
          <w:sz w:val="20"/>
          <w:szCs w:val="20"/>
        </w:rPr>
        <w:t xml:space="preserve">KU Leuven CE Center Publication No. 30 — Model Clauses for PaaS Contracts (March 2024); Cooling as a Service Agreement Template (CaaS); Homie B.V. General Terms and Conditions v5.9 (October 2024)</w:t>
      </w:r>
    </w:p>
    <w:p>
      <w:pPr>
        <w:spacing w:after="80" w:before="0"/>
      </w:pPr>
    </w:p>
    <w:p>
      <w:pPr>
        <w:pBdr>
          <w:left w:val="thick" w:color="00FB92" w:sz="10" w:space="8"/>
        </w:pBdr>
        <w:shd w:fill="F5F5F5" w:val="clear"/>
        <w:spacing w:after="160" w:before="80"/>
        <w:ind w:left="560"/>
      </w:pPr>
      <w:r>
        <w:rPr>
          <w:rFonts w:ascii="Calibri" w:cs="Calibri" w:eastAsia="Calibri" w:hAnsi="Calibri"/>
          <w:i/>
          <w:iCs/>
          <w:color w:val="444444"/>
          <w:sz w:val="18"/>
          <w:szCs w:val="18"/>
        </w:rPr>
        <w:t xml:space="preserve">How to use: Each clause is numbered, titled, and coded by category. Source codes indicate the primary reference: [EaaS-BE] = Belgium standardised contract; [EaaS-NL] = Netherlands version; [EaaS-ES] = Spain version; [PaaS-KUL] = KU Leuven PaaS model clauses; [CaaS] = Cooling as a Service template; [Homie] = Homie B.V. T&amp;Cs. Items in [SQUARE BRACKETS] must be completed for each specific contract.</w:t>
      </w:r>
    </w:p>
    <w:p>
      <w:pPr>
        <w:pageBreakBefore/>
      </w:pPr>
      <w:r>
        <w:br/>
        <w:t xml:space="preserve"/>
      </w:r>
    </w:p>
    <w:p>
      <w:pPr>
        <w:shd w:fill="111111" w:val="clear"/>
        <w:spacing w:after="120" w:before="240"/>
        <w:ind w:left="240" w:right="240"/>
      </w:pPr>
      <w:r>
        <w:rPr>
          <w:rFonts w:ascii="Calibri" w:cs="Calibri" w:eastAsia="Calibri" w:hAnsi="Calibri"/>
          <w:b/>
          <w:bCs/>
          <w:color w:val="FFFFFF"/>
          <w:sz w:val="28"/>
          <w:szCs w:val="28"/>
        </w:rPr>
        <w:t xml:space="preserve">PART A — FOUNDATION CLAUSES</w:t>
      </w:r>
    </w:p>
    <w:p>
      <w:pPr>
        <w:pBdr>
          <w:left w:val="thick" w:color="00FB92" w:sz="10" w:space="6"/>
        </w:pBdr>
        <w:spacing w:after="40" w:before="200"/>
        <w:ind w:left="120"/>
      </w:pPr>
      <w:r>
        <w:rPr>
          <w:rFonts w:ascii="Calibri" w:cs="Calibri" w:eastAsia="Calibri" w:hAnsi="Calibri"/>
          <w:b/>
          <w:bCs/>
          <w:color w:val="111111"/>
          <w:sz w:val="24"/>
          <w:szCs w:val="24"/>
        </w:rPr>
        <w:t xml:space="preserve">A1. Recital: No Transfer of Title</w:t>
      </w:r>
    </w:p>
    <w:p>
      <w:pPr>
        <w:spacing w:after="60" w:before="0"/>
        <w:ind w:left="120"/>
      </w:pPr>
      <w:r>
        <w:rPr>
          <w:rFonts w:ascii="Calibri" w:cs="Calibri" w:eastAsia="Calibri" w:hAnsi="Calibri"/>
          <w:i/>
          <w:iCs/>
          <w:color w:val="777777"/>
          <w:sz w:val="18"/>
          <w:szCs w:val="18"/>
        </w:rPr>
        <w:t xml:space="preserve">Category: Foundation  |  Source: [EaaS-BE], [PaaS-KUL]</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is able and willing to provide [services], without transferring title of the equipment used therefor, in exchange for a service fee.</w:t>
      </w:r>
    </w:p>
    <w:p>
      <w:pPr>
        <w:spacing w:after="60" w:before="60"/>
        <w:ind w:left="120"/>
      </w:pPr>
      <w:r>
        <w:rPr>
          <w:rFonts w:ascii="Calibri" w:cs="Calibri" w:eastAsia="Calibri" w:hAnsi="Calibri"/>
          <w:b/>
          <w:bCs/>
          <w:color w:val="444444"/>
          <w:sz w:val="19"/>
          <w:szCs w:val="19"/>
        </w:rPr>
        <w:t xml:space="preserve">Note: </w:t>
      </w:r>
      <w:r>
        <w:rPr>
          <w:rFonts w:ascii="Calibri" w:cs="Calibri" w:eastAsia="Calibri" w:hAnsi="Calibri"/>
          <w:i/>
          <w:iCs/>
          <w:color w:val="555555"/>
          <w:sz w:val="19"/>
          <w:szCs w:val="19"/>
        </w:rPr>
        <w:t xml:space="preserve">This recital establishes the servitisation model from the outset. Every EaaS/PaaS contract must open with this statement to signal that the legal relationship is a service agreement, not a sale or lease, and that equipment remains Service Provider property.</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A2. Recital: Sustainability Alignment</w:t>
      </w:r>
    </w:p>
    <w:p>
      <w:pPr>
        <w:spacing w:after="60" w:before="0"/>
        <w:ind w:left="120"/>
      </w:pPr>
      <w:r>
        <w:rPr>
          <w:rFonts w:ascii="Calibri" w:cs="Calibri" w:eastAsia="Calibri" w:hAnsi="Calibri"/>
          <w:i/>
          <w:iCs/>
          <w:color w:val="777777"/>
          <w:sz w:val="18"/>
          <w:szCs w:val="18"/>
        </w:rPr>
        <w:t xml:space="preserve">Category: Foundation  |  Source: [PaaS-KUL]</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Parties acknowledge the shared sustainability objectives underlying this Agreement: reducing the carbon footprint of [equipment category], extending the functional life of capital assets, and transitioning from ownership to outcome-based use models in support of circular economy principles.</w:t>
      </w:r>
    </w:p>
    <w:p>
      <w:pPr>
        <w:spacing w:after="60" w:before="60"/>
        <w:ind w:left="120"/>
      </w:pPr>
      <w:r>
        <w:rPr>
          <w:rFonts w:ascii="Calibri" w:cs="Calibri" w:eastAsia="Calibri" w:hAnsi="Calibri"/>
          <w:b/>
          <w:bCs/>
          <w:color w:val="444444"/>
          <w:sz w:val="19"/>
          <w:szCs w:val="19"/>
        </w:rPr>
        <w:t xml:space="preserve">Note: </w:t>
      </w:r>
      <w:r>
        <w:rPr>
          <w:rFonts w:ascii="Calibri" w:cs="Calibri" w:eastAsia="Calibri" w:hAnsi="Calibri"/>
          <w:i/>
          <w:iCs/>
          <w:color w:val="555555"/>
          <w:sz w:val="19"/>
          <w:szCs w:val="19"/>
        </w:rPr>
        <w:t xml:space="preserve">Increasingly expected in public procurement, ESG-aligned financing, and B2B contracts where both parties carry sustainability reporting obligations.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A3. Obligation of Result (CRITICAL)</w:t>
      </w:r>
    </w:p>
    <w:p>
      <w:pPr>
        <w:spacing w:after="60" w:before="0"/>
        <w:ind w:left="120"/>
      </w:pPr>
      <w:r>
        <w:rPr>
          <w:rFonts w:ascii="Calibri" w:cs="Calibri" w:eastAsia="Calibri" w:hAnsi="Calibri"/>
          <w:i/>
          <w:iCs/>
          <w:color w:val="777777"/>
          <w:sz w:val="18"/>
          <w:szCs w:val="18"/>
        </w:rPr>
        <w:t xml:space="preserve">Category: Foundation  |  Source: [EaaS-BE] §2.1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Unless explicitly otherwise agreed, all Service Provider's obligations under this Agreement in respect of meeting the Service Level Requirements shall be considered as obligations of result ("resultaatsverbintenis" / "obligation de résultat" / "resultaatsverplichting"). The Service Provider guarantees the delivery of the specified output, not merely the deployment of best efforts toward achieving it.</w:t>
      </w:r>
    </w:p>
    <w:p>
      <w:pPr>
        <w:spacing w:after="60" w:before="60"/>
        <w:ind w:left="120"/>
      </w:pPr>
      <w:r>
        <w:rPr>
          <w:rFonts w:ascii="Calibri" w:cs="Calibri" w:eastAsia="Calibri" w:hAnsi="Calibri"/>
          <w:b/>
          <w:bCs/>
          <w:color w:val="444444"/>
          <w:sz w:val="19"/>
          <w:szCs w:val="19"/>
        </w:rPr>
        <w:t xml:space="preserve">Note: </w:t>
      </w:r>
      <w:r>
        <w:rPr>
          <w:rFonts w:ascii="Calibri" w:cs="Calibri" w:eastAsia="Calibri" w:hAnsi="Calibri"/>
          <w:i/>
          <w:iCs/>
          <w:color w:val="555555"/>
          <w:sz w:val="19"/>
          <w:szCs w:val="19"/>
        </w:rPr>
        <w:t xml:space="preserve">This is the most important single clause in an EaaS contract. It shifts the burden of proof for service failures entirely to the Provider: if output is not delivered, the Provider is in breach — unless it can prove Force Majeure or Client fault. Without this clause, the Provider may argue it used best efforts, which fundamentally undermines the EaaS value proposition.</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A4. Entire Agreement</w:t>
      </w:r>
    </w:p>
    <w:p>
      <w:pPr>
        <w:spacing w:after="60" w:before="0"/>
        <w:ind w:left="120"/>
      </w:pPr>
      <w:r>
        <w:rPr>
          <w:rFonts w:ascii="Calibri" w:cs="Calibri" w:eastAsia="Calibri" w:hAnsi="Calibri"/>
          <w:i/>
          <w:iCs/>
          <w:color w:val="777777"/>
          <w:sz w:val="18"/>
          <w:szCs w:val="18"/>
        </w:rPr>
        <w:t xml:space="preserve">Category: Foundation  |  Source: [EaaS-BE] §17</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This Agreement constitutes the entire agreement and understanding between the Parties in respect of its subject matter and supersedes any previous agreement, warranty, statement, representation, understanding, or undertaking (in each case whether written or oral) given or made before the Effective Date by or on behalf of the Parties and relating to its subject matter.</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A5. Order of Precedence</w:t>
      </w:r>
    </w:p>
    <w:p>
      <w:pPr>
        <w:spacing w:after="60" w:before="0"/>
        <w:ind w:left="120"/>
      </w:pPr>
      <w:r>
        <w:rPr>
          <w:rFonts w:ascii="Calibri" w:cs="Calibri" w:eastAsia="Calibri" w:hAnsi="Calibri"/>
          <w:i/>
          <w:iCs/>
          <w:color w:val="777777"/>
          <w:sz w:val="18"/>
          <w:szCs w:val="18"/>
        </w:rPr>
        <w:t xml:space="preserve">Category: Foundation  |  Source: [CaaS] §2</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In the event of inconsistency between the provisions of this Agreement, the following order of precedence shall apply: (1) the body of this Agreement; (2) the Term Sheet (Schedule 1); (3) the Service Level Requirements (Schedule 2); (4) the Fees (Schedule 3); (5) the Client Policies (Schedule 4); (6) the Data Protection Schedule (Schedule 5).</w:t>
      </w:r>
    </w:p>
    <w:p>
      <w:pPr>
        <w:pBdr>
          <w:bottom w:val="single" w:color="00FB92" w:sz="6" w:space="1"/>
        </w:pBdr>
        <w:spacing w:after="80" w:before="80"/>
      </w:pPr>
    </w:p>
    <w:p>
      <w:pPr>
        <w:pageBreakBefore/>
      </w:pPr>
      <w:r>
        <w:t xml:space="preserve"/>
      </w:r>
    </w:p>
    <w:p>
      <w:pPr>
        <w:shd w:fill="111111" w:val="clear"/>
        <w:spacing w:after="120" w:before="240"/>
        <w:ind w:left="240" w:right="240"/>
      </w:pPr>
      <w:r>
        <w:rPr>
          <w:rFonts w:ascii="Calibri" w:cs="Calibri" w:eastAsia="Calibri" w:hAnsi="Calibri"/>
          <w:b/>
          <w:bCs/>
          <w:color w:val="FFFFFF"/>
          <w:sz w:val="28"/>
          <w:szCs w:val="28"/>
        </w:rPr>
        <w:t xml:space="preserve">PART B — DEFINITIONS CLAUSES</w:t>
      </w:r>
    </w:p>
    <w:p>
      <w:pPr>
        <w:pBdr>
          <w:left w:val="thick" w:color="00FB92" w:sz="10" w:space="6"/>
        </w:pBdr>
        <w:spacing w:after="40" w:before="200"/>
        <w:ind w:left="120"/>
      </w:pPr>
      <w:r>
        <w:rPr>
          <w:rFonts w:ascii="Calibri" w:cs="Calibri" w:eastAsia="Calibri" w:hAnsi="Calibri"/>
          <w:b/>
          <w:bCs/>
          <w:color w:val="111111"/>
          <w:sz w:val="24"/>
          <w:szCs w:val="24"/>
        </w:rPr>
        <w:t xml:space="preserve">B1. Force Majeure Event Definition</w:t>
      </w:r>
    </w:p>
    <w:p>
      <w:pPr>
        <w:spacing w:after="60" w:before="0"/>
        <w:ind w:left="120"/>
      </w:pPr>
      <w:r>
        <w:rPr>
          <w:rFonts w:ascii="Calibri" w:cs="Calibri" w:eastAsia="Calibri" w:hAnsi="Calibri"/>
          <w:i/>
          <w:iCs/>
          <w:color w:val="777777"/>
          <w:sz w:val="18"/>
          <w:szCs w:val="18"/>
        </w:rPr>
        <w:t xml:space="preserve">Category: Definitions  |  Source: [EaaS-BE] §1.1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"Force Majeure Event" means any event of force majeure, i.e. strike, pandemic, lock-out or labour dispute (excluding, in all cases, by the employees of the Service Provider or its Sub-Contractors or suppliers, unless there is a general strike at national or regional level), an act of God, war, fire, flood, civil rebellion or terrorism, in each case, that is beyond the control of the affected Party and not susceptible to being planned for or avoided by reasonably prudent persons or entities providing or operating a business similar in scale and scope to the affected Party. For the avoidance of doubt, the mere shortage of materials, equipment, labour or supplies shall not constitute a Force Majeure Event.</w:t>
      </w:r>
    </w:p>
    <w:p>
      <w:pPr>
        <w:spacing w:after="60" w:before="60"/>
        <w:ind w:left="120"/>
      </w:pPr>
      <w:r>
        <w:rPr>
          <w:rFonts w:ascii="Calibri" w:cs="Calibri" w:eastAsia="Calibri" w:hAnsi="Calibri"/>
          <w:b/>
          <w:bCs/>
          <w:color w:val="444444"/>
          <w:sz w:val="19"/>
          <w:szCs w:val="19"/>
        </w:rPr>
        <w:t xml:space="preserve">Note: </w:t>
      </w:r>
      <w:r>
        <w:rPr>
          <w:rFonts w:ascii="Calibri" w:cs="Calibri" w:eastAsia="Calibri" w:hAnsi="Calibri"/>
          <w:i/>
          <w:iCs/>
          <w:color w:val="555555"/>
          <w:sz w:val="19"/>
          <w:szCs w:val="19"/>
        </w:rPr>
        <w:t xml:space="preserve">The explicit exclusion of materials/labour shortages is crucial — without it, a Provider could invoke Force Majeure during supply chain disruptions to suspend the service and avoid Liquidated Damages.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B2. Insolvency Situation Definition</w:t>
      </w:r>
    </w:p>
    <w:p>
      <w:pPr>
        <w:spacing w:after="60" w:before="0"/>
        <w:ind w:left="120"/>
      </w:pPr>
      <w:r>
        <w:rPr>
          <w:rFonts w:ascii="Calibri" w:cs="Calibri" w:eastAsia="Calibri" w:hAnsi="Calibri"/>
          <w:i/>
          <w:iCs/>
          <w:color w:val="777777"/>
          <w:sz w:val="18"/>
          <w:szCs w:val="18"/>
        </w:rPr>
        <w:t xml:space="preserve">Category: Definitions  |  Source: [EaaS-BE] §1.1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"Insolvency Situation" means (i) a Party passing a resolution for its liquidation, dissolution or winding up or suffering a winding-up order being made against it or going into administration; (ii) a receiver or administrative receiver is appointed or an encumbrance takes possession of the undertaking or assets (or any substantial part thereof) of a Party; and/or (iii) if a Party is unable to pay its debts or ceases to, threatens to cease to carry on its business, extends its requests for suspension of payment, or enters into a composition with all or part of its creditors.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B3. Liquidated Damages SLR Definition</w:t>
      </w:r>
    </w:p>
    <w:p>
      <w:pPr>
        <w:spacing w:after="60" w:before="0"/>
        <w:ind w:left="120"/>
      </w:pPr>
      <w:r>
        <w:rPr>
          <w:rFonts w:ascii="Calibri" w:cs="Calibri" w:eastAsia="Calibri" w:hAnsi="Calibri"/>
          <w:i/>
          <w:iCs/>
          <w:color w:val="777777"/>
          <w:sz w:val="18"/>
          <w:szCs w:val="18"/>
        </w:rPr>
        <w:t xml:space="preserve">Category: Definitions  |  Source: [EaaS-BE] §1.1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"Liquidated Damages Service Level Requirements" means the compensation, based on a realistic and mutually accepted estimation of the effective damage in relation to non-compliance, due by the Service Provider if it fails to meet certain Service Level Requirements, as provided for in Section 4 of Schedule 3.</w:t>
      </w:r>
    </w:p>
    <w:p>
      <w:pPr>
        <w:spacing w:after="60" w:before="60"/>
        <w:ind w:left="120"/>
      </w:pPr>
      <w:r>
        <w:rPr>
          <w:rFonts w:ascii="Calibri" w:cs="Calibri" w:eastAsia="Calibri" w:hAnsi="Calibri"/>
          <w:b/>
          <w:bCs/>
          <w:color w:val="444444"/>
          <w:sz w:val="19"/>
          <w:szCs w:val="19"/>
        </w:rPr>
        <w:t xml:space="preserve">Note: </w:t>
      </w:r>
      <w:r>
        <w:rPr>
          <w:rFonts w:ascii="Calibri" w:cs="Calibri" w:eastAsia="Calibri" w:hAnsi="Calibri"/>
          <w:i/>
          <w:iCs/>
          <w:color w:val="555555"/>
          <w:sz w:val="19"/>
          <w:szCs w:val="19"/>
        </w:rPr>
        <w:t xml:space="preserve">Framing Liquidated Damages as a "realistic and mutually accepted estimation" is legally important — it establishes that these are genuine pre-estimates of loss, not penalties, which is the threshold for enforceability in most civil law jurisdictions.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B4. Resource Unit Definition</w:t>
      </w:r>
    </w:p>
    <w:p>
      <w:pPr>
        <w:spacing w:after="60" w:before="0"/>
        <w:ind w:left="120"/>
      </w:pPr>
      <w:r>
        <w:rPr>
          <w:rFonts w:ascii="Calibri" w:cs="Calibri" w:eastAsia="Calibri" w:hAnsi="Calibri"/>
          <w:i/>
          <w:iCs/>
          <w:color w:val="777777"/>
          <w:sz w:val="18"/>
          <w:szCs w:val="18"/>
        </w:rPr>
        <w:t xml:space="preserve">Category: Definitions  |  Source: [EaaS-BE] §1.1, [CaaS]</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"Resource Unit" means the unit of measurement used to quantify the Services delivered and consumed by the Client in any billing period, as specified in the Term Sheet (Schedule 1). Resource Units may include, without limitation: kilowatt-hours (kWh) of electrical energy; tonnes of refrigeration (kW cooling delivered × hours/3.517); cubic metres (m³) of water, compressed air, or gas; kilograms (kg) of a consumable; or any other measurable output agreed by the Parties.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B5. Contracted Supply Definition</w:t>
      </w:r>
    </w:p>
    <w:p>
      <w:pPr>
        <w:spacing w:after="60" w:before="0"/>
        <w:ind w:left="120"/>
      </w:pPr>
      <w:r>
        <w:rPr>
          <w:rFonts w:ascii="Calibri" w:cs="Calibri" w:eastAsia="Calibri" w:hAnsi="Calibri"/>
          <w:i/>
          <w:iCs/>
          <w:color w:val="777777"/>
          <w:sz w:val="18"/>
          <w:szCs w:val="18"/>
        </w:rPr>
        <w:t xml:space="preserve">Category: Definitions  |  Source: [EaaS-BE] §1.1, [CaaS]</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"Contracted Supply" means the maximum supply capacity set out in the Term Sheet (Schedule 1) that the Client has requested and that the Service Provider has agreed to provide whenever the Client demands this capacity at any given time during the Term.</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B6. Commercially Reasonable Efforts Definition</w:t>
      </w:r>
    </w:p>
    <w:p>
      <w:pPr>
        <w:spacing w:after="60" w:before="0"/>
        <w:ind w:left="120"/>
      </w:pPr>
      <w:r>
        <w:rPr>
          <w:rFonts w:ascii="Calibri" w:cs="Calibri" w:eastAsia="Calibri" w:hAnsi="Calibri"/>
          <w:i/>
          <w:iCs/>
          <w:color w:val="777777"/>
          <w:sz w:val="18"/>
          <w:szCs w:val="18"/>
        </w:rPr>
        <w:t xml:space="preserve">Category: Definitions  |  Source: [EaaS-BE] §1.1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"Commercially Reasonable Efforts" means that the Party obliged to perform shall take all such steps and perform in such a manner as if it were acting in a determined, prudent and reasonable manner in order to achieve the desired result, and perform the obligations set out in this Agreement.</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B7. Confidential Information Definition</w:t>
      </w:r>
    </w:p>
    <w:p>
      <w:pPr>
        <w:spacing w:after="60" w:before="0"/>
        <w:ind w:left="120"/>
      </w:pPr>
      <w:r>
        <w:rPr>
          <w:rFonts w:ascii="Calibri" w:cs="Calibri" w:eastAsia="Calibri" w:hAnsi="Calibri"/>
          <w:i/>
          <w:iCs/>
          <w:color w:val="777777"/>
          <w:sz w:val="18"/>
          <w:szCs w:val="18"/>
        </w:rPr>
        <w:t xml:space="preserve">Category: Definitions  |  Source: [EaaS-BE] §1.1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"Confidential Information" means: (a) all information which is disclosed by one Party to the other, whether before or after the Effective Date, which is designated in writing as confidential or would appear to a reasonable person to be confidential and which relates to a Party's business including its products, operations, processes, plans or intentions, developments, trade secrets, know-how, design rights, market opportunities, personnel, suppliers and customers; (b) all Client Data; (c) all information derived from any of the above; and (d) the provisions of the Agreement and the negotiations relating to it.</w:t>
      </w:r>
    </w:p>
    <w:p>
      <w:pPr>
        <w:pBdr>
          <w:bottom w:val="single" w:color="00FB92" w:sz="6" w:space="1"/>
        </w:pBdr>
        <w:spacing w:after="80" w:before="80"/>
      </w:pPr>
    </w:p>
    <w:p>
      <w:pPr>
        <w:pageBreakBefore/>
      </w:pPr>
      <w:r>
        <w:t xml:space="preserve"/>
      </w:r>
    </w:p>
    <w:p>
      <w:pPr>
        <w:shd w:fill="111111" w:val="clear"/>
        <w:spacing w:after="120" w:before="240"/>
        <w:ind w:left="240" w:right="240"/>
      </w:pPr>
      <w:r>
        <w:rPr>
          <w:rFonts w:ascii="Calibri" w:cs="Calibri" w:eastAsia="Calibri" w:hAnsi="Calibri"/>
          <w:b/>
          <w:bCs/>
          <w:color w:val="FFFFFF"/>
          <w:sz w:val="28"/>
          <w:szCs w:val="28"/>
        </w:rPr>
        <w:t xml:space="preserve">PART C — SERVICE PROVIDER OBLIGATIONS</w:t>
      </w:r>
    </w:p>
    <w:p>
      <w:pPr>
        <w:pBdr>
          <w:left w:val="thick" w:color="00FB92" w:sz="10" w:space="6"/>
        </w:pBdr>
        <w:spacing w:after="40" w:before="200"/>
        <w:ind w:left="120"/>
      </w:pPr>
      <w:r>
        <w:rPr>
          <w:rFonts w:ascii="Calibri" w:cs="Calibri" w:eastAsia="Calibri" w:hAnsi="Calibri"/>
          <w:b/>
          <w:bCs/>
          <w:color w:val="111111"/>
          <w:sz w:val="24"/>
          <w:szCs w:val="24"/>
        </w:rPr>
        <w:t xml:space="preserve">C1. Preparatory Works Obligation</w:t>
      </w:r>
    </w:p>
    <w:p>
      <w:pPr>
        <w:spacing w:after="60" w:before="0"/>
        <w:ind w:left="120"/>
      </w:pPr>
      <w:r>
        <w:rPr>
          <w:rFonts w:ascii="Calibri" w:cs="Calibri" w:eastAsia="Calibri" w:hAnsi="Calibri"/>
          <w:i/>
          <w:iCs/>
          <w:color w:val="777777"/>
          <w:sz w:val="18"/>
          <w:szCs w:val="18"/>
        </w:rPr>
        <w:t xml:space="preserve">Category: SP Obligations  |  Source: [EaaS-BE] §2.2.1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shall, at its own cost, be responsible for designing, procuring, constructing, installing, testing and commissioning of the Service Provider Equipment so as to be able to provide the Services by the Supply Date.</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C2. General Service Delivery Standard</w:t>
      </w:r>
    </w:p>
    <w:p>
      <w:pPr>
        <w:spacing w:after="60" w:before="0"/>
        <w:ind w:left="120"/>
      </w:pPr>
      <w:r>
        <w:rPr>
          <w:rFonts w:ascii="Calibri" w:cs="Calibri" w:eastAsia="Calibri" w:hAnsi="Calibri"/>
          <w:i/>
          <w:iCs/>
          <w:color w:val="777777"/>
          <w:sz w:val="18"/>
          <w:szCs w:val="18"/>
        </w:rPr>
        <w:t xml:space="preserve">Category: SP Obligations  |  Source: [EaaS-BE] §2.3.1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shall provide the Services to the Client in accordance with: (1) all terms and conditions set forth in this Agreement, including the Service Level Requirements; (2) good industry practice and industry standards; (3) all applicable Laws; (4) the Stated Purpose; and (5) the Client Policies.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C3. Disruption Minimisation</w:t>
      </w:r>
    </w:p>
    <w:p>
      <w:pPr>
        <w:spacing w:after="60" w:before="0"/>
        <w:ind w:left="120"/>
      </w:pPr>
      <w:r>
        <w:rPr>
          <w:rFonts w:ascii="Calibri" w:cs="Calibri" w:eastAsia="Calibri" w:hAnsi="Calibri"/>
          <w:i/>
          <w:iCs/>
          <w:color w:val="777777"/>
          <w:sz w:val="18"/>
          <w:szCs w:val="18"/>
        </w:rPr>
        <w:t xml:space="preserve">Category: SP Obligations  |  Source: [EaaS-BE] §2.3.2</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shall perform its obligations with due care and shall at all times minimise any disruption to the Services and the Client's operations when carrying out its obligations under this Agreement.</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C4. Maintenance Cost Responsibility</w:t>
      </w:r>
    </w:p>
    <w:p>
      <w:pPr>
        <w:spacing w:after="60" w:before="0"/>
        <w:ind w:left="120"/>
      </w:pPr>
      <w:r>
        <w:rPr>
          <w:rFonts w:ascii="Calibri" w:cs="Calibri" w:eastAsia="Calibri" w:hAnsi="Calibri"/>
          <w:i/>
          <w:iCs/>
          <w:color w:val="777777"/>
          <w:sz w:val="18"/>
          <w:szCs w:val="18"/>
        </w:rPr>
        <w:t xml:space="preserve">Category: SP Obligations  |  Source: [EaaS-BE] §2.3.3</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shall at its own cost provide for the provision, installation, maintenance and repair of the Service Provider Equipment in accordance with the Service Level Requirements.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C5. Electricity Cost Responsibility</w:t>
      </w:r>
    </w:p>
    <w:p>
      <w:pPr>
        <w:spacing w:after="60" w:before="0"/>
        <w:ind w:left="120"/>
      </w:pPr>
      <w:r>
        <w:rPr>
          <w:rFonts w:ascii="Calibri" w:cs="Calibri" w:eastAsia="Calibri" w:hAnsi="Calibri"/>
          <w:i/>
          <w:iCs/>
          <w:color w:val="777777"/>
          <w:sz w:val="18"/>
          <w:szCs w:val="18"/>
        </w:rPr>
        <w:t xml:space="preserve">Category: SP Obligations  |  Source: [EaaS-BE] §2.3.4</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shall be responsible for and pay all costs of and relating to the supply of electricity required for the operation of the Service Provider Equipment and the supply of the Services, unless otherwise specified in Schedule 3.</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C6. Measurement and Reporting</w:t>
      </w:r>
    </w:p>
    <w:p>
      <w:pPr>
        <w:spacing w:after="60" w:before="0"/>
        <w:ind w:left="120"/>
      </w:pPr>
      <w:r>
        <w:rPr>
          <w:rFonts w:ascii="Calibri" w:cs="Calibri" w:eastAsia="Calibri" w:hAnsi="Calibri"/>
          <w:i/>
          <w:iCs/>
          <w:color w:val="777777"/>
          <w:sz w:val="18"/>
          <w:szCs w:val="18"/>
        </w:rPr>
        <w:t xml:space="preserve">Category: SP Obligations  |  Source: [EaaS-BE] §2.4.1–2.4.4</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will measure, track, retain measurement data, validate and report on the Client's usage of Resource Units, utilising the agreed Measurement Tools, processes and procedures. The Service Provider shall provide the Client with on-going reporting of actual Resource Unit usage for each month after the Supply Date. The Service Provider shall maintain the Measurement Tools and ensure that they shall at all times be accurate.</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C7. Independent Calibration of Measurement Tools</w:t>
      </w:r>
    </w:p>
    <w:p>
      <w:pPr>
        <w:spacing w:after="60" w:before="0"/>
        <w:ind w:left="120"/>
      </w:pPr>
      <w:r>
        <w:rPr>
          <w:rFonts w:ascii="Calibri" w:cs="Calibri" w:eastAsia="Calibri" w:hAnsi="Calibri"/>
          <w:i/>
          <w:iCs/>
          <w:color w:val="777777"/>
          <w:sz w:val="18"/>
          <w:szCs w:val="18"/>
        </w:rPr>
        <w:t xml:space="preserve">Category: SP Obligations  |  Source: [EaaS-BE] §2.4.5</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accuracy of the Measurement Tools shall be verified independently upon their installation, and the Service Provider will thereafter have the Measurement Tools independently tested in accordance with the standard established by the manufacturer (not exceeding two years) to ensure that they are working properly, and will provide the Client with a copy of the relevant test report and calibration certificates at the Service Provider's cost.</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C8. Client Calibration Request Right</w:t>
      </w:r>
    </w:p>
    <w:p>
      <w:pPr>
        <w:spacing w:after="60" w:before="0"/>
        <w:ind w:left="120"/>
      </w:pPr>
      <w:r>
        <w:rPr>
          <w:rFonts w:ascii="Calibri" w:cs="Calibri" w:eastAsia="Calibri" w:hAnsi="Calibri"/>
          <w:i/>
          <w:iCs/>
          <w:color w:val="777777"/>
          <w:sz w:val="18"/>
          <w:szCs w:val="18"/>
        </w:rPr>
        <w:t xml:space="preserve">Category: SP Obligations  |  Source: [EaaS-BE] §2.4.7</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Client may at any time by written notice to the Service Provider, but no more than twice in any given year, request that the accuracy of the Measurement Tools be tested. The costs of the testing shall be borne by the Client unless such testing reveals that the Measurement Tools are inaccurate, in which case the costs shall be borne by the Service Provider.</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C9. Equipment Substitution Right</w:t>
      </w:r>
    </w:p>
    <w:p>
      <w:pPr>
        <w:spacing w:after="60" w:before="0"/>
        <w:ind w:left="120"/>
      </w:pPr>
      <w:r>
        <w:rPr>
          <w:rFonts w:ascii="Calibri" w:cs="Calibri" w:eastAsia="Calibri" w:hAnsi="Calibri"/>
          <w:i/>
          <w:iCs/>
          <w:color w:val="777777"/>
          <w:sz w:val="18"/>
          <w:szCs w:val="18"/>
        </w:rPr>
        <w:t xml:space="preserve">Category: SP Obligations  |  Source: [EaaS-BE] §5.1.4</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shall, at its sole discretion, be entitled from time to time to substitute and replace the Service Provider Equipment or any part thereof with more advanced and improved parts or items, in order to enhance the efficiency of the Service Provider Equipment and reduce operational costs incurred by the Service Provider.</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C10. Swap Clause (PaaS)</w:t>
      </w:r>
    </w:p>
    <w:p>
      <w:pPr>
        <w:spacing w:after="60" w:before="0"/>
        <w:ind w:left="120"/>
      </w:pPr>
      <w:r>
        <w:rPr>
          <w:rFonts w:ascii="Calibri" w:cs="Calibri" w:eastAsia="Calibri" w:hAnsi="Calibri"/>
          <w:i/>
          <w:iCs/>
          <w:color w:val="777777"/>
          <w:sz w:val="18"/>
          <w:szCs w:val="18"/>
        </w:rPr>
        <w:t xml:space="preserve">Category: SP Obligations  |  Source: [PaaS-KUL]</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Where a Product is defective, obsolete, or in need of replacement, the Service Provider may replace the Product with an equivalent or technologically improved Product unit. The Service Provider shall provide the Customer with reasonable advance notice of any swap. The swap does not affect the Term of this Agreement, which continues from the Effective Date regardless of any Product replacements.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C11. Circular Guarantee</w:t>
      </w:r>
    </w:p>
    <w:p>
      <w:pPr>
        <w:spacing w:after="60" w:before="0"/>
        <w:ind w:left="120"/>
      </w:pPr>
      <w:r>
        <w:rPr>
          <w:rFonts w:ascii="Calibri" w:cs="Calibri" w:eastAsia="Calibri" w:hAnsi="Calibri"/>
          <w:i/>
          <w:iCs/>
          <w:color w:val="777777"/>
          <w:sz w:val="18"/>
          <w:szCs w:val="18"/>
        </w:rPr>
        <w:t xml:space="preserve">Category: SP Obligations  |  Source: [PaaS-KUL]</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At the end of this Agreement, the Service Provider guarantees that the Product will be subject to the following end-of-life treatment, in order of preference: (1) preparation for re-use and re-deployment in another service agreement; (2) remanufacturing to as-new condition; (3) material recovery and recycling through certified channels. The Service Provider shall provide the Customer with documentation confirming the treatment applied within [60] days of Product return.</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C12. Continuous Improvement Plan</w:t>
      </w:r>
    </w:p>
    <w:p>
      <w:pPr>
        <w:spacing w:after="60" w:before="0"/>
        <w:ind w:left="120"/>
      </w:pPr>
      <w:r>
        <w:rPr>
          <w:rFonts w:ascii="Calibri" w:cs="Calibri" w:eastAsia="Calibri" w:hAnsi="Calibri"/>
          <w:i/>
          <w:iCs/>
          <w:color w:val="777777"/>
          <w:sz w:val="18"/>
          <w:szCs w:val="18"/>
        </w:rPr>
        <w:t xml:space="preserve">Category: SP Obligations  |  Source: [EaaS-BE] Optional §6</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shall produce an annual plan for discussion with Client relating to the improvement of the quality and efficiency of the Services and corresponding Fees. The Improvement Plan shall cover at a minimum: (a) proposals for refreshing the Service Provider Equipment and identifying emerging technologies; and (b) realisable savings opportunities showing how such opportunities will or can be delivered.</w:t>
      </w:r>
    </w:p>
    <w:p>
      <w:pPr>
        <w:pBdr>
          <w:bottom w:val="single" w:color="00FB92" w:sz="6" w:space="1"/>
        </w:pBdr>
        <w:spacing w:after="80" w:before="80"/>
      </w:pPr>
    </w:p>
    <w:p>
      <w:pPr>
        <w:pageBreakBefore/>
      </w:pPr>
      <w:r>
        <w:t xml:space="preserve"/>
      </w:r>
    </w:p>
    <w:p>
      <w:pPr>
        <w:shd w:fill="111111" w:val="clear"/>
        <w:spacing w:after="120" w:before="240"/>
        <w:ind w:left="240" w:right="240"/>
      </w:pPr>
      <w:r>
        <w:rPr>
          <w:rFonts w:ascii="Calibri" w:cs="Calibri" w:eastAsia="Calibri" w:hAnsi="Calibri"/>
          <w:b/>
          <w:bCs/>
          <w:color w:val="FFFFFF"/>
          <w:sz w:val="28"/>
          <w:szCs w:val="28"/>
        </w:rPr>
        <w:t xml:space="preserve">PART D — CLIENT OBLIGATIONS</w:t>
      </w:r>
    </w:p>
    <w:p>
      <w:pPr>
        <w:pBdr>
          <w:left w:val="thick" w:color="00FB92" w:sz="10" w:space="6"/>
        </w:pBdr>
        <w:spacing w:after="40" w:before="200"/>
        <w:ind w:left="120"/>
      </w:pPr>
      <w:r>
        <w:rPr>
          <w:rFonts w:ascii="Calibri" w:cs="Calibri" w:eastAsia="Calibri" w:hAnsi="Calibri"/>
          <w:b/>
          <w:bCs/>
          <w:color w:val="111111"/>
          <w:sz w:val="24"/>
          <w:szCs w:val="24"/>
        </w:rPr>
        <w:t xml:space="preserve">D1. Core Client Duties</w:t>
      </w:r>
    </w:p>
    <w:p>
      <w:pPr>
        <w:spacing w:after="60" w:before="0"/>
        <w:ind w:left="120"/>
      </w:pPr>
      <w:r>
        <w:rPr>
          <w:rFonts w:ascii="Calibri" w:cs="Calibri" w:eastAsia="Calibri" w:hAnsi="Calibri"/>
          <w:i/>
          <w:iCs/>
          <w:color w:val="777777"/>
          <w:sz w:val="18"/>
          <w:szCs w:val="18"/>
        </w:rPr>
        <w:t xml:space="preserve">Category: Client Obligations  |  Source: [EaaS-BE] §3.1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Client shall: (1) make all payments becoming due under this Agreement on or before the due date; (2) use the Service Provider Equipment for the sole purpose of receiving and/or using the Services, in an efficient manner with due care and attention; (3) report any defect in Service Provider Equipment to the Service Provider within the term outlined in Schedule 2, while taking all reasonable measures to prevent any deterioration; (4) refrain from making any changes to or interfere with the Service Provider Equipment without prior written consent; (5) maintain the Client Premises in good order and condition to accommodate the provision of Services; (6) ensure adequate power supply or utility infrastructure at the Client Premises.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D2. No Self-Repair</w:t>
      </w:r>
    </w:p>
    <w:p>
      <w:pPr>
        <w:spacing w:after="60" w:before="0"/>
        <w:ind w:left="120"/>
      </w:pPr>
      <w:r>
        <w:rPr>
          <w:rFonts w:ascii="Calibri" w:cs="Calibri" w:eastAsia="Calibri" w:hAnsi="Calibri"/>
          <w:i/>
          <w:iCs/>
          <w:color w:val="777777"/>
          <w:sz w:val="18"/>
          <w:szCs w:val="18"/>
        </w:rPr>
        <w:t xml:space="preserve">Category: Client Obligations  |  Source: [PaaS-KUL], [Homie]</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Client shall not repair, modify, or tamper with the Service Provider Equipment or any part thereof. All repairs, replacements, and modifications shall be carried out exclusively by the Service Provider or its authorised Sub-Contractors. Any breach of this clause that causes damage to the Service Provider Equipment shall be at the Client's cost.</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D3. Client Responsibility for Damage</w:t>
      </w:r>
    </w:p>
    <w:p>
      <w:pPr>
        <w:spacing w:after="60" w:before="0"/>
        <w:ind w:left="120"/>
      </w:pPr>
      <w:r>
        <w:rPr>
          <w:rFonts w:ascii="Calibri" w:cs="Calibri" w:eastAsia="Calibri" w:hAnsi="Calibri"/>
          <w:i/>
          <w:iCs/>
          <w:color w:val="777777"/>
          <w:sz w:val="18"/>
          <w:szCs w:val="18"/>
        </w:rPr>
        <w:t xml:space="preserve">Category: Client Obligations  |  Source: [EaaS-BE] §4.2</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Client shall be responsible for all costs and expenses of repair or replacement to correct any damage to Service Provider Equipment or any part thereof (reasonable wear and tear excluded) caused by the Client, its personnel, Sub-Contractors and/or agents, as a result of its failure to comply with its obligations under this Agreement.</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D4. Third-Party Claims Notification</w:t>
      </w:r>
    </w:p>
    <w:p>
      <w:pPr>
        <w:spacing w:after="60" w:before="0"/>
        <w:ind w:left="120"/>
      </w:pPr>
      <w:r>
        <w:rPr>
          <w:rFonts w:ascii="Calibri" w:cs="Calibri" w:eastAsia="Calibri" w:hAnsi="Calibri"/>
          <w:i/>
          <w:iCs/>
          <w:color w:val="777777"/>
          <w:sz w:val="18"/>
          <w:szCs w:val="18"/>
        </w:rPr>
        <w:t xml:space="preserve">Category: Client Obligations  |  Source: [EaaS-BE] §5.2.5</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In the event of an actual or imminent infringement of the ownership rights related to the Service Provider Equipment, following any claim of any Third Party on the Service Provider Equipment (or parts thereof), the Client will immediately inform such Third Party of the ownership status of the Service Provider Equipment, as well as notify the Service Provider of such actual or imminent infringement.</w:t>
      </w:r>
    </w:p>
    <w:p>
      <w:pPr>
        <w:pBdr>
          <w:bottom w:val="single" w:color="00FB92" w:sz="6" w:space="1"/>
        </w:pBdr>
        <w:spacing w:after="80" w:before="80"/>
      </w:pPr>
    </w:p>
    <w:p>
      <w:pPr>
        <w:pageBreakBefore/>
      </w:pPr>
      <w:r>
        <w:t xml:space="preserve"/>
      </w:r>
    </w:p>
    <w:p>
      <w:pPr>
        <w:shd w:fill="111111" w:val="clear"/>
        <w:spacing w:after="120" w:before="240"/>
        <w:ind w:left="240" w:right="240"/>
      </w:pPr>
      <w:r>
        <w:rPr>
          <w:rFonts w:ascii="Calibri" w:cs="Calibri" w:eastAsia="Calibri" w:hAnsi="Calibri"/>
          <w:b/>
          <w:bCs/>
          <w:color w:val="FFFFFF"/>
          <w:sz w:val="28"/>
          <w:szCs w:val="28"/>
        </w:rPr>
        <w:t xml:space="preserve">PART E — OWNERSHIP PROTECTION CLAUSES (CRITICAL CLUSTER)</w:t>
      </w:r>
    </w:p>
    <w:p>
      <w:pPr>
        <w:pBdr>
          <w:left w:val="thick" w:color="00FB92" w:sz="10" w:space="6"/>
        </w:pBdr>
        <w:spacing w:after="40" w:before="200"/>
        <w:ind w:left="120"/>
      </w:pPr>
      <w:r>
        <w:rPr>
          <w:rFonts w:ascii="Calibri" w:cs="Calibri" w:eastAsia="Calibri" w:hAnsi="Calibri"/>
          <w:b/>
          <w:bCs/>
          <w:color w:val="111111"/>
          <w:sz w:val="24"/>
          <w:szCs w:val="24"/>
        </w:rPr>
        <w:t xml:space="preserve">E1. Equipment Ownership Declaration</w:t>
      </w:r>
    </w:p>
    <w:p>
      <w:pPr>
        <w:spacing w:after="60" w:before="0"/>
        <w:ind w:left="120"/>
      </w:pPr>
      <w:r>
        <w:rPr>
          <w:rFonts w:ascii="Calibri" w:cs="Calibri" w:eastAsia="Calibri" w:hAnsi="Calibri"/>
          <w:i/>
          <w:iCs/>
          <w:color w:val="777777"/>
          <w:sz w:val="18"/>
          <w:szCs w:val="18"/>
        </w:rPr>
        <w:t xml:space="preserve">Category: Ownership  |  Source: [EaaS-BE] §5.2.1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Client acknowledges that all Service Provider Equipment made available to the Client by the Service Provider on the Client Premises for rendering the Services, is and shall remain the exclusive and sole property of the Service Provider (or the Third Party identified by the Service Provider as the owner of the Service Provider Equipment, or any other Third Party to which it will assign property rights during the Term provided it informs the Client thereof in writing) during the Agreement Term. Under no circumstances shall the Service Provider Equipment become or be deemed to be a part of the Client Premises.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E2. Mandatory Equipment Labelling</w:t>
      </w:r>
    </w:p>
    <w:p>
      <w:pPr>
        <w:spacing w:after="60" w:before="0"/>
        <w:ind w:left="120"/>
      </w:pPr>
      <w:r>
        <w:rPr>
          <w:rFonts w:ascii="Calibri" w:cs="Calibri" w:eastAsia="Calibri" w:hAnsi="Calibri"/>
          <w:i/>
          <w:iCs/>
          <w:color w:val="777777"/>
          <w:sz w:val="18"/>
          <w:szCs w:val="18"/>
        </w:rPr>
        <w:t xml:space="preserve">Category: Ownership  |  Source: [EaaS-BE] §5.2.2</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will ensure that a nameplate, label, stamp or other means of identifying the Service Provider as the owner of or being entitled to the Service Provider Equipment, is and remains affixed on the Service Provider Equipment. The fact that this Service Provider Equipment is not the property of the Client is made public by the nameplate on it, so as to ensure that the title of ownership of the Service Provider will be recognised by law and will give Service Provider full right of removal and repossession, also in a possible scenario of the Client's bankruptcy, insolvency, reorganisation, moratorium and other legal regimes.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E3. Prohibition on Label Removal</w:t>
      </w:r>
    </w:p>
    <w:p>
      <w:pPr>
        <w:spacing w:after="60" w:before="0"/>
        <w:ind w:left="120"/>
      </w:pPr>
      <w:r>
        <w:rPr>
          <w:rFonts w:ascii="Calibri" w:cs="Calibri" w:eastAsia="Calibri" w:hAnsi="Calibri"/>
          <w:i/>
          <w:iCs/>
          <w:color w:val="777777"/>
          <w:sz w:val="18"/>
          <w:szCs w:val="18"/>
        </w:rPr>
        <w:t xml:space="preserve">Category: Ownership  |  Source: [EaaS-BE] §5.2.3</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Client undertakes not to remove or tamper with the nameplates, labels, stamps or other means of identifying the Service Provider as the owner of or being entitled to the Service Provider Equipment.</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E4. Location Lock</w:t>
      </w:r>
    </w:p>
    <w:p>
      <w:pPr>
        <w:spacing w:after="60" w:before="0"/>
        <w:ind w:left="120"/>
      </w:pPr>
      <w:r>
        <w:rPr>
          <w:rFonts w:ascii="Calibri" w:cs="Calibri" w:eastAsia="Calibri" w:hAnsi="Calibri"/>
          <w:i/>
          <w:iCs/>
          <w:color w:val="777777"/>
          <w:sz w:val="18"/>
          <w:szCs w:val="18"/>
        </w:rPr>
        <w:t xml:space="preserve">Category: Ownership  |  Source: [EaaS-BE] §5.2.4</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Equipment may not be put into use at a location other than that stated in the Agreement, nor may the use of this Service Provider Equipment be transferred to Third Parties or let to Third Parties in any way without the prior written consent of the Service Provider.</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E5. Superficies Right (Belgium/Netherlands)</w:t>
      </w:r>
    </w:p>
    <w:p>
      <w:pPr>
        <w:spacing w:after="60" w:before="0"/>
        <w:ind w:left="120"/>
      </w:pPr>
      <w:r>
        <w:rPr>
          <w:rFonts w:ascii="Calibri" w:cs="Calibri" w:eastAsia="Calibri" w:hAnsi="Calibri"/>
          <w:i/>
          <w:iCs/>
          <w:color w:val="777777"/>
          <w:sz w:val="18"/>
          <w:szCs w:val="18"/>
        </w:rPr>
        <w:t xml:space="preserve">Category: Ownership  |  Source: [EaaS-BE] Optional §13</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In order to further create publicity concerning the ownership right of the Service Provider over the Service Provider Equipment, the Client agrees that it will conclude, within a period of [6] weeks as from the Effective Date, a superficies agreement with the Service Provider that will establish the property rights of the Service Provider Equipment to be installed at the Client Premises. Such superficies right will be granted for the Term of the Agreement and will be granted at no cost.</w:t>
      </w:r>
    </w:p>
    <w:p>
      <w:pPr>
        <w:spacing w:after="60" w:before="60"/>
        <w:ind w:left="120"/>
      </w:pPr>
      <w:r>
        <w:rPr>
          <w:rFonts w:ascii="Calibri" w:cs="Calibri" w:eastAsia="Calibri" w:hAnsi="Calibri"/>
          <w:b/>
          <w:bCs/>
          <w:color w:val="444444"/>
          <w:sz w:val="19"/>
          <w:szCs w:val="19"/>
        </w:rPr>
        <w:t xml:space="preserve">Note: </w:t>
      </w:r>
      <w:r>
        <w:rPr>
          <w:rFonts w:ascii="Calibri" w:cs="Calibri" w:eastAsia="Calibri" w:hAnsi="Calibri"/>
          <w:i/>
          <w:iCs/>
          <w:color w:val="555555"/>
          <w:sz w:val="19"/>
          <w:szCs w:val="19"/>
        </w:rPr>
        <w:t xml:space="preserve">A superficies right grants the Service Provider a separate real property right over the installed equipment, countering the natrekking/accession principle under which permanently installed items can become part of the building.</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E6. Chain Clause (Kettingbeding)</w:t>
      </w:r>
    </w:p>
    <w:p>
      <w:pPr>
        <w:spacing w:after="60" w:before="0"/>
        <w:ind w:left="120"/>
      </w:pPr>
      <w:r>
        <w:rPr>
          <w:rFonts w:ascii="Calibri" w:cs="Calibri" w:eastAsia="Calibri" w:hAnsi="Calibri"/>
          <w:i/>
          <w:iCs/>
          <w:color w:val="777777"/>
          <w:sz w:val="18"/>
          <w:szCs w:val="18"/>
        </w:rPr>
        <w:t xml:space="preserve">Category: Ownership  |  Source: [EaaS-BE] Optional §4</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In the event of transfer of the property and/or other rights to the Client Premises in which the Service Provider Equipment is located, the Client, its assignees and legal successors, in whatever capacity, undertake to impose compliance with this Agreement on the transferee by means of a perpetual clause ("kettingbeding"/"stipulation en chaîne"). In the event of such a transfer, the Client undertakes, by registered letter, to: (i) inform the Service Provider in advance and in due time of the intended transfer; and (ii) notify the Service Provider that the transfer has taken place within seven (7) calendar days from the date on which the transfer took place.</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E7. Failure to Recover Equipment</w:t>
      </w:r>
    </w:p>
    <w:p>
      <w:pPr>
        <w:spacing w:after="60" w:before="0"/>
        <w:ind w:left="120"/>
      </w:pPr>
      <w:r>
        <w:rPr>
          <w:rFonts w:ascii="Calibri" w:cs="Calibri" w:eastAsia="Calibri" w:hAnsi="Calibri"/>
          <w:i/>
          <w:iCs/>
          <w:color w:val="777777"/>
          <w:sz w:val="18"/>
          <w:szCs w:val="18"/>
        </w:rPr>
        <w:t xml:space="preserve">Category: Ownership  |  Source: [EaaS-BE] Optional §3</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Client shall be responsible for all costs and expenses of repair or replacement, insofar as the Service Provider would not be able to recover the Service Provider Equipment or any part thereof after termination of the Agreement (fair wear and tear excepted), as a result of a failure by the Client, its personnel, Sub-Contractors and/or agents to comply with their obligations under this Agreement.</w:t>
      </w:r>
    </w:p>
    <w:p>
      <w:pPr>
        <w:pBdr>
          <w:bottom w:val="single" w:color="00FB92" w:sz="6" w:space="1"/>
        </w:pBdr>
        <w:spacing w:after="80" w:before="80"/>
      </w:pPr>
    </w:p>
    <w:p>
      <w:pPr>
        <w:pageBreakBefore/>
      </w:pPr>
      <w:r>
        <w:t xml:space="preserve"/>
      </w:r>
    </w:p>
    <w:p>
      <w:pPr>
        <w:shd w:fill="111111" w:val="clear"/>
        <w:spacing w:after="120" w:before="240"/>
        <w:ind w:left="240" w:right="240"/>
      </w:pPr>
      <w:r>
        <w:rPr>
          <w:rFonts w:ascii="Calibri" w:cs="Calibri" w:eastAsia="Calibri" w:hAnsi="Calibri"/>
          <w:b/>
          <w:bCs/>
          <w:color w:val="FFFFFF"/>
          <w:sz w:val="28"/>
          <w:szCs w:val="28"/>
        </w:rPr>
        <w:t xml:space="preserve">PART F — PRICING &amp; FEES CLAUSES</w:t>
      </w:r>
    </w:p>
    <w:p>
      <w:pPr>
        <w:pBdr>
          <w:left w:val="thick" w:color="00FB92" w:sz="10" w:space="6"/>
        </w:pBdr>
        <w:spacing w:after="40" w:before="200"/>
        <w:ind w:left="120"/>
      </w:pPr>
      <w:r>
        <w:rPr>
          <w:rFonts w:ascii="Calibri" w:cs="Calibri" w:eastAsia="Calibri" w:hAnsi="Calibri"/>
          <w:b/>
          <w:bCs/>
          <w:color w:val="111111"/>
          <w:sz w:val="24"/>
          <w:szCs w:val="24"/>
        </w:rPr>
        <w:t xml:space="preserve">F1. Three-Component Fee Structure</w:t>
      </w:r>
    </w:p>
    <w:p>
      <w:pPr>
        <w:spacing w:after="60" w:before="0"/>
        <w:ind w:left="120"/>
      </w:pPr>
      <w:r>
        <w:rPr>
          <w:rFonts w:ascii="Calibri" w:cs="Calibri" w:eastAsia="Calibri" w:hAnsi="Calibri"/>
          <w:i/>
          <w:iCs/>
          <w:color w:val="777777"/>
          <w:sz w:val="18"/>
          <w:szCs w:val="18"/>
        </w:rPr>
        <w:t xml:space="preserve">Category: Fees  |  Source: [EaaS-BE] Schedule 3 §2.1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For each billing period of one calendar month, the charges for the Services provided shall be calculated based on: (1) if applicable, a Capacity Charge for making the Contracted Supply available; (2) a Usage Charge for the supply of Services used; and (3) if applicable, a Shortfall Charge for failing to take the Minimum Capacity Use.</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F2. Capacity Charge Calculation</w:t>
      </w:r>
    </w:p>
    <w:p>
      <w:pPr>
        <w:spacing w:after="60" w:before="0"/>
        <w:ind w:left="120"/>
      </w:pPr>
      <w:r>
        <w:rPr>
          <w:rFonts w:ascii="Calibri" w:cs="Calibri" w:eastAsia="Calibri" w:hAnsi="Calibri"/>
          <w:i/>
          <w:iCs/>
          <w:color w:val="777777"/>
          <w:sz w:val="18"/>
          <w:szCs w:val="18"/>
        </w:rPr>
        <w:t xml:space="preserve">Category: Fees  |  Source: [EaaS-BE] Schedule 3 §2.2</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Capacity Charge payable by the Client, if applicable, is based on the Contracted Supply agreed to by the Client and is to be calculated as follows: </w:t>
      </w:r>
      <w:r>
        <w:rPr>
          <w:rFonts w:ascii="Calibri" w:cs="Calibri" w:eastAsia="Calibri" w:hAnsi="Calibri"/>
          <w:b/>
          <w:bCs/>
          <w:color w:val="111111"/>
          <w:sz w:val="20"/>
          <w:szCs w:val="20"/>
        </w:rPr>
        <w:t xml:space="preserve">Capacity Charge = [Contracted Supply] × [Contracted Supply Rate]</w:t>
      </w:r>
      <w:r>
        <w:rPr>
          <w:rFonts w:ascii="Calibri" w:cs="Calibri" w:eastAsia="Calibri" w:hAnsi="Calibri"/>
          <w:color w:val="111111"/>
          <w:sz w:val="20"/>
          <w:szCs w:val="20"/>
        </w:rPr>
        <w:t xml:space="preserve">. The Contracted Supply and the Contracted Supply Rate are set out in the Term Sheet in Schedule 1. In the first calendar month that is invoiced, the Capacity Charge shall be calculated pro rata from the Supply Date.</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F3. Usage Charge Calculation</w:t>
      </w:r>
    </w:p>
    <w:p>
      <w:pPr>
        <w:spacing w:after="60" w:before="0"/>
        <w:ind w:left="120"/>
      </w:pPr>
      <w:r>
        <w:rPr>
          <w:rFonts w:ascii="Calibri" w:cs="Calibri" w:eastAsia="Calibri" w:hAnsi="Calibri"/>
          <w:i/>
          <w:iCs/>
          <w:color w:val="777777"/>
          <w:sz w:val="18"/>
          <w:szCs w:val="18"/>
        </w:rPr>
        <w:t xml:space="preserve">Category: Fees  |  Source: [EaaS-BE] Schedule 3 §2.3</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Usage Charge payable by the Client is based on the metered consumption quantity derived from readings of the Measurement Tools, stated in Resource Units. The Usage Charge is to be calculated as follows: </w:t>
      </w:r>
      <w:r>
        <w:rPr>
          <w:rFonts w:ascii="Calibri" w:cs="Calibri" w:eastAsia="Calibri" w:hAnsi="Calibri"/>
          <w:b/>
          <w:bCs/>
          <w:color w:val="111111"/>
          <w:sz w:val="20"/>
          <w:szCs w:val="20"/>
        </w:rPr>
        <w:t xml:space="preserve">Usage Charge = [Measured Resource Units] × [Resource Unit Price]</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F4. Shortfall Charge Calculation</w:t>
      </w:r>
    </w:p>
    <w:p>
      <w:pPr>
        <w:spacing w:after="60" w:before="0"/>
        <w:ind w:left="120"/>
      </w:pPr>
      <w:r>
        <w:rPr>
          <w:rFonts w:ascii="Calibri" w:cs="Calibri" w:eastAsia="Calibri" w:hAnsi="Calibri"/>
          <w:i/>
          <w:iCs/>
          <w:color w:val="777777"/>
          <w:sz w:val="18"/>
          <w:szCs w:val="18"/>
        </w:rPr>
        <w:t xml:space="preserve">Category: Fees  |  Source: [EaaS-BE] Schedule 3 §2.4</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In the event that the Client uses less than the Minimum Capacity Use in any billing period, if applicable, the Service Provider shall be entitled to claim and the Client shall pay the Shortfall Charge, being an amount equal to the Usage Charge that would have been collected for the shortfall in Services below the Minimum Capacity Use.</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F5. Capacity Excess Charge Calculation</w:t>
      </w:r>
    </w:p>
    <w:p>
      <w:pPr>
        <w:spacing w:after="60" w:before="0"/>
        <w:ind w:left="120"/>
      </w:pPr>
      <w:r>
        <w:rPr>
          <w:rFonts w:ascii="Calibri" w:cs="Calibri" w:eastAsia="Calibri" w:hAnsi="Calibri"/>
          <w:i/>
          <w:iCs/>
          <w:color w:val="777777"/>
          <w:sz w:val="18"/>
          <w:szCs w:val="18"/>
        </w:rPr>
        <w:t xml:space="preserve">Category: Fees  |  Source: [EaaS-BE] Schedule 3 §2.5</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If at the end of each year of the Agreement Term, the Client's actual demand for and use of the Services has exceeded the Contracted Supply, a Capacity Excess Charge shall be payable by the Client in the next billing period. The Capacity Excess Charge is to be calculated as follows: </w:t>
      </w:r>
      <w:r>
        <w:rPr>
          <w:rFonts w:ascii="Calibri" w:cs="Calibri" w:eastAsia="Calibri" w:hAnsi="Calibri"/>
          <w:b/>
          <w:bCs/>
          <w:color w:val="111111"/>
          <w:sz w:val="20"/>
          <w:szCs w:val="20"/>
        </w:rPr>
        <w:t xml:space="preserve">Capacity Excess Charge = [Actual demand − Contracted Supply for year] × [Contracted Supply Rate] × 2</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F6. Price Indexation — Electricity Component</w:t>
      </w:r>
    </w:p>
    <w:p>
      <w:pPr>
        <w:spacing w:after="60" w:before="0"/>
        <w:ind w:left="120"/>
      </w:pPr>
      <w:r>
        <w:rPr>
          <w:rFonts w:ascii="Calibri" w:cs="Calibri" w:eastAsia="Calibri" w:hAnsi="Calibri"/>
          <w:i/>
          <w:iCs/>
          <w:color w:val="777777"/>
          <w:sz w:val="18"/>
          <w:szCs w:val="18"/>
        </w:rPr>
        <w:t xml:space="preserve">Category: Fees  |  Source: [EaaS-BE] Schedule 3 §6.1(a)</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For Services delivered in Belgium, a quarterly indexation of the electricity factor (E) will be applied, based on the forward price of electricity as published by the ICE Index Belgian Power Base Load Futures, using the following formula: </w:t>
      </w:r>
      <w:r>
        <w:rPr>
          <w:rFonts w:ascii="Calibri" w:cs="Calibri" w:eastAsia="Calibri" w:hAnsi="Calibri"/>
          <w:b/>
          <w:bCs/>
          <w:color w:val="111111"/>
          <w:sz w:val="20"/>
          <w:szCs w:val="20"/>
        </w:rPr>
        <w:t xml:space="preserve">E = Eo × (0.2 + 0.8 × (I / Io))</w:t>
      </w:r>
      <w:r>
        <w:rPr>
          <w:rFonts w:ascii="Calibri" w:cs="Calibri" w:eastAsia="Calibri" w:hAnsi="Calibri"/>
          <w:color w:val="111111"/>
          <w:sz w:val="20"/>
          <w:szCs w:val="20"/>
        </w:rPr>
        <w:t xml:space="preserve"> — Where: E = new electricity factor; Eo = electricity factor at Supply Date; I = ICE Index in last month of preceding quarter; Io = ICE Index at Supply Date.</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F7. Price Indexation — Other Charges Component</w:t>
      </w:r>
    </w:p>
    <w:p>
      <w:pPr>
        <w:spacing w:after="60" w:before="0"/>
        <w:ind w:left="120"/>
      </w:pPr>
      <w:r>
        <w:rPr>
          <w:rFonts w:ascii="Calibri" w:cs="Calibri" w:eastAsia="Calibri" w:hAnsi="Calibri"/>
          <w:i/>
          <w:iCs/>
          <w:color w:val="777777"/>
          <w:sz w:val="18"/>
          <w:szCs w:val="18"/>
        </w:rPr>
        <w:t xml:space="preserve">Category: Fees  |  Source: [EaaS-BE] Schedule 3 §6.1(b)</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For Services delivered in Belgium, at the start of every calendar year, an indexation of the other charges (P) will be applied, based on the national reference salary costs published by Agoria Belgium, using the following formula: </w:t>
      </w:r>
      <w:r>
        <w:rPr>
          <w:rFonts w:ascii="Calibri" w:cs="Calibri" w:eastAsia="Calibri" w:hAnsi="Calibri"/>
          <w:b/>
          <w:bCs/>
          <w:color w:val="111111"/>
          <w:sz w:val="20"/>
          <w:szCs w:val="20"/>
        </w:rPr>
        <w:t xml:space="preserve">P = Po × (0.2 + 0.8 × (X1 / X0))</w:t>
      </w:r>
      <w:r>
        <w:rPr>
          <w:rFonts w:ascii="Calibri" w:cs="Calibri" w:eastAsia="Calibri" w:hAnsi="Calibri"/>
          <w:color w:val="111111"/>
          <w:sz w:val="20"/>
          <w:szCs w:val="20"/>
        </w:rPr>
        <w:t xml:space="preserve"> — Where: P = new other charges rate; Po = other charges rate at Supply Date; X1 = Agoria index of December before revision; X0 = Agoria index of [reference year] December. For Services delivered outside Belgium, the local CPI shall be substituted for the Agoria index.</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F8. Invoicing Requirements</w:t>
      </w:r>
    </w:p>
    <w:p>
      <w:pPr>
        <w:spacing w:after="60" w:before="0"/>
        <w:ind w:left="120"/>
      </w:pPr>
      <w:r>
        <w:rPr>
          <w:rFonts w:ascii="Calibri" w:cs="Calibri" w:eastAsia="Calibri" w:hAnsi="Calibri"/>
          <w:i/>
          <w:iCs/>
          <w:color w:val="777777"/>
          <w:sz w:val="18"/>
          <w:szCs w:val="18"/>
        </w:rPr>
        <w:t xml:space="preserve">Category: Fees  |  Source: [EaaS-BE] §§4.2.1–4.2.2</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shall send an invoice in relation to the applicable Fees for the previous calendar month before the 15th of each month. Each invoice shall specify: (1) the name of this Agreement; (2) the period to which the invoice relates; (3) the Services or activities to which the invoice relates; (4) where applicable, the calculations used to reach the amount of the Fees; (5) any separately itemised expenses or taxes; (6) the Service Provider's VAT code; (7) the Client's VAT code; (8) the relevant purchase order number; and (9) any other information required by Law.</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F9. Disputed Invoice Procedure</w:t>
      </w:r>
    </w:p>
    <w:p>
      <w:pPr>
        <w:spacing w:after="60" w:before="0"/>
        <w:ind w:left="120"/>
      </w:pPr>
      <w:r>
        <w:rPr>
          <w:rFonts w:ascii="Calibri" w:cs="Calibri" w:eastAsia="Calibri" w:hAnsi="Calibri"/>
          <w:i/>
          <w:iCs/>
          <w:color w:val="777777"/>
          <w:sz w:val="18"/>
          <w:szCs w:val="18"/>
        </w:rPr>
        <w:t xml:space="preserve">Category: Fees  |  Source: [EaaS-BE] §§4.3.3–4.3.5</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Client may withhold payment of particular Fees (or elements of the Fees) it disputes, acting reasonably, or if the Service Provider has not performed or is not providing the Services in accordance with the terms of the Agreement. If the Client withholds any payment, it shall inform the Service Provider with reasonable promptness giving reasonable details as to which elements of the Fees are disputed and the reason therefor. If any portion of an invoice is disputed, the Service Provider shall credit the disputed amount in full and issue a new invoice in respect of the disputed amount. Pending resolution of the Dispute, the Service Provider shall continue to provide the Services.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F10. Late Payment Interest</w:t>
      </w:r>
    </w:p>
    <w:p>
      <w:pPr>
        <w:spacing w:after="60" w:before="0"/>
        <w:ind w:left="120"/>
      </w:pPr>
      <w:r>
        <w:rPr>
          <w:rFonts w:ascii="Calibri" w:cs="Calibri" w:eastAsia="Calibri" w:hAnsi="Calibri"/>
          <w:i/>
          <w:iCs/>
          <w:color w:val="777777"/>
          <w:sz w:val="18"/>
          <w:szCs w:val="18"/>
        </w:rPr>
        <w:t xml:space="preserve">Category: Fees  |  Source: [EaaS-BE] §4.3.6</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is entitled to charge the Client interest on undisputed overdue amounts at the yearly rate of [X]% as from the date of the registered default letter until payment, provided that the Service Provider shall have first given the Client at least [14] calendar days' prior written notice of its intention to charge interest and such sum remains outstanding at the end of such period.</w:t>
      </w:r>
    </w:p>
    <w:p>
      <w:pPr>
        <w:pBdr>
          <w:bottom w:val="single" w:color="00FB92" w:sz="6" w:space="1"/>
        </w:pBdr>
        <w:spacing w:after="80" w:before="80"/>
      </w:pPr>
    </w:p>
    <w:p>
      <w:pPr>
        <w:pageBreakBefore/>
      </w:pPr>
      <w:r>
        <w:t xml:space="preserve"/>
      </w:r>
    </w:p>
    <w:p>
      <w:pPr>
        <w:shd w:fill="111111" w:val="clear"/>
        <w:spacing w:after="120" w:before="240"/>
        <w:ind w:left="240" w:right="240"/>
      </w:pPr>
      <w:r>
        <w:rPr>
          <w:rFonts w:ascii="Calibri" w:cs="Calibri" w:eastAsia="Calibri" w:hAnsi="Calibri"/>
          <w:b/>
          <w:bCs/>
          <w:color w:val="FFFFFF"/>
          <w:sz w:val="28"/>
          <w:szCs w:val="28"/>
        </w:rPr>
        <w:t xml:space="preserve">PART G — SERVICE LEVEL REQUIREMENTS &amp; REMEDIES</w:t>
      </w:r>
    </w:p>
    <w:p>
      <w:pPr>
        <w:pBdr>
          <w:left w:val="thick" w:color="00FB92" w:sz="10" w:space="6"/>
        </w:pBdr>
        <w:spacing w:after="40" w:before="200"/>
        <w:ind w:left="120"/>
      </w:pPr>
      <w:r>
        <w:rPr>
          <w:rFonts w:ascii="Calibri" w:cs="Calibri" w:eastAsia="Calibri" w:hAnsi="Calibri"/>
          <w:b/>
          <w:bCs/>
          <w:color w:val="111111"/>
          <w:sz w:val="24"/>
          <w:szCs w:val="24"/>
        </w:rPr>
        <w:t xml:space="preserve">G1. SLR Availability Requirement</w:t>
      </w:r>
    </w:p>
    <w:p>
      <w:pPr>
        <w:spacing w:after="60" w:before="0"/>
        <w:ind w:left="120"/>
      </w:pPr>
      <w:r>
        <w:rPr>
          <w:rFonts w:ascii="Calibri" w:cs="Calibri" w:eastAsia="Calibri" w:hAnsi="Calibri"/>
          <w:i/>
          <w:iCs/>
          <w:color w:val="777777"/>
          <w:sz w:val="18"/>
          <w:szCs w:val="18"/>
        </w:rPr>
        <w:t xml:space="preserve">Category: SLR  |  Source: [EaaS-BE] Schedule 2 §2, [CaaS]</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shall ensure that the Services are available to the Client for a minimum of [99.5%] of the total hours in each calendar month (Availability Requirement). Availability is calculated as: (Total Hours in Month − Unplanned Outage Hours attributable to Service Provider) / Total Hours in Month × 100.</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G2. Planned Outage Notification</w:t>
      </w:r>
    </w:p>
    <w:p>
      <w:pPr>
        <w:spacing w:after="60" w:before="0"/>
        <w:ind w:left="120"/>
      </w:pPr>
      <w:r>
        <w:rPr>
          <w:rFonts w:ascii="Calibri" w:cs="Calibri" w:eastAsia="Calibri" w:hAnsi="Calibri"/>
          <w:i/>
          <w:iCs/>
          <w:color w:val="777777"/>
          <w:sz w:val="18"/>
          <w:szCs w:val="18"/>
        </w:rPr>
        <w:t xml:space="preserve">Category: SLR  |  Source: [EaaS-BE] Schedule 2 §4</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shall provide the Client with a minimum of [5] Business Days' written notice of any Planned Outage. The Service Provider shall minimise the duration and frequency of Planned Outages and shall, where possible, schedule Planned Outages during periods of low demand as agreed with the Client.</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G3. Unplanned Outage Response Times</w:t>
      </w:r>
    </w:p>
    <w:p>
      <w:pPr>
        <w:spacing w:after="60" w:before="0"/>
        <w:ind w:left="120"/>
      </w:pPr>
      <w:r>
        <w:rPr>
          <w:rFonts w:ascii="Calibri" w:cs="Calibri" w:eastAsia="Calibri" w:hAnsi="Calibri"/>
          <w:i/>
          <w:iCs/>
          <w:color w:val="777777"/>
          <w:sz w:val="18"/>
          <w:szCs w:val="18"/>
        </w:rPr>
        <w:t xml:space="preserve">Category: SLR  |  Source: [EaaS-BE] Schedule 2 §5</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In the event of an Unplanned Outage, the Service Provider shall: (a) acknowledge receipt of Client's notification within [2] hours; (b) dispatch a qualified technician to the Client Premises within [4] hours of notification; (c) restore full service within [24] hours of notification; or (d) provide a written escalation plan and interim solution within [24] hours if full restoration will take longer.</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G4. Liquidated Damages — Availability</w:t>
      </w:r>
    </w:p>
    <w:p>
      <w:pPr>
        <w:spacing w:after="60" w:before="0"/>
        <w:ind w:left="120"/>
      </w:pPr>
      <w:r>
        <w:rPr>
          <w:rFonts w:ascii="Calibri" w:cs="Calibri" w:eastAsia="Calibri" w:hAnsi="Calibri"/>
          <w:i/>
          <w:iCs/>
          <w:color w:val="777777"/>
          <w:sz w:val="18"/>
          <w:szCs w:val="18"/>
        </w:rPr>
        <w:t xml:space="preserve">Category: SLR  |  Source: [EaaS-BE] Schedule 3 §4</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In the event the Service Level Requirement in relation to availability is not met over the given calendar month, the Service Provider will owe compensation equal to: </w:t>
      </w:r>
      <w:r>
        <w:rPr>
          <w:rFonts w:ascii="Calibri" w:cs="Calibri" w:eastAsia="Calibri" w:hAnsi="Calibri"/>
          <w:b/>
          <w:bCs/>
          <w:color w:val="111111"/>
          <w:sz w:val="20"/>
          <w:szCs w:val="20"/>
        </w:rPr>
        <w:t xml:space="preserve">[X EUR] OR [X%] of the monthly fee per [X%] below the agreed Availability Requirement</w:t>
      </w:r>
      <w:r>
        <w:rPr>
          <w:rFonts w:ascii="Calibri" w:cs="Calibri" w:eastAsia="Calibri" w:hAnsi="Calibri"/>
          <w:color w:val="111111"/>
          <w:sz w:val="20"/>
          <w:szCs w:val="20"/>
        </w:rPr>
        <w:t xml:space="preserve"> — These amounts are deducted from the next invoice. If there will not be a next invoice (e.g. due to termination), the Service Provider will issue a credit note and reimburse the compensation.</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G5. Liquidated Damages — Response Times</w:t>
      </w:r>
    </w:p>
    <w:p>
      <w:pPr>
        <w:spacing w:after="60" w:before="0"/>
        <w:ind w:left="120"/>
      </w:pPr>
      <w:r>
        <w:rPr>
          <w:rFonts w:ascii="Calibri" w:cs="Calibri" w:eastAsia="Calibri" w:hAnsi="Calibri"/>
          <w:i/>
          <w:iCs/>
          <w:color w:val="777777"/>
          <w:sz w:val="18"/>
          <w:szCs w:val="18"/>
        </w:rPr>
        <w:t xml:space="preserve">Category: SLR  |  Source: [EaaS-BE] Schedule 3 §4</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For each event in which the Service Level Requirement in relation to response times is not met, the Service Provider will owe compensation equal to: </w:t>
      </w:r>
      <w:r>
        <w:rPr>
          <w:rFonts w:ascii="Calibri" w:cs="Calibri" w:eastAsia="Calibri" w:hAnsi="Calibri"/>
          <w:b/>
          <w:bCs/>
          <w:color w:val="111111"/>
          <w:sz w:val="20"/>
          <w:szCs w:val="20"/>
        </w:rPr>
        <w:t xml:space="preserve">[X EUR] OR [X%] of the monthly fee for each new period of [3 hours] of non-response</w:t>
      </w:r>
      <w:r>
        <w:rPr>
          <w:rFonts w:ascii="Calibri" w:cs="Calibri" w:eastAsia="Calibri" w:hAnsi="Calibri"/>
          <w:color w:val="111111"/>
          <w:sz w:val="20"/>
          <w:szCs w:val="20"/>
        </w:rPr>
        <w:t xml:space="preserve">. Where the actual response time exceeds the maximum by more than [24 hours], each further [3-hour] period of non-response gives rise to an additional compensation of [2×X EUR].</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G6. Client Emergency Alternative</w:t>
      </w:r>
    </w:p>
    <w:p>
      <w:pPr>
        <w:spacing w:after="60" w:before="0"/>
        <w:ind w:left="120"/>
      </w:pPr>
      <w:r>
        <w:rPr>
          <w:rFonts w:ascii="Calibri" w:cs="Calibri" w:eastAsia="Calibri" w:hAnsi="Calibri"/>
          <w:i/>
          <w:iCs/>
          <w:color w:val="777777"/>
          <w:sz w:val="18"/>
          <w:szCs w:val="18"/>
        </w:rPr>
        <w:t xml:space="preserve">Category: SLR  |  Source: [EaaS-BE] §7.5</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In an Unplanned Outage where the Service Provider has not met the response times stated in the Service Level Requirements, the Client may satisfy its business needs for the Services in an alternative manner, on the condition that this does not impact in any manner the Service Provider Equipment or prejudice the subsequent performance of the Services by the Service Provider, and on the condition that the Client ceases use of such alternative as soon as the Service Provider has restored full availability of the Service.</w:t>
      </w:r>
    </w:p>
    <w:p>
      <w:pPr>
        <w:pBdr>
          <w:bottom w:val="single" w:color="00FB92" w:sz="6" w:space="1"/>
        </w:pBdr>
        <w:spacing w:after="80" w:before="80"/>
      </w:pPr>
    </w:p>
    <w:p>
      <w:pPr>
        <w:pageBreakBefore/>
      </w:pPr>
      <w:r>
        <w:t xml:space="preserve"/>
      </w:r>
    </w:p>
    <w:p>
      <w:pPr>
        <w:shd w:fill="111111" w:val="clear"/>
        <w:spacing w:after="120" w:before="240"/>
        <w:ind w:left="240" w:right="240"/>
      </w:pPr>
      <w:r>
        <w:rPr>
          <w:rFonts w:ascii="Calibri" w:cs="Calibri" w:eastAsia="Calibri" w:hAnsi="Calibri"/>
          <w:b/>
          <w:bCs/>
          <w:color w:val="FFFFFF"/>
          <w:sz w:val="28"/>
          <w:szCs w:val="28"/>
        </w:rPr>
        <w:t xml:space="preserve">PART H — TERMINATION CLAUSES</w:t>
      </w:r>
    </w:p>
    <w:p>
      <w:pPr>
        <w:pBdr>
          <w:left w:val="thick" w:color="00FB92" w:sz="10" w:space="6"/>
        </w:pBdr>
        <w:spacing w:after="40" w:before="200"/>
        <w:ind w:left="120"/>
      </w:pPr>
      <w:r>
        <w:rPr>
          <w:rFonts w:ascii="Calibri" w:cs="Calibri" w:eastAsia="Calibri" w:hAnsi="Calibri"/>
          <w:b/>
          <w:bCs/>
          <w:color w:val="111111"/>
          <w:sz w:val="24"/>
          <w:szCs w:val="24"/>
        </w:rPr>
        <w:t xml:space="preserve">H1. Termination for Cause by Client — SLR Trigger</w:t>
      </w:r>
    </w:p>
    <w:p>
      <w:pPr>
        <w:spacing w:after="60" w:before="0"/>
        <w:ind w:left="120"/>
      </w:pPr>
      <w:r>
        <w:rPr>
          <w:rFonts w:ascii="Calibri" w:cs="Calibri" w:eastAsia="Calibri" w:hAnsi="Calibri"/>
          <w:i/>
          <w:iCs/>
          <w:color w:val="777777"/>
          <w:sz w:val="18"/>
          <w:szCs w:val="18"/>
        </w:rPr>
        <w:t xml:space="preserve">Category: Termination  |  Source: [EaaS-BE] §9.2.1.1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Client has the right to terminate this Agreement with immediate effect by simple notice, without court intervention and without any compensation being due by the Client, if for six (6) continuous months, or for a period of at least nine (9) months over a period of at least twelve (12) months, the Liquidated Damages Service Level Requirements amount to more than [50%] of the fees that would otherwise be due without these Liquidated Damages being applicable.</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H2. Termination for Cause by Client — Material Breach</w:t>
      </w:r>
    </w:p>
    <w:p>
      <w:pPr>
        <w:spacing w:after="60" w:before="0"/>
        <w:ind w:left="120"/>
      </w:pPr>
      <w:r>
        <w:rPr>
          <w:rFonts w:ascii="Calibri" w:cs="Calibri" w:eastAsia="Calibri" w:hAnsi="Calibri"/>
          <w:i/>
          <w:iCs/>
          <w:color w:val="777777"/>
          <w:sz w:val="18"/>
          <w:szCs w:val="18"/>
        </w:rPr>
        <w:t xml:space="preserve">Category: Termination  |  Source: [EaaS-BE] §9.2.1.2</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Client has the right to terminate this Agreement with immediate effect if the Service Provider commits a material breach of the Agreement that is so serious that it may undermine the mutual trust and confidence of the Client in the further good execution of the Agreement; and upon written notice from the Client invoking this clause, the Service Provider does not take measurable steps to cure the breach within thirty (30) calendar days.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H3. Termination for Cause by Client — Insolvency</w:t>
      </w:r>
    </w:p>
    <w:p>
      <w:pPr>
        <w:spacing w:after="60" w:before="0"/>
        <w:ind w:left="120"/>
      </w:pPr>
      <w:r>
        <w:rPr>
          <w:rFonts w:ascii="Calibri" w:cs="Calibri" w:eastAsia="Calibri" w:hAnsi="Calibri"/>
          <w:i/>
          <w:iCs/>
          <w:color w:val="777777"/>
          <w:sz w:val="18"/>
          <w:szCs w:val="18"/>
        </w:rPr>
        <w:t xml:space="preserve">Category: Termination  |  Source: [EaaS-BE] §9.2.1.3</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Client has the right to terminate this Agreement with immediate effect if the Service Provider is in an Insolvency Situation, to the extent allowed under applicable Law.</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H4. Termination for Cause by Service Provider — Non-Payment</w:t>
      </w:r>
    </w:p>
    <w:p>
      <w:pPr>
        <w:spacing w:after="60" w:before="0"/>
        <w:ind w:left="120"/>
      </w:pPr>
      <w:r>
        <w:rPr>
          <w:rFonts w:ascii="Calibri" w:cs="Calibri" w:eastAsia="Calibri" w:hAnsi="Calibri"/>
          <w:i/>
          <w:iCs/>
          <w:color w:val="777777"/>
          <w:sz w:val="18"/>
          <w:szCs w:val="18"/>
        </w:rPr>
        <w:t xml:space="preserve">Category: Termination  |  Source: [EaaS-BE] §9.2.2.1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may terminate the Agreement without court intervention in the event of subsequent failure by the Client to pay three (3) undisputed invoices within the agreed payment term, provided that the Service Provider has informed the Client through a reminder letter of the unpaid undisputed invoices and the Parties did not reach an agreement regarding payment in the framework of the Dispute Resolution Procedure.</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H5. Termination for Cause by Service Provider — Change of Control</w:t>
      </w:r>
    </w:p>
    <w:p>
      <w:pPr>
        <w:spacing w:after="60" w:before="0"/>
        <w:ind w:left="120"/>
      </w:pPr>
      <w:r>
        <w:rPr>
          <w:rFonts w:ascii="Calibri" w:cs="Calibri" w:eastAsia="Calibri" w:hAnsi="Calibri"/>
          <w:i/>
          <w:iCs/>
          <w:color w:val="777777"/>
          <w:sz w:val="18"/>
          <w:szCs w:val="18"/>
        </w:rPr>
        <w:t xml:space="preserve">Category: Termination  |  Source: [EaaS-BE] §9.2.2.2</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may terminate the Agreement without court intervention in the event of a change of control over the Client, or the assignment of the Agreement or any rights or obligations thereunder by the Client to a Third Party without the Service Provider's prior written consent.</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H6. Termination for Protracted Force Majeure</w:t>
      </w:r>
    </w:p>
    <w:p>
      <w:pPr>
        <w:spacing w:after="60" w:before="0"/>
        <w:ind w:left="120"/>
      </w:pPr>
      <w:r>
        <w:rPr>
          <w:rFonts w:ascii="Calibri" w:cs="Calibri" w:eastAsia="Calibri" w:hAnsi="Calibri"/>
          <w:i/>
          <w:iCs/>
          <w:color w:val="777777"/>
          <w:sz w:val="18"/>
          <w:szCs w:val="18"/>
        </w:rPr>
        <w:t xml:space="preserve">Category: Termination  |  Source: [EaaS-BE] §9.3</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In the event of a Force Majeure Event that makes it impossible for the Service Provider to perform the Services and that exceeds an uninterrupted period of [6] months, either Party can provide written notice of termination of the Agreement, which will take effect within one month from the date of such notice. The only compensation due is the payment to the Service Provider of the costs for removal of the Service Provider Equipment (including its transport).</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H7. Termination Fee — Payable by Client</w:t>
      </w:r>
    </w:p>
    <w:p>
      <w:pPr>
        <w:spacing w:after="60" w:before="0"/>
        <w:ind w:left="120"/>
      </w:pPr>
      <w:r>
        <w:rPr>
          <w:rFonts w:ascii="Calibri" w:cs="Calibri" w:eastAsia="Calibri" w:hAnsi="Calibri"/>
          <w:i/>
          <w:iCs/>
          <w:color w:val="777777"/>
          <w:sz w:val="18"/>
          <w:szCs w:val="18"/>
        </w:rPr>
        <w:t xml:space="preserve">Category: Termination  |  Source: [EaaS-BE] Schedule 3 §5.1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In case of termination for cause by the Service Provider, the termination fee payable by the Client shall be an amount equal to [X]% of the sum of the average of the Usage Charges charged for the six months immediately preceding the termination, multiplied by the number of years remaining in the Agreement Term, supplemented with the cost for removal of the Service Provider Equipment (including its transport), with a minimum of [X] EUR.</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H8. Termination Fee — Payable by Service Provider</w:t>
      </w:r>
    </w:p>
    <w:p>
      <w:pPr>
        <w:spacing w:after="60" w:before="0"/>
        <w:ind w:left="120"/>
      </w:pPr>
      <w:r>
        <w:rPr>
          <w:rFonts w:ascii="Calibri" w:cs="Calibri" w:eastAsia="Calibri" w:hAnsi="Calibri"/>
          <w:i/>
          <w:iCs/>
          <w:color w:val="777777"/>
          <w:sz w:val="18"/>
          <w:szCs w:val="18"/>
        </w:rPr>
        <w:t xml:space="preserve">Category: Termination  |  Source: [EaaS-BE] Schedule 3 §5.2</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In case of termination for cause by the Client, the termination fee payable by the Service Provider shall be an amount equal to [X]% of the sum of the average of the Usage Charges charged for the six months immediately preceding the termination, multiplied by the number of years remaining in the Agreement Term, decreased by the cost for removal of the Service Provider Equipment (including its transport) by the Service Provider.</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H9. Client Convenience Termination</w:t>
      </w:r>
    </w:p>
    <w:p>
      <w:pPr>
        <w:spacing w:after="60" w:before="0"/>
        <w:ind w:left="120"/>
      </w:pPr>
      <w:r>
        <w:rPr>
          <w:rFonts w:ascii="Calibri" w:cs="Calibri" w:eastAsia="Calibri" w:hAnsi="Calibri"/>
          <w:i/>
          <w:iCs/>
          <w:color w:val="777777"/>
          <w:sz w:val="18"/>
          <w:szCs w:val="18"/>
        </w:rPr>
        <w:t xml:space="preserve">Category: Termination  |  Source: [EaaS-BE] §9.1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Client is not entitled to terminate the Agreement fully or partly for convenience during the period indicated in the Term Sheet (lock-in period). However, after this period, the Client will be entitled to terminate the Agreement fully or partly for convenience by giving the Service Provider minimum [X] months' prior written notice and, unless otherwise agreed in writing, without any compensation being due by the Client except for the costs of removal of the Service Provider Equipment (including transport).</w:t>
      </w:r>
    </w:p>
    <w:p>
      <w:pPr>
        <w:pBdr>
          <w:bottom w:val="single" w:color="00FB92" w:sz="6" w:space="1"/>
        </w:pBdr>
        <w:spacing w:after="80" w:before="80"/>
      </w:pPr>
    </w:p>
    <w:p>
      <w:pPr>
        <w:pageBreakBefore/>
      </w:pPr>
      <w:r>
        <w:t xml:space="preserve"/>
      </w:r>
    </w:p>
    <w:p>
      <w:pPr>
        <w:shd w:fill="111111" w:val="clear"/>
        <w:spacing w:after="120" w:before="240"/>
        <w:ind w:left="240" w:right="240"/>
      </w:pPr>
      <w:r>
        <w:rPr>
          <w:rFonts w:ascii="Calibri" w:cs="Calibri" w:eastAsia="Calibri" w:hAnsi="Calibri"/>
          <w:b/>
          <w:bCs/>
          <w:color w:val="FFFFFF"/>
          <w:sz w:val="28"/>
          <w:szCs w:val="28"/>
        </w:rPr>
        <w:t xml:space="preserve">PART I — LIABILITY &amp; INSURANCE CLAUSES</w:t>
      </w:r>
    </w:p>
    <w:p>
      <w:pPr>
        <w:pBdr>
          <w:left w:val="thick" w:color="00FB92" w:sz="10" w:space="6"/>
        </w:pBdr>
        <w:spacing w:after="40" w:before="200"/>
        <w:ind w:left="120"/>
      </w:pPr>
      <w:r>
        <w:rPr>
          <w:rFonts w:ascii="Calibri" w:cs="Calibri" w:eastAsia="Calibri" w:hAnsi="Calibri"/>
          <w:b/>
          <w:bCs/>
          <w:color w:val="111111"/>
          <w:sz w:val="24"/>
          <w:szCs w:val="24"/>
        </w:rPr>
        <w:t xml:space="preserve">I1. Client Liability Cap</w:t>
      </w:r>
    </w:p>
    <w:p>
      <w:pPr>
        <w:spacing w:after="60" w:before="0"/>
        <w:ind w:left="120"/>
      </w:pPr>
      <w:r>
        <w:rPr>
          <w:rFonts w:ascii="Calibri" w:cs="Calibri" w:eastAsia="Calibri" w:hAnsi="Calibri"/>
          <w:i/>
          <w:iCs/>
          <w:color w:val="777777"/>
          <w:sz w:val="18"/>
          <w:szCs w:val="18"/>
        </w:rPr>
        <w:t xml:space="preserve">Category: Liability  |  Source: [EaaS-BE] §10.1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Client's total aggregate liability per Contract Year in respect of all losses incurred by the Service Provider for all occurrences and events occurred during that Contract Year and arising out of or in connection with this Agreement shall not exceed [X]% of the Fees Paid and/or Payable by the Client in relation to this Agreement.</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I2. Service Provider Liability Cap</w:t>
      </w:r>
    </w:p>
    <w:p>
      <w:pPr>
        <w:spacing w:after="60" w:before="0"/>
        <w:ind w:left="120"/>
      </w:pPr>
      <w:r>
        <w:rPr>
          <w:rFonts w:ascii="Calibri" w:cs="Calibri" w:eastAsia="Calibri" w:hAnsi="Calibri"/>
          <w:i/>
          <w:iCs/>
          <w:color w:val="777777"/>
          <w:sz w:val="18"/>
          <w:szCs w:val="18"/>
        </w:rPr>
        <w:t xml:space="preserve">Category: Liability  |  Source: [EaaS-BE] §10.2</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Provider's total aggregate liability in respect of all losses incurred by the Client arising out of or in connection with the Agreement shall in one Contract Year for all occurrences and events occurred during that Contract Year not exceed [X]% of the Fees Paid and/or Payable by the Client in relation to this Agreement.</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I3. Consequential Loss Exclusion</w:t>
      </w:r>
    </w:p>
    <w:p>
      <w:pPr>
        <w:spacing w:after="60" w:before="0"/>
        <w:ind w:left="120"/>
      </w:pPr>
      <w:r>
        <w:rPr>
          <w:rFonts w:ascii="Calibri" w:cs="Calibri" w:eastAsia="Calibri" w:hAnsi="Calibri"/>
          <w:i/>
          <w:iCs/>
          <w:color w:val="777777"/>
          <w:sz w:val="18"/>
          <w:szCs w:val="18"/>
        </w:rPr>
        <w:t xml:space="preserve">Category: Liability  |  Source: [EaaS-BE] §10.3</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Subject to the carve-outs in clause I4, neither Party shall be liable for reputation damage, loss of clients, indirect loss of revenue, indirect loss of profits and/or loss of opportunities.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I4. Liability Carve-Outs (Cannot be Limited)</w:t>
      </w:r>
    </w:p>
    <w:p>
      <w:pPr>
        <w:spacing w:after="60" w:before="0"/>
        <w:ind w:left="120"/>
      </w:pPr>
      <w:r>
        <w:rPr>
          <w:rFonts w:ascii="Calibri" w:cs="Calibri" w:eastAsia="Calibri" w:hAnsi="Calibri"/>
          <w:i/>
          <w:iCs/>
          <w:color w:val="777777"/>
          <w:sz w:val="18"/>
          <w:szCs w:val="18"/>
        </w:rPr>
        <w:t xml:space="preserve">Category: Liability  |  Source: [EaaS-BE] §10.4</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Nothing in this Agreement shall exclude or limit: (1) either Party's liability for death or personal injury caused by its (or its agents' or Sub-Contractors') negligence; (2) either Party's liability for fraud, wilful intent or gross negligence; (3) either Party's liability that cannot, as a matter of Law, be limited or excluded; (4) the Parties' liability for all breaches under the Law compliance, Confidentiality, and Client Data obligations; and (5) the Service Provider's liability for the indemnities set out in this Agreement.</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I5. Service Provider Insurance</w:t>
      </w:r>
    </w:p>
    <w:p>
      <w:pPr>
        <w:spacing w:after="60" w:before="0"/>
        <w:ind w:left="120"/>
      </w:pPr>
      <w:r>
        <w:rPr>
          <w:rFonts w:ascii="Calibri" w:cs="Calibri" w:eastAsia="Calibri" w:hAnsi="Calibri"/>
          <w:i/>
          <w:iCs/>
          <w:color w:val="777777"/>
          <w:sz w:val="18"/>
          <w:szCs w:val="18"/>
        </w:rPr>
        <w:t xml:space="preserve">Category: Insurance  |  Source: [EaaS-BE] §11.1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shall, at its cost and in accordance with good industry practice, during the Term and at least two (2) years thereafter, be solely responsible for and ensure a sufficient insurance cover (for a single event or series of related events in a single calendar year) taking into account the risks the Service Provider incurs or may incur under the Agreement. The Service Provider shall, at the Client's first request, provide the Client with a copy of the current insurance certificate and proof of payment of the most recent premiums.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I6. Client Premises Insurance</w:t>
      </w:r>
    </w:p>
    <w:p>
      <w:pPr>
        <w:spacing w:after="60" w:before="0"/>
        <w:ind w:left="120"/>
      </w:pPr>
      <w:r>
        <w:rPr>
          <w:rFonts w:ascii="Calibri" w:cs="Calibri" w:eastAsia="Calibri" w:hAnsi="Calibri"/>
          <w:i/>
          <w:iCs/>
          <w:color w:val="777777"/>
          <w:sz w:val="18"/>
          <w:szCs w:val="18"/>
        </w:rPr>
        <w:t xml:space="preserve">Category: Insurance  |  Source: [EaaS-BE] §11.4</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Client shall, at its cost and in accordance with good industry practice, during the Term and at least two (2) years thereafter, ensure a sufficient insurance cover for risks relating to the Client Premises, including for fire and flooding. The Client shall inform its insurer in writing of the presence of the Service Provider Equipment in the Client Premises, and update this information as necessary.</w:t>
      </w:r>
    </w:p>
    <w:p>
      <w:pPr>
        <w:pBdr>
          <w:bottom w:val="single" w:color="00FB92" w:sz="6" w:space="1"/>
        </w:pBdr>
        <w:spacing w:after="80" w:before="80"/>
      </w:pPr>
    </w:p>
    <w:p>
      <w:pPr>
        <w:pageBreakBefore/>
      </w:pPr>
      <w:r>
        <w:t xml:space="preserve"/>
      </w:r>
    </w:p>
    <w:p>
      <w:pPr>
        <w:shd w:fill="111111" w:val="clear"/>
        <w:spacing w:after="120" w:before="240"/>
        <w:ind w:left="240" w:right="240"/>
      </w:pPr>
      <w:r>
        <w:rPr>
          <w:rFonts w:ascii="Calibri" w:cs="Calibri" w:eastAsia="Calibri" w:hAnsi="Calibri"/>
          <w:b/>
          <w:bCs/>
          <w:color w:val="FFFFFF"/>
          <w:sz w:val="28"/>
          <w:szCs w:val="28"/>
        </w:rPr>
        <w:t xml:space="preserve">PART J — OPTIONAL CLAUSES</w:t>
      </w:r>
    </w:p>
    <w:p>
      <w:pPr>
        <w:pBdr>
          <w:left w:val="thick" w:color="00FB92" w:sz="10" w:space="6"/>
        </w:pBdr>
        <w:spacing w:after="40" w:before="200"/>
        <w:ind w:left="120"/>
      </w:pPr>
      <w:r>
        <w:rPr>
          <w:rFonts w:ascii="Calibri" w:cs="Calibri" w:eastAsia="Calibri" w:hAnsi="Calibri"/>
          <w:b/>
          <w:bCs/>
          <w:color w:val="111111"/>
          <w:sz w:val="24"/>
          <w:szCs w:val="24"/>
        </w:rPr>
        <w:t xml:space="preserve">J1. Cooperation for Financing</w:t>
      </w:r>
    </w:p>
    <w:p>
      <w:pPr>
        <w:spacing w:after="60" w:before="0"/>
        <w:ind w:left="120"/>
      </w:pPr>
      <w:r>
        <w:rPr>
          <w:rFonts w:ascii="Calibri" w:cs="Calibri" w:eastAsia="Calibri" w:hAnsi="Calibri"/>
          <w:i/>
          <w:iCs/>
          <w:color w:val="777777"/>
          <w:sz w:val="18"/>
          <w:szCs w:val="18"/>
        </w:rPr>
        <w:t xml:space="preserve">Category: Optional  |  Source: [EaaS-BE] Optional §1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Client will cooperate in good faith with the Service Provider in view of obtaining the necessary financing for the Service Provider in respect of the Service Provider Equipment, as well as cooperate with the Service Provider in view of meeting any know your customer ("KYC") requirements imposed by the financier.</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J2. Purchase Option at Term End</w:t>
      </w:r>
    </w:p>
    <w:p>
      <w:pPr>
        <w:spacing w:after="60" w:before="0"/>
        <w:ind w:left="120"/>
      </w:pPr>
      <w:r>
        <w:rPr>
          <w:rFonts w:ascii="Calibri" w:cs="Calibri" w:eastAsia="Calibri" w:hAnsi="Calibri"/>
          <w:i/>
          <w:iCs/>
          <w:color w:val="777777"/>
          <w:sz w:val="18"/>
          <w:szCs w:val="18"/>
        </w:rPr>
        <w:t xml:space="preserve">Category: Optional  |  Source: [EaaS-BE] Optional §2</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At the expiration of the Term, the Client shall have a purchase option on the Service Provider Equipment located on the Client Premises. The option must be exercised no later than [X] months prior to the expiration of the Term, by registered letter. The sales price will be equal to the fair market value of the equipment at that time, as determined by the Parties or, failing agreement, by an independent expert appointed by mutual agreement. The deed of sale will be passed in the month following the date on which this Agreement terminates.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J3. Step-In Rights</w:t>
      </w:r>
    </w:p>
    <w:p>
      <w:pPr>
        <w:spacing w:after="60" w:before="0"/>
        <w:ind w:left="120"/>
      </w:pPr>
      <w:r>
        <w:rPr>
          <w:rFonts w:ascii="Calibri" w:cs="Calibri" w:eastAsia="Calibri" w:hAnsi="Calibri"/>
          <w:i/>
          <w:iCs/>
          <w:color w:val="777777"/>
          <w:sz w:val="18"/>
          <w:szCs w:val="18"/>
        </w:rPr>
        <w:t xml:space="preserve">Category: Optional  |  Source: [EaaS-BE] Optional §9</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Without prejudice to any of Client's other rights and remedies, Client may, in its sole discretion, by notice in writing to the Service Provider, appoint a management team or Third Party to manage or provide the Services (or part thereof) where: (a) a breach by the Service Provider has created a material interruption in Services for an uninterrupted period exceeding [X] days and the Service Provider does not take measurable steps to cure such breach within [X] Business Days of written notice; (b) a Force Majeure Event occurs for an uninterrupted period exceeding [X] days; or (c) Client has reasonable grounds to suspect that one of the above circumstances is more likely than not to occur. All costs incurred by Client in exercising step-in rights shall be reimbursed by the Service Provider and may be deducted from the Fees.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J4. Parent Company / Bank Guarantee</w:t>
      </w:r>
    </w:p>
    <w:p>
      <w:pPr>
        <w:spacing w:after="60" w:before="0"/>
        <w:ind w:left="120"/>
      </w:pPr>
      <w:r>
        <w:rPr>
          <w:rFonts w:ascii="Calibri" w:cs="Calibri" w:eastAsia="Calibri" w:hAnsi="Calibri"/>
          <w:i/>
          <w:iCs/>
          <w:color w:val="777777"/>
          <w:sz w:val="18"/>
          <w:szCs w:val="18"/>
        </w:rPr>
        <w:t xml:space="preserve">Category: Optional  |  Source: [EaaS-BE] Optional §10</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Provider/Client] shall provide a [parent company guarantee / bank guarantee] that will provide for the performance by the [parent company] of the [Service Provider's/Client's] obligations and payment on first demand of any liabilities incurred under or in relation to the Agreement. For every event of delay in performance or non-performance not remedied within two (2) weeks, [Client/Service Provider] may invoke the guarantee. The guarantee shall be automatically renewed annually throughout the Term.</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J5. Hardship Clause</w:t>
      </w:r>
    </w:p>
    <w:p>
      <w:pPr>
        <w:spacing w:after="60" w:before="0"/>
        <w:ind w:left="120"/>
      </w:pPr>
      <w:r>
        <w:rPr>
          <w:rFonts w:ascii="Calibri" w:cs="Calibri" w:eastAsia="Calibri" w:hAnsi="Calibri"/>
          <w:i/>
          <w:iCs/>
          <w:color w:val="777777"/>
          <w:sz w:val="18"/>
          <w:szCs w:val="18"/>
        </w:rPr>
        <w:t xml:space="preserve">Category: Optional  |  Source: [EaaS-BE] Optional §15</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In the event, after execution of this Agreement, of any political, technical or economic event, or any measure taken by the competent authorities or any change in Laws pertaining to the subject matter of this Agreement, which event: (a) is not attributable to any Party; (b) could not have been reasonably foreseen by either Party at the time of signature; and (c) has a substantial impact on the balance of the respective interests of the Parties, such that a Party cannot reasonably expect the other Party to bear all consequences — the Parties shall, at the initiative of either Party, negotiate in good faith any possible amendment of this Agreement in order to restore such balance. If no agreement can be reached within three (3) months from the date on which renegotiation was requested, the Dispute Resolution Procedure applies.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J6. Post-Termination Assistance</w:t>
      </w:r>
    </w:p>
    <w:p>
      <w:pPr>
        <w:spacing w:after="60" w:before="0"/>
        <w:ind w:left="120"/>
      </w:pPr>
      <w:r>
        <w:rPr>
          <w:rFonts w:ascii="Calibri" w:cs="Calibri" w:eastAsia="Calibri" w:hAnsi="Calibri"/>
          <w:i/>
          <w:iCs/>
          <w:color w:val="777777"/>
          <w:sz w:val="18"/>
          <w:szCs w:val="18"/>
        </w:rPr>
        <w:t xml:space="preserve">Category: Optional  |  Source: [EaaS-BE] Optional §14</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In case of termination of this Agreement for whatever reason, the Service Provider shall cooperate with the Client and provide reasonable information, advice and assistance in connection with the Services to any other suppliers to enable them to create and maintain technical or organisational interfaces with the Services and to enable the timely transition of the Services to the Client and/or to any replacement supplier.</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J7. No Exclusivity</w:t>
      </w:r>
    </w:p>
    <w:p>
      <w:pPr>
        <w:spacing w:after="60" w:before="0"/>
        <w:ind w:left="120"/>
      </w:pPr>
      <w:r>
        <w:rPr>
          <w:rFonts w:ascii="Calibri" w:cs="Calibri" w:eastAsia="Calibri" w:hAnsi="Calibri"/>
          <w:i/>
          <w:iCs/>
          <w:color w:val="777777"/>
          <w:sz w:val="18"/>
          <w:szCs w:val="18"/>
        </w:rPr>
        <w:t xml:space="preserve">Category: Optional  |  Source: [EaaS-BE] Optional §11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acknowledges that it is not being appointed as an exclusive provider of any of the Services that are the subject of this Agreement and the Client may at any time perform any part of these Services itself or procure them from a Third Party, provided the Client does not make use of any Service Provider Equipment or otherwise impact the performance of the Service Provider Equipment.</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J8. Security Deposit (B2B / B2C)</w:t>
      </w:r>
    </w:p>
    <w:p>
      <w:pPr>
        <w:spacing w:after="60" w:before="0"/>
        <w:ind w:left="120"/>
      </w:pPr>
      <w:r>
        <w:rPr>
          <w:rFonts w:ascii="Calibri" w:cs="Calibri" w:eastAsia="Calibri" w:hAnsi="Calibri"/>
          <w:i/>
          <w:iCs/>
          <w:color w:val="777777"/>
          <w:sz w:val="18"/>
          <w:szCs w:val="18"/>
        </w:rPr>
        <w:t xml:space="preserve">Category: Optional  |  Source: [CaaS] §11, [Homie]</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As security for the performance of its obligations under this Agreement, the Client shall pay to the Service Provider a security deposit of [X EUR] upon signing this Agreement. The security deposit shall be held in a separate account and shall bear no interest. Upon termination or expiry of this Agreement and settlement of all outstanding amounts, the Service Provider shall return the security deposit to the Client within [30] days, less any amounts properly deducted in accordance with this Agreement.</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J9. Consumer Withdrawal Right (B2C only)</w:t>
      </w:r>
    </w:p>
    <w:p>
      <w:pPr>
        <w:spacing w:after="60" w:before="0"/>
        <w:ind w:left="120"/>
      </w:pPr>
      <w:r>
        <w:rPr>
          <w:rFonts w:ascii="Calibri" w:cs="Calibri" w:eastAsia="Calibri" w:hAnsi="Calibri"/>
          <w:i/>
          <w:iCs/>
          <w:color w:val="777777"/>
          <w:sz w:val="18"/>
          <w:szCs w:val="18"/>
        </w:rPr>
        <w:t xml:space="preserve">Category: Optional  |  Source: [Homie], [PaaS-KUL]</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Consumer has the right to withdraw from this Agreement within fourteen (14) calendar days from the date on which the Agreement was concluded, without giving any reason, provided that the Service Provider Equipment has not yet been installed at the Consumer's premises. To exercise the right of withdrawal, the Consumer must send a clear written statement (e.g. by email or registered letter) to the Service Provider before the expiry of the withdrawal period.</w:t>
      </w:r>
    </w:p>
    <w:p>
      <w:pPr>
        <w:pBdr>
          <w:bottom w:val="single" w:color="00FB92" w:sz="6" w:space="1"/>
        </w:pBdr>
        <w:spacing w:after="80" w:before="80"/>
      </w:pPr>
    </w:p>
    <w:p>
      <w:pPr>
        <w:pageBreakBefore/>
      </w:pPr>
      <w:r>
        <w:t xml:space="preserve"/>
      </w:r>
    </w:p>
    <w:p>
      <w:pPr>
        <w:shd w:fill="111111" w:val="clear"/>
        <w:spacing w:after="120" w:before="240"/>
        <w:ind w:left="240" w:right="240"/>
      </w:pPr>
      <w:r>
        <w:rPr>
          <w:rFonts w:ascii="Calibri" w:cs="Calibri" w:eastAsia="Calibri" w:hAnsi="Calibri"/>
          <w:b/>
          <w:bCs/>
          <w:color w:val="FFFFFF"/>
          <w:sz w:val="28"/>
          <w:szCs w:val="28"/>
        </w:rPr>
        <w:t xml:space="preserve">PART K — GOVERNANCE &amp; TRANSFER</w:t>
      </w:r>
    </w:p>
    <w:p>
      <w:pPr>
        <w:pBdr>
          <w:left w:val="thick" w:color="00FB92" w:sz="10" w:space="6"/>
        </w:pBdr>
        <w:spacing w:after="40" w:before="200"/>
        <w:ind w:left="120"/>
      </w:pPr>
      <w:r>
        <w:rPr>
          <w:rFonts w:ascii="Calibri" w:cs="Calibri" w:eastAsia="Calibri" w:hAnsi="Calibri"/>
          <w:b/>
          <w:bCs/>
          <w:color w:val="111111"/>
          <w:sz w:val="24"/>
          <w:szCs w:val="24"/>
        </w:rPr>
        <w:t xml:space="preserve">K1. Assignment by Service Provider</w:t>
      </w:r>
    </w:p>
    <w:p>
      <w:pPr>
        <w:spacing w:after="60" w:before="0"/>
        <w:ind w:left="120"/>
      </w:pPr>
      <w:r>
        <w:rPr>
          <w:rFonts w:ascii="Calibri" w:cs="Calibri" w:eastAsia="Calibri" w:hAnsi="Calibri"/>
          <w:i/>
          <w:iCs/>
          <w:color w:val="777777"/>
          <w:sz w:val="18"/>
          <w:szCs w:val="18"/>
        </w:rPr>
        <w:t xml:space="preserve">Category: Transfer  |  Source: [EaaS-BE] §15.1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Service Provider shall be entitled to assign, novate or otherwise transfer to a Third Party its rights, obligations or liabilities under this Agreement provided it informs the Client thereof in writing with one month's prior notice.</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K2. Assignment by Client</w:t>
      </w:r>
    </w:p>
    <w:p>
      <w:pPr>
        <w:spacing w:after="60" w:before="0"/>
        <w:ind w:left="120"/>
      </w:pPr>
      <w:r>
        <w:rPr>
          <w:rFonts w:ascii="Calibri" w:cs="Calibri" w:eastAsia="Calibri" w:hAnsi="Calibri"/>
          <w:i/>
          <w:iCs/>
          <w:color w:val="777777"/>
          <w:sz w:val="18"/>
          <w:szCs w:val="18"/>
        </w:rPr>
        <w:t xml:space="preserve">Category: Transfer  |  Source: [EaaS-BE] §15.2</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Client shall be entitled to assign, novate or otherwise transfer its rights, obligations and liabilities under the Agreement to any entity which acquires the whole or a substantial part of the Client or the Client's business to which the provision of the Services relates, subject to the Service Provider's prior written consent (which shall not be withheld unreasonably), yet only insofar as such entity confirms in writing that it will fully comply with this Agreement.</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K3. Dispute Resolution Escalation</w:t>
      </w:r>
    </w:p>
    <w:p>
      <w:pPr>
        <w:spacing w:after="60" w:before="0"/>
        <w:ind w:left="120"/>
      </w:pPr>
      <w:r>
        <w:rPr>
          <w:rFonts w:ascii="Calibri" w:cs="Calibri" w:eastAsia="Calibri" w:hAnsi="Calibri"/>
          <w:i/>
          <w:iCs/>
          <w:color w:val="777777"/>
          <w:sz w:val="18"/>
          <w:szCs w:val="18"/>
        </w:rPr>
        <w:t xml:space="preserve">Category: Governance  |  Source: [EaaS-BE] §20</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The Parties shall first attempt to resolve a Dispute informally by either Party referring the matter in dispute to the designated representatives within five (5) Working Days of the Dispute occurring. In the event that the designated representatives are unable to resolve the Dispute within three (3) Working Days, the matter shall be referred to the Contract Management Committee. If the Contract Management Committee is unable to resolve within three (3) Working Days, the matter shall be referred to the respective senior executives. If senior executives are unable to resolve the Dispute within three (3) Working Days, either Party may refer the matter to the competent courts.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K4. Mediation (Additional Dispute Settlement)</w:t>
      </w:r>
    </w:p>
    <w:p>
      <w:pPr>
        <w:spacing w:after="60" w:before="0"/>
        <w:ind w:left="120"/>
      </w:pPr>
      <w:r>
        <w:rPr>
          <w:rFonts w:ascii="Calibri" w:cs="Calibri" w:eastAsia="Calibri" w:hAnsi="Calibri"/>
          <w:i/>
          <w:iCs/>
          <w:color w:val="777777"/>
          <w:sz w:val="18"/>
          <w:szCs w:val="18"/>
        </w:rPr>
        <w:t xml:space="preserve">Category: Governance  |  Source: [EaaS-BE] Optional §16.1</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If a Dispute has not been resolved through the escalation procedure, said Dispute may, at either Party's request, be referred to mediation in accordance with the procedures of [designated mediation centre]. The mediation shall be conducted by a single mediator appointed by the Parties, or if the Parties cannot agree within fourteen (14) days, the mediator shall be appointed by [mediation centre]. Mediation is without prejudice to the rights of the Parties in any future proceedings.</w:t>
      </w:r>
    </w:p>
    <w:p>
      <w:pPr>
        <w:pBdr>
          <w:bottom w:val="single" w:color="00FB92" w:sz="6" w:space="1"/>
        </w:pBdr>
        <w:spacing w:after="80" w:before="80"/>
      </w:pPr>
    </w:p>
    <w:p>
      <w:pPr>
        <w:pBdr>
          <w:left w:val="thick" w:color="00FB92" w:sz="10" w:space="6"/>
        </w:pBdr>
        <w:spacing w:after="40" w:before="200"/>
        <w:ind w:left="120"/>
      </w:pPr>
      <w:r>
        <w:rPr>
          <w:rFonts w:ascii="Calibri" w:cs="Calibri" w:eastAsia="Calibri" w:hAnsi="Calibri"/>
          <w:b/>
          <w:bCs/>
          <w:color w:val="111111"/>
          <w:sz w:val="24"/>
          <w:szCs w:val="24"/>
        </w:rPr>
        <w:t xml:space="preserve">K5. Change Request Procedure</w:t>
      </w:r>
    </w:p>
    <w:p>
      <w:pPr>
        <w:spacing w:after="60" w:before="0"/>
        <w:ind w:left="120"/>
      </w:pPr>
      <w:r>
        <w:rPr>
          <w:rFonts w:ascii="Calibri" w:cs="Calibri" w:eastAsia="Calibri" w:hAnsi="Calibri"/>
          <w:i/>
          <w:iCs/>
          <w:color w:val="777777"/>
          <w:sz w:val="18"/>
          <w:szCs w:val="18"/>
        </w:rPr>
        <w:t xml:space="preserve">Category: Governance  |  Source: [EaaS-BE] Optional Schedule</w:t>
      </w:r>
    </w:p>
    <w:p>
      <w:pPr>
        <w:pBdr>
          <w:left w:val="single" w:color="111111" w:sz="8" w:space="8"/>
        </w:pBdr>
        <w:shd w:fill="F5F5F5" w:val="clear"/>
        <w:spacing w:after="40" w:before="40"/>
        <w:ind w:left="560" w:right="280"/>
      </w:pPr>
      <w:r>
        <w:rPr>
          <w:rFonts w:ascii="Calibri" w:cs="Calibri" w:eastAsia="Calibri" w:hAnsi="Calibri"/>
          <w:color w:val="111111"/>
          <w:sz w:val="20"/>
          <w:szCs w:val="20"/>
        </w:rPr>
        <w:t xml:space="preserve">In the event that either Party determines that a Change is required, the requesting Party shall initiate a written change request to the other Party. The Parties shall convene within twenty (20) Business Days to determine the action to be taken. Any Change request evaluation shall include at minimum: date of evaluation; impact/risk analysis; financial impact; legal review; recommendation with implementation plan; documentation requirements; and suggested approval level. The Service Provider shall not proceed with any Change prior to written acceptance from the Client.</w:t>
      </w:r>
    </w:p>
    <w:p>
      <w:pPr>
        <w:pBdr>
          <w:bottom w:val="single" w:color="00FB92" w:sz="6" w:space="1"/>
        </w:pBdr>
        <w:spacing w:after="80" w:before="80"/>
      </w:pPr>
    </w:p>
    <w:p>
      <w:pPr>
        <w:pageBreakBefore/>
      </w:pPr>
      <w:r>
        <w:t xml:space="preserve"/>
      </w:r>
    </w:p>
    <w:p>
      <w:pPr>
        <w:shd w:fill="111111" w:val="clear"/>
        <w:spacing w:after="120" w:before="240"/>
        <w:ind w:left="240" w:right="240"/>
      </w:pPr>
      <w:r>
        <w:rPr>
          <w:rFonts w:ascii="Calibri" w:cs="Calibri" w:eastAsia="Calibri" w:hAnsi="Calibri"/>
          <w:b/>
          <w:bCs/>
          <w:color w:val="FFFFFF"/>
          <w:sz w:val="28"/>
          <w:szCs w:val="28"/>
        </w:rPr>
        <w:t xml:space="preserve">CLAUSE SHORTLIST BY CONTRACT TYPE</w:t>
      </w:r>
    </w:p>
    <w:p>
      <w:pPr>
        <w:spacing w:after="80" w:before="0"/>
      </w:pPr>
    </w:p>
    <w:p>
      <w:pPr>
        <w:spacing w:after="40" w:before="40"/>
      </w:pPr>
      <w:r>
        <w:rPr>
          <w:rFonts w:ascii="Calibri" w:cs="Calibri" w:eastAsia="Calibri" w:hAnsi="Calibri"/>
          <w:color w:val="111111"/>
          <w:sz w:val="20"/>
          <w:szCs w:val="20"/>
        </w:rPr>
        <w:t xml:space="preserve">Use these shortlists as a starting point for each contract type, then add optional clauses as required.</w:t>
      </w:r>
    </w:p>
    <w:p>
      <w:pPr>
        <w:spacing w:after="80" w:before="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shd w:fill="111111" w:val="clear"/>
          </w:tcPr>
          <w:p>
            <w:r>
              <w:rPr>
                <w:rFonts w:ascii="Calibri" w:cs="Calibri" w:eastAsia="Calibri" w:hAnsi="Calibri"/>
                <w:b/>
                <w:bCs/>
                <w:color w:val="FFFFFF"/>
                <w:sz w:val="18"/>
                <w:szCs w:val="18"/>
              </w:rPr>
              <w:t xml:space="preserve">Contract Type</w:t>
            </w:r>
          </w:p>
        </w:tc>
        <w:tc>
          <w:tcPr>
            <w:tcW w:type="dxa" w:w="6000"/>
            <w:shd w:fill="111111" w:val="clear"/>
          </w:tcPr>
          <w:p>
            <w:r>
              <w:rPr>
                <w:rFonts w:ascii="Calibri" w:cs="Calibri" w:eastAsia="Calibri" w:hAnsi="Calibri"/>
                <w:b/>
                <w:bCs/>
                <w:color w:val="FFFFFF"/>
                <w:sz w:val="18"/>
                <w:szCs w:val="18"/>
              </w:rPr>
              <w:t xml:space="preserve">Recommended Clauses</w:t>
            </w:r>
          </w:p>
        </w:tc>
      </w:tr>
      <w:tr>
        <w:tc>
          <w:tcPr>
            <w:tcW w:type="dxa" w:w="4000"/>
            <w:shd w:fill="F5F5F5" w:val="clear"/>
          </w:tcPr>
          <w:p>
            <w:r>
              <w:rPr>
                <w:rFonts w:ascii="Calibri" w:cs="Calibri" w:eastAsia="Calibri" w:hAnsi="Calibri"/>
                <w:b/>
                <w:bCs/>
                <w:color w:val="111111"/>
                <w:sz w:val="18"/>
                <w:szCs w:val="18"/>
              </w:rPr>
              <w:t xml:space="preserve">Minimum Viable EaaS (B2B, 3–7 years)</w:t>
            </w:r>
          </w:p>
        </w:tc>
        <w:tc>
          <w:tcPr>
            <w:tcW w:type="dxa" w:w="6000"/>
          </w:tcPr>
          <w:p>
            <w:r>
              <w:rPr>
                <w:rFonts w:ascii="Calibri" w:cs="Calibri" w:eastAsia="Calibri" w:hAnsi="Calibri"/>
                <w:color w:val="111111"/>
                <w:sz w:val="18"/>
                <w:szCs w:val="18"/>
              </w:rPr>
              <w:t xml:space="preserve">A2, A3, B1, B2, B3, B4, B5, C1, C2, C3, C4, C5, C6, C7, D1, D2, D3, E1, E2, E3, E4, F1, F2, F3, F4, F6, F7, F8, F9, F10, G1, G2, G3, G4, G5, H1, H2, H3, H4, H7, H8, I1, I2, I3, I4, I5, I6, K1, K2, K3</w:t>
            </w:r>
          </w:p>
        </w:tc>
      </w:tr>
      <w:tr>
        <w:tc>
          <w:tcPr>
            <w:tcW w:type="dxa" w:w="4000"/>
            <w:shd w:fill="F5F5F5" w:val="clear"/>
          </w:tcPr>
          <w:p>
            <w:r>
              <w:rPr>
                <w:rFonts w:ascii="Calibri" w:cs="Calibri" w:eastAsia="Calibri" w:hAnsi="Calibri"/>
                <w:b/>
                <w:bCs/>
                <w:color w:val="111111"/>
                <w:sz w:val="18"/>
                <w:szCs w:val="18"/>
              </w:rPr>
              <w:t xml:space="preserve">High-Value EaaS (&gt;€1M, long term, financier)</w:t>
            </w:r>
          </w:p>
        </w:tc>
        <w:tc>
          <w:tcPr>
            <w:tcW w:type="dxa" w:w="6000"/>
          </w:tcPr>
          <w:p>
            <w:r>
              <w:rPr>
                <w:rFonts w:ascii="Calibri" w:cs="Calibri" w:eastAsia="Calibri" w:hAnsi="Calibri"/>
                <w:color w:val="111111"/>
                <w:sz w:val="18"/>
                <w:szCs w:val="18"/>
              </w:rPr>
              <w:t xml:space="preserve">Minimum Viable + J1, J3, J4, J5, E5 (superficies), E6 (chain clause), C12 (improvement plan), K4 (mediation), K5 (change request)</w:t>
            </w:r>
          </w:p>
        </w:tc>
      </w:tr>
      <w:tr>
        <w:tc>
          <w:tcPr>
            <w:tcW w:type="dxa" w:w="4000"/>
            <w:shd w:fill="F5F5F5" w:val="clear"/>
          </w:tcPr>
          <w:p>
            <w:r>
              <w:rPr>
                <w:rFonts w:ascii="Calibri" w:cs="Calibri" w:eastAsia="Calibri" w:hAnsi="Calibri"/>
                <w:b/>
                <w:bCs/>
                <w:color w:val="111111"/>
                <w:sz w:val="18"/>
                <w:szCs w:val="18"/>
              </w:rPr>
              <w:t xml:space="preserve">PaaS Consumer Contract (B2C)</w:t>
            </w:r>
          </w:p>
        </w:tc>
        <w:tc>
          <w:tcPr>
            <w:tcW w:type="dxa" w:w="6000"/>
          </w:tcPr>
          <w:p>
            <w:r>
              <w:rPr>
                <w:rFonts w:ascii="Calibri" w:cs="Calibri" w:eastAsia="Calibri" w:hAnsi="Calibri"/>
                <w:color w:val="111111"/>
                <w:sz w:val="18"/>
                <w:szCs w:val="18"/>
              </w:rPr>
              <w:t xml:space="preserve">A1, A2, A3, B1, B2, B4, C2, C4, C10, C11, D1, D2, E1, E2, E3, F1, F3, G1, G3, H3, H9, I3, I4, I5, J8 (security deposit), J9 (withdrawal right), K3</w:t>
            </w:r>
          </w:p>
        </w:tc>
      </w:tr>
      <w:tr>
        <w:tc>
          <w:tcPr>
            <w:tcW w:type="dxa" w:w="4000"/>
            <w:shd w:fill="F5F5F5" w:val="clear"/>
          </w:tcPr>
          <w:p>
            <w:r>
              <w:rPr>
                <w:rFonts w:ascii="Calibri" w:cs="Calibri" w:eastAsia="Calibri" w:hAnsi="Calibri"/>
                <w:b/>
                <w:bCs/>
                <w:color w:val="111111"/>
                <w:sz w:val="18"/>
                <w:szCs w:val="18"/>
              </w:rPr>
              <w:t xml:space="preserve">CaaS Contract (Cooling-as-a-Service)</w:t>
            </w:r>
          </w:p>
        </w:tc>
        <w:tc>
          <w:tcPr>
            <w:tcW w:type="dxa" w:w="6000"/>
          </w:tcPr>
          <w:p>
            <w:r>
              <w:rPr>
                <w:rFonts w:ascii="Calibri" w:cs="Calibri" w:eastAsia="Calibri" w:hAnsi="Calibri"/>
                <w:color w:val="111111"/>
                <w:sz w:val="18"/>
                <w:szCs w:val="18"/>
              </w:rPr>
              <w:t xml:space="preserve">A3, B1–B7 (all definitions), C1–C8, D1–D4, E1–E6, F1–F10, G1–G6, H1–H9, I1–I6, J1, J3, J4, J5, K1–K5</w:t>
            </w:r>
          </w:p>
        </w:tc>
      </w:tr>
    </w:tbl>
    <w:p>
      <w:pPr>
        <w:spacing w:after="160" w:before="0"/>
      </w:pPr>
    </w:p>
    <w:p>
      <w:pPr>
        <w:jc w:val="center"/>
      </w:pPr>
      <w:r>
        <w:rPr>
          <w:rFonts w:ascii="Calibri" w:cs="Calibri" w:eastAsia="Calibri" w:hAnsi="Calibri"/>
          <w:i/>
          <w:iCs/>
          <w:color w:val="888888"/>
          <w:sz w:val="16"/>
          <w:szCs w:val="16"/>
        </w:rPr>
        <w:t xml:space="preserve">EaaS Clause Bank — v1.0  |  Compiled by Luis Prato / KLEXU  |  September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2026-09-07T18:42:02.003Z</dcterms:created>
  <dcterms:modified xsi:type="dcterms:W3CDTF">2026-09-07T18:42:02.013Z</dcterms:modified>
</cp:coreProperties>
</file>

<file path=docProps/custom.xml><?xml version="1.0" encoding="utf-8"?>
<Properties xmlns="http://schemas.openxmlformats.org/officeDocument/2006/custom-properties" xmlns:vt="http://schemas.openxmlformats.org/officeDocument/2006/docPropsVTypes"/>
</file>