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bidi w:val="0"/>
        <w:spacing w:line="360" w:lineRule="auto"/>
        <w:jc w:val="both"/>
        <w:rPr>
          <w:rFonts w:hint="default" w:ascii="Arial" w:hAnsi="Arial" w:cs="Arial"/>
          <w:b/>
          <w:bCs/>
          <w:color w:val="000000" w:themeColor="text1"/>
          <w:sz w:val="24"/>
          <w:szCs w:val="24"/>
          <w14:textFill>
            <w14:solidFill>
              <w14:schemeClr w14:val="tx1"/>
            </w14:solidFill>
          </w14:textFill>
        </w:rPr>
      </w:pPr>
      <w:r>
        <w:rPr>
          <w:rFonts w:hint="default" w:ascii="Arial" w:hAnsi="Arial" w:cs="Arial"/>
          <w:b/>
          <w:bCs/>
          <w:color w:val="000000" w:themeColor="text1"/>
          <w:sz w:val="24"/>
          <w:szCs w:val="24"/>
          <w14:textFill>
            <w14:solidFill>
              <w14:schemeClr w14:val="tx1"/>
            </w14:solidFill>
          </w14:textFill>
        </w:rPr>
        <w:t>¿Qué es la propiedad intelectual?</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La propiedad intelectual (PI) se relaciona con las creaciones de la mente: invenciones, obras literarias y artísticas, así como símbolos, nombres e imágenes utilizados en el comercio.</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La legislación protege la PI, por ejemplo, mediante las </w:t>
      </w:r>
      <w:r>
        <w:rPr>
          <w:rFonts w:hint="default" w:ascii="Arial" w:hAnsi="Arial" w:cs="Arial"/>
          <w:b w:val="0"/>
          <w:bCs w:val="0"/>
          <w:color w:val="000000" w:themeColor="text1"/>
          <w:sz w:val="24"/>
          <w:szCs w:val="24"/>
          <w14:textFill>
            <w14:solidFill>
              <w14:schemeClr w14:val="tx1"/>
            </w14:solidFill>
          </w14:textFill>
        </w:rPr>
        <w:fldChar w:fldCharType="begin"/>
      </w:r>
      <w:r>
        <w:rPr>
          <w:rFonts w:hint="default" w:ascii="Arial" w:hAnsi="Arial" w:cs="Arial"/>
          <w:b w:val="0"/>
          <w:bCs w:val="0"/>
          <w:color w:val="000000" w:themeColor="text1"/>
          <w:sz w:val="24"/>
          <w:szCs w:val="24"/>
          <w14:textFill>
            <w14:solidFill>
              <w14:schemeClr w14:val="tx1"/>
            </w14:solidFill>
          </w14:textFill>
        </w:rPr>
        <w:instrText xml:space="preserve"> HYPERLINK "https://www.wipo.int/patents/es/" \t "https://www.wipo.int/about-ip/es/_self" </w:instrText>
      </w:r>
      <w:r>
        <w:rPr>
          <w:rFonts w:hint="default" w:ascii="Arial" w:hAnsi="Arial" w:cs="Arial"/>
          <w:b w:val="0"/>
          <w:bCs w:val="0"/>
          <w:color w:val="000000" w:themeColor="text1"/>
          <w:sz w:val="24"/>
          <w:szCs w:val="24"/>
          <w14:textFill>
            <w14:solidFill>
              <w14:schemeClr w14:val="tx1"/>
            </w14:solidFill>
          </w14:textFill>
        </w:rPr>
        <w:fldChar w:fldCharType="separate"/>
      </w:r>
      <w:r>
        <w:rPr>
          <w:rStyle w:val="5"/>
          <w:rFonts w:hint="default" w:ascii="Arial" w:hAnsi="Arial" w:cs="Arial"/>
          <w:b w:val="0"/>
          <w:bCs w:val="0"/>
          <w:i w:val="0"/>
          <w:iCs w:val="0"/>
          <w:caps w:val="0"/>
          <w:color w:val="000000" w:themeColor="text1"/>
          <w:spacing w:val="0"/>
          <w:sz w:val="24"/>
          <w:szCs w:val="24"/>
          <w:u w:val="none"/>
          <w:bdr w:val="none" w:color="auto" w:sz="0" w:space="0"/>
          <w:shd w:val="clear" w:fill="FAFAFA"/>
          <w14:textFill>
            <w14:solidFill>
              <w14:schemeClr w14:val="tx1"/>
            </w14:solidFill>
          </w14:textFill>
        </w:rPr>
        <w:t>patentes</w:t>
      </w:r>
      <w:r>
        <w:rPr>
          <w:rFonts w:hint="default" w:ascii="Arial" w:hAnsi="Arial" w:cs="Arial"/>
          <w:b w:val="0"/>
          <w:bCs w:val="0"/>
          <w:color w:val="000000" w:themeColor="text1"/>
          <w:sz w:val="24"/>
          <w:szCs w:val="24"/>
          <w14:textFill>
            <w14:solidFill>
              <w14:schemeClr w14:val="tx1"/>
            </w14:solidFill>
          </w14:textFill>
        </w:rPr>
        <w:fldChar w:fldCharType="end"/>
      </w:r>
      <w:r>
        <w:rPr>
          <w:rFonts w:hint="default" w:ascii="Arial" w:hAnsi="Arial" w:cs="Arial"/>
          <w:b w:val="0"/>
          <w:bCs w:val="0"/>
          <w:color w:val="000000" w:themeColor="text1"/>
          <w:sz w:val="24"/>
          <w:szCs w:val="24"/>
          <w14:textFill>
            <w14:solidFill>
              <w14:schemeClr w14:val="tx1"/>
            </w14:solidFill>
          </w14:textFill>
        </w:rPr>
        <w:t>, el </w:t>
      </w:r>
      <w:r>
        <w:rPr>
          <w:rFonts w:hint="default" w:ascii="Arial" w:hAnsi="Arial" w:cs="Arial"/>
          <w:b w:val="0"/>
          <w:bCs w:val="0"/>
          <w:color w:val="000000" w:themeColor="text1"/>
          <w:sz w:val="24"/>
          <w:szCs w:val="24"/>
          <w14:textFill>
            <w14:solidFill>
              <w14:schemeClr w14:val="tx1"/>
            </w14:solidFill>
          </w14:textFill>
        </w:rPr>
        <w:fldChar w:fldCharType="begin"/>
      </w:r>
      <w:r>
        <w:rPr>
          <w:rFonts w:hint="default" w:ascii="Arial" w:hAnsi="Arial" w:cs="Arial"/>
          <w:b w:val="0"/>
          <w:bCs w:val="0"/>
          <w:color w:val="000000" w:themeColor="text1"/>
          <w:sz w:val="24"/>
          <w:szCs w:val="24"/>
          <w14:textFill>
            <w14:solidFill>
              <w14:schemeClr w14:val="tx1"/>
            </w14:solidFill>
          </w14:textFill>
        </w:rPr>
        <w:instrText xml:space="preserve"> HYPERLINK "https://www.wipo.int/copyright/es/" \t "https://www.wipo.int/about-ip/es/_self" </w:instrText>
      </w:r>
      <w:r>
        <w:rPr>
          <w:rFonts w:hint="default" w:ascii="Arial" w:hAnsi="Arial" w:cs="Arial"/>
          <w:b w:val="0"/>
          <w:bCs w:val="0"/>
          <w:color w:val="000000" w:themeColor="text1"/>
          <w:sz w:val="24"/>
          <w:szCs w:val="24"/>
          <w14:textFill>
            <w14:solidFill>
              <w14:schemeClr w14:val="tx1"/>
            </w14:solidFill>
          </w14:textFill>
        </w:rPr>
        <w:fldChar w:fldCharType="separate"/>
      </w:r>
      <w:r>
        <w:rPr>
          <w:rStyle w:val="5"/>
          <w:rFonts w:hint="default" w:ascii="Arial" w:hAnsi="Arial" w:cs="Arial"/>
          <w:b w:val="0"/>
          <w:bCs w:val="0"/>
          <w:i w:val="0"/>
          <w:iCs w:val="0"/>
          <w:caps w:val="0"/>
          <w:color w:val="000000" w:themeColor="text1"/>
          <w:spacing w:val="0"/>
          <w:sz w:val="24"/>
          <w:szCs w:val="24"/>
          <w:u w:val="none"/>
          <w:bdr w:val="none" w:color="auto" w:sz="0" w:space="0"/>
          <w:shd w:val="clear" w:fill="FAFAFA"/>
          <w14:textFill>
            <w14:solidFill>
              <w14:schemeClr w14:val="tx1"/>
            </w14:solidFill>
          </w14:textFill>
        </w:rPr>
        <w:t>derecho de autor</w:t>
      </w:r>
      <w:r>
        <w:rPr>
          <w:rFonts w:hint="default" w:ascii="Arial" w:hAnsi="Arial" w:cs="Arial"/>
          <w:b w:val="0"/>
          <w:bCs w:val="0"/>
          <w:color w:val="000000" w:themeColor="text1"/>
          <w:sz w:val="24"/>
          <w:szCs w:val="24"/>
          <w14:textFill>
            <w14:solidFill>
              <w14:schemeClr w14:val="tx1"/>
            </w14:solidFill>
          </w14:textFill>
        </w:rPr>
        <w:fldChar w:fldCharType="end"/>
      </w:r>
      <w:r>
        <w:rPr>
          <w:rFonts w:hint="default" w:ascii="Arial" w:hAnsi="Arial" w:cs="Arial"/>
          <w:b w:val="0"/>
          <w:bCs w:val="0"/>
          <w:color w:val="000000" w:themeColor="text1"/>
          <w:sz w:val="24"/>
          <w:szCs w:val="24"/>
          <w14:textFill>
            <w14:solidFill>
              <w14:schemeClr w14:val="tx1"/>
            </w14:solidFill>
          </w14:textFill>
        </w:rPr>
        <w:t> y las </w:t>
      </w:r>
      <w:r>
        <w:rPr>
          <w:rFonts w:hint="default" w:ascii="Arial" w:hAnsi="Arial" w:cs="Arial"/>
          <w:b w:val="0"/>
          <w:bCs w:val="0"/>
          <w:color w:val="000000" w:themeColor="text1"/>
          <w:sz w:val="24"/>
          <w:szCs w:val="24"/>
          <w14:textFill>
            <w14:solidFill>
              <w14:schemeClr w14:val="tx1"/>
            </w14:solidFill>
          </w14:textFill>
        </w:rPr>
        <w:fldChar w:fldCharType="begin"/>
      </w:r>
      <w:r>
        <w:rPr>
          <w:rFonts w:hint="default" w:ascii="Arial" w:hAnsi="Arial" w:cs="Arial"/>
          <w:b w:val="0"/>
          <w:bCs w:val="0"/>
          <w:color w:val="000000" w:themeColor="text1"/>
          <w:sz w:val="24"/>
          <w:szCs w:val="24"/>
          <w14:textFill>
            <w14:solidFill>
              <w14:schemeClr w14:val="tx1"/>
            </w14:solidFill>
          </w14:textFill>
        </w:rPr>
        <w:instrText xml:space="preserve"> HYPERLINK "https://www.wipo.int/trademarks/es/" \t "https://www.wipo.int/about-ip/es/_self" </w:instrText>
      </w:r>
      <w:r>
        <w:rPr>
          <w:rFonts w:hint="default" w:ascii="Arial" w:hAnsi="Arial" w:cs="Arial"/>
          <w:b w:val="0"/>
          <w:bCs w:val="0"/>
          <w:color w:val="000000" w:themeColor="text1"/>
          <w:sz w:val="24"/>
          <w:szCs w:val="24"/>
          <w14:textFill>
            <w14:solidFill>
              <w14:schemeClr w14:val="tx1"/>
            </w14:solidFill>
          </w14:textFill>
        </w:rPr>
        <w:fldChar w:fldCharType="separate"/>
      </w:r>
      <w:r>
        <w:rPr>
          <w:rStyle w:val="5"/>
          <w:rFonts w:hint="default" w:ascii="Arial" w:hAnsi="Arial" w:cs="Arial"/>
          <w:b w:val="0"/>
          <w:bCs w:val="0"/>
          <w:i w:val="0"/>
          <w:iCs w:val="0"/>
          <w:caps w:val="0"/>
          <w:color w:val="000000" w:themeColor="text1"/>
          <w:spacing w:val="0"/>
          <w:sz w:val="24"/>
          <w:szCs w:val="24"/>
          <w:u w:val="none"/>
          <w:bdr w:val="none" w:color="auto" w:sz="0" w:space="0"/>
          <w:shd w:val="clear" w:fill="FAFAFA"/>
          <w14:textFill>
            <w14:solidFill>
              <w14:schemeClr w14:val="tx1"/>
            </w14:solidFill>
          </w14:textFill>
        </w:rPr>
        <w:t>marcas</w:t>
      </w:r>
      <w:r>
        <w:rPr>
          <w:rFonts w:hint="default" w:ascii="Arial" w:hAnsi="Arial" w:cs="Arial"/>
          <w:b w:val="0"/>
          <w:bCs w:val="0"/>
          <w:color w:val="000000" w:themeColor="text1"/>
          <w:sz w:val="24"/>
          <w:szCs w:val="24"/>
          <w14:textFill>
            <w14:solidFill>
              <w14:schemeClr w14:val="tx1"/>
            </w14:solidFill>
          </w14:textFill>
        </w:rPr>
        <w:fldChar w:fldCharType="end"/>
      </w:r>
      <w:r>
        <w:rPr>
          <w:rFonts w:hint="default" w:ascii="Arial" w:hAnsi="Arial" w:cs="Arial"/>
          <w:b w:val="0"/>
          <w:bCs w:val="0"/>
          <w:color w:val="000000" w:themeColor="text1"/>
          <w:sz w:val="24"/>
          <w:szCs w:val="24"/>
          <w14:textFill>
            <w14:solidFill>
              <w14:schemeClr w14:val="tx1"/>
            </w14:solidFill>
          </w14:textFill>
        </w:rPr>
        <w:t>, que permiten obtener reconocimiento o ganancias por las invenciones o creaciones. Al equilibrar el interés de los innovadores y el interés público, el sistema de PI procura fomentar un entorno propicio para que prosperen la creatividad y la innovación.</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drawing>
          <wp:inline distT="0" distB="0" distL="114300" distR="114300">
            <wp:extent cx="5255260" cy="2757805"/>
            <wp:effectExtent l="0" t="0" r="2540" b="4445"/>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4"/>
                    <a:stretch>
                      <a:fillRect/>
                    </a:stretch>
                  </pic:blipFill>
                  <pic:spPr>
                    <a:xfrm>
                      <a:off x="0" y="0"/>
                      <a:ext cx="5255260" cy="2757805"/>
                    </a:xfrm>
                    <a:prstGeom prst="rect">
                      <a:avLst/>
                    </a:prstGeom>
                    <a:noFill/>
                    <a:ln w="9525">
                      <a:noFill/>
                    </a:ln>
                  </pic:spPr>
                </pic:pic>
              </a:graphicData>
            </a:graphic>
          </wp:inline>
        </w:drawing>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p>
    <w:p>
      <w:pPr>
        <w:bidi w:val="0"/>
        <w:spacing w:line="360" w:lineRule="auto"/>
        <w:jc w:val="both"/>
        <w:rPr>
          <w:rFonts w:hint="default" w:ascii="Arial" w:hAnsi="Arial" w:cs="Arial"/>
          <w:b/>
          <w:bCs/>
          <w:color w:val="000000" w:themeColor="text1"/>
          <w:sz w:val="24"/>
          <w:szCs w:val="24"/>
          <w14:textFill>
            <w14:solidFill>
              <w14:schemeClr w14:val="tx1"/>
            </w14:solidFill>
          </w14:textFill>
        </w:rPr>
      </w:pPr>
      <w:r>
        <w:rPr>
          <w:rFonts w:hint="default" w:ascii="Arial" w:hAnsi="Arial" w:cs="Arial"/>
          <w:b/>
          <w:bCs/>
          <w:color w:val="000000" w:themeColor="text1"/>
          <w:sz w:val="24"/>
          <w:szCs w:val="24"/>
          <w14:textFill>
            <w14:solidFill>
              <w14:schemeClr w14:val="tx1"/>
            </w14:solidFill>
          </w14:textFill>
        </w:rPr>
        <w:t>¿Qué es el Derecho de Autor y que tipos de obras protege?</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lang w:val="es-EC"/>
          <w14:textFill>
            <w14:solidFill>
              <w14:schemeClr w14:val="tx1"/>
            </w14:solidFill>
          </w14:textFill>
        </w:rPr>
        <w:t>E</w:t>
      </w:r>
      <w:r>
        <w:rPr>
          <w:rFonts w:hint="default" w:ascii="Arial" w:hAnsi="Arial" w:cs="Arial"/>
          <w:b w:val="0"/>
          <w:bCs w:val="0"/>
          <w:color w:val="000000" w:themeColor="text1"/>
          <w:sz w:val="24"/>
          <w:szCs w:val="24"/>
          <w14:textFill>
            <w14:solidFill>
              <w14:schemeClr w14:val="tx1"/>
            </w14:solidFill>
          </w14:textFill>
        </w:rPr>
        <w:t>l derecho de autor es un derecho humano que regula los derechos subjetivos que tienen los autores y titulares sobre sus obras. Los derechos de autor y los derechos conexos son de tipo moral y patrimonial.</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Las obras protegidas comprenden, entre otras, las siguientes: novelas, poemas, obras de teatro, periódicos, programas informáticos, bases de datos, películas, composiciones musicales, coreografías, pinturas, dibujos, fotografías, obras escultóricas, obras arquitectónico, publicidad, mapas, dibujos técnicos, obras de arte aplicadas a la industria.</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En términos generales el Ecuador supera la duración de la protección de los derechos patrimoniales establecida en la Decisión 351 de la CAN y en el Convenio de Berna  que es toda la vida del autor  y  50 años después de su muerte, mientras que en la legislación ecuatoriana la protección dura la vida del creador más 70 años después de su muerte, no obstante los derechos morales se protegen indefinidamente.</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El Derecho de Autor protege la obra por el solo hecho de su creación. Sin embargo, es recomendable registrar ésta en la Unidad de Registro del IEPI, así el autor se beneficiará de la presunción de autoría que la ley reconoce a su favor.</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La protección  del régimen de  Derecho de Autor se basa en la potestad de autorizar o prohibir el uso de la obra por parte del autor o el titular según corresponda, los principales derechos morales y patrimoniales son:</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MORALES</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Divulgación o no de la obra.</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Mantener la integridad de la obra.</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Exigir el reconocimiento de la paternidad de la obra.</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Derecho de arrepentimiento o retracto.</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PATRIMONIALES</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La reproducción o fijación de cualquier medio o por cualquier procedimiento de la obra.</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La comunicación pública de la obra.</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La distribución de ejemplares de la obra.</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La traducción, adaptación, arreglo u otra transformación de la obra.</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p>
    <w:p>
      <w:pPr>
        <w:bidi w:val="0"/>
        <w:spacing w:line="360" w:lineRule="auto"/>
        <w:jc w:val="both"/>
        <w:rPr>
          <w:rFonts w:hint="default" w:ascii="Arial" w:hAnsi="Arial" w:cs="Arial"/>
          <w:b/>
          <w:bCs/>
          <w:color w:val="000000" w:themeColor="text1"/>
          <w:sz w:val="24"/>
          <w:szCs w:val="24"/>
          <w14:textFill>
            <w14:solidFill>
              <w14:schemeClr w14:val="tx1"/>
            </w14:solidFill>
          </w14:textFill>
        </w:rPr>
      </w:pPr>
      <w:r>
        <w:rPr>
          <w:rFonts w:hint="default" w:ascii="Arial" w:hAnsi="Arial" w:cs="Arial"/>
          <w:b/>
          <w:bCs/>
          <w:color w:val="000000" w:themeColor="text1"/>
          <w:sz w:val="24"/>
          <w:szCs w:val="24"/>
          <w14:textFill>
            <w14:solidFill>
              <w14:schemeClr w14:val="tx1"/>
            </w14:solidFill>
          </w14:textFill>
        </w:rPr>
        <w:t>Derechos Conexos</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Son los derechos que tienen los artistas, intérpretes, ejecutantes y productores de fonogramas sobre una obra musical protegida por el Derecho de Autor.</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También tienen Derechos Conexos los organismos de radiodifusión, quienes son titulares del derecho exclusivo de realizar, autorizar o prohibir:</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La retransmisión de sus emisiones por cualquier medio o procedimiento;</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La fijación y la reproducción de sus emisiones, incluso la de alguna imagen aislada, cuando ésta se haya hecho accesible al público por primera vez a través de la emisión de radiodifusión; y,</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t>La comunicación al público de sus emisiones cuando éstas se efectúen en lugares accesibles al público mediante el pago de un derecho de admisión.</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cs="Arial"/>
          <w:b w:val="0"/>
          <w:bCs w:val="0"/>
          <w:color w:val="000000" w:themeColor="text1"/>
          <w:sz w:val="24"/>
          <w:szCs w:val="24"/>
          <w14:textFill>
            <w14:solidFill>
              <w14:schemeClr w14:val="tx1"/>
            </w14:solidFill>
          </w14:textFill>
        </w:rPr>
        <w:fldChar w:fldCharType="begin"/>
      </w:r>
      <w:r>
        <w:rPr>
          <w:rFonts w:hint="default" w:ascii="Arial" w:hAnsi="Arial" w:cs="Arial"/>
          <w:b w:val="0"/>
          <w:bCs w:val="0"/>
          <w:color w:val="000000" w:themeColor="text1"/>
          <w:sz w:val="24"/>
          <w:szCs w:val="24"/>
          <w14:textFill>
            <w14:solidFill>
              <w14:schemeClr w14:val="tx1"/>
            </w14:solidFill>
          </w14:textFill>
        </w:rPr>
        <w:instrText xml:space="preserve"> HYPERLINK "http://www.propiedadintelectual.gob.ec/wp-content/uploads/2014/09/11.png" </w:instrText>
      </w:r>
      <w:r>
        <w:rPr>
          <w:rFonts w:hint="default" w:ascii="Arial" w:hAnsi="Arial" w:cs="Arial"/>
          <w:b w:val="0"/>
          <w:bCs w:val="0"/>
          <w:color w:val="000000" w:themeColor="text1"/>
          <w:sz w:val="24"/>
          <w:szCs w:val="24"/>
          <w14:textFill>
            <w14:solidFill>
              <w14:schemeClr w14:val="tx1"/>
            </w14:solidFill>
          </w14:textFill>
        </w:rPr>
        <w:fldChar w:fldCharType="separate"/>
      </w:r>
      <w:r>
        <w:rPr>
          <w:rStyle w:val="5"/>
          <w:rFonts w:hint="default" w:ascii="Arial" w:hAnsi="Arial" w:eastAsia="Open Sans" w:cs="Arial"/>
          <w:b w:val="0"/>
          <w:bCs w:val="0"/>
          <w:i w:val="0"/>
          <w:iCs w:val="0"/>
          <w:caps w:val="0"/>
          <w:color w:val="000000" w:themeColor="text1"/>
          <w:spacing w:val="0"/>
          <w:sz w:val="24"/>
          <w:szCs w:val="24"/>
          <w:u w:val="none"/>
          <w:shd w:val="clear" w:fill="FFFFFF"/>
          <w14:textFill>
            <w14:solidFill>
              <w14:schemeClr w14:val="tx1"/>
            </w14:solidFill>
          </w14:textFill>
        </w:rPr>
        <w:br w:type="textWrapping"/>
      </w:r>
      <w:r>
        <w:rPr>
          <w:rFonts w:hint="default" w:ascii="Arial" w:hAnsi="Arial" w:cs="Arial"/>
          <w:b w:val="0"/>
          <w:bCs w:val="0"/>
          <w:color w:val="000000" w:themeColor="text1"/>
          <w:sz w:val="24"/>
          <w:szCs w:val="24"/>
          <w14:textFill>
            <w14:solidFill>
              <w14:schemeClr w14:val="tx1"/>
            </w14:solidFill>
          </w14:textFill>
        </w:rPr>
        <w:fldChar w:fldCharType="end"/>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bookmarkStart w:id="0" w:name="_GoBack"/>
      <w:bookmarkEnd w:id="0"/>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b w:val="0"/>
          <w:bCs w:val="0"/>
          <w:color w:val="000000" w:themeColor="text1"/>
          <w:sz w:val="24"/>
          <w:szCs w:val="24"/>
          <w14:textFill>
            <w14:solidFill>
              <w14:schemeClr w14:val="tx1"/>
            </w14:solidFill>
          </w14:textFill>
        </w:rPr>
        <w:t>https://www.wipo.int/about-ip/es/</w:t>
      </w: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p>
    <w:p>
      <w:pPr>
        <w:bidi w:val="0"/>
        <w:spacing w:line="360" w:lineRule="auto"/>
        <w:jc w:val="both"/>
        <w:rPr>
          <w:rFonts w:hint="default" w:ascii="Arial" w:hAnsi="Arial" w:cs="Arial"/>
          <w:b w:val="0"/>
          <w:bCs w:val="0"/>
          <w:color w:val="000000" w:themeColor="text1"/>
          <w:sz w:val="24"/>
          <w:szCs w:val="24"/>
          <w14:textFill>
            <w14:solidFill>
              <w14:schemeClr w14:val="tx1"/>
            </w14:solidFill>
          </w14:textFill>
        </w:rPr>
      </w:pPr>
      <w:r>
        <w:rPr>
          <w:rFonts w:hint="default" w:ascii="Arial" w:hAnsi="Arial"/>
          <w:b w:val="0"/>
          <w:bCs w:val="0"/>
          <w:color w:val="000000" w:themeColor="text1"/>
          <w:sz w:val="24"/>
          <w:szCs w:val="24"/>
          <w14:textFill>
            <w14:solidFill>
              <w14:schemeClr w14:val="tx1"/>
            </w14:solidFill>
          </w14:textFill>
        </w:rPr>
        <w:t>https://www.derechosintelectuales.gob.ec/como-registro-derechos-de-autor-y-derechos-conexos/</w:t>
      </w:r>
    </w:p>
    <w:sectPr>
      <w:type w:val="continuous"/>
      <w:pgSz w:w="11900" w:h="16840"/>
      <w:pgMar w:top="1599" w:right="1000" w:bottom="0" w:left="1040" w:header="720" w:footer="720" w:gutter="0"/>
      <w:cols w:equalWidth="0" w:num="1">
        <w:col w:w="9860"/>
      </w:cols>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67956"/>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35262333"/>
    <w:rsid w:val="5B267956"/>
    <w:rsid w:val="74252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header"/>
    <w:basedOn w:val="1"/>
    <w:uiPriority w:val="0"/>
    <w:pPr>
      <w:tabs>
        <w:tab w:val="center" w:pos="4153"/>
        <w:tab w:val="right" w:pos="8306"/>
      </w:tabs>
    </w:p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paragraph" w:styleId="8">
    <w:name w:val="footer"/>
    <w:basedOn w:val="1"/>
    <w:uiPriority w:val="0"/>
    <w:pPr>
      <w:tabs>
        <w:tab w:val="center" w:pos="4153"/>
        <w:tab w:val="right" w:pos="8306"/>
      </w:tabs>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2023-02-11T04:53:00Z</dcterms:created>
  <dc:creator>Luis V.</dc:creator>
  <cp:lastModifiedBy>Luis V.</cp:lastModifiedBy>
  <dcterms:modified xsi:type="dcterms:W3CDTF">2023-02-11T05:05:02Z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2058-11.2.0.11440</vt:lpwstr>
  </property>
  <property fmtid="{D5CDD505-2E9C-101B-9397-08002B2CF9AE}" pid="3" name="ICV">
    <vt:lpwstr>0C989518002543CD8902198132EA14CB</vt:lpwstr>
  </property>
</Properties>
</file>