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Especificación Inicial del ERP Educativo</w:t>
      </w:r>
    </w:p>
    <w:p>
      <w:pPr>
        <w:pStyle w:val="Subtitle"/>
      </w:pPr>
      <w:r>
        <w:t>Políticas, reglas, bloques funcionales, estructuras y mapas definidos antes del modelo de base de datos</w:t>
      </w:r>
    </w:p>
    <w:p>
      <w:pPr>
        <w:pStyle w:val="Heading1"/>
      </w:pPr>
      <w:r>
        <w:t>1. Propósito Del Documento</w:t>
      </w:r>
    </w:p>
    <w:p>
      <w:r>
        <w:t>Este documento consolida las decisiones funcionales y arquitectónicas establecidas para el ERP de una unidad educativa. Su objetivo es servir como línea base antes de diseñar la base de datos, evitando duplicidades, módulos innecesarios o reglas quemadas en código.</w:t>
      </w:r>
    </w:p>
    <w:p>
      <w:r>
        <w:t>El sistema se concibe como un ERP educativo asistido por IA: primero resuelve la operación escolar esencial y luego integra soporte institucional, documental, financiero y administrativo con trazabilidad.</w:t>
      </w:r>
    </w:p>
    <w:p>
      <w:pPr>
        <w:pStyle w:val="Heading1"/>
      </w:pPr>
      <w:r>
        <w:t>2. Principios Rectores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Identidad central — </w:t>
      </w:r>
      <w:r>
        <w:t>Todo nace desde la entidad persona. Estudiante, representante, docente, DECE, inspector o administrativo son roles, relaciones o asignaciones, no identidades duplicadas.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Inscripción formal — </w:t>
      </w:r>
      <w:r>
        <w:t>Toda solicitud de ingreso formal pasa por inscripción en línea. No se crea un flujo paralelo de admisiones que compita con inscripción.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Políticas configurables — </w:t>
      </w:r>
      <w:r>
        <w:t>Pruebas, pagos, descuentos, exoneraciones, campañas, requisitos y estados deben depender de políticas configurables por periodo, nivel, grado, tipo de estudiante y vigencia.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Periodo lectivo — </w:t>
      </w:r>
      <w:r>
        <w:t>La operación académica, matrícula, asignaciones, horarios, asistencia, calificaciones y servicios asociados dependen del periodo lectivo.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No eliminación crítica — </w:t>
      </w:r>
      <w:r>
        <w:t>Los registros críticos se anulan, inactivan o cierran; no se eliminan físicamente.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Documentos centralizados — </w:t>
      </w:r>
      <w:r>
        <w:t>Los archivos no se guardan directamente en cada módulo; se referencian desde gestión documental.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Auditoría transversal — </w:t>
      </w:r>
      <w:r>
        <w:t>Toda acción relevante debe registrar usuario, fecha, origen, IP o contexto, según aplique.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Permisos antes que datos — </w:t>
      </w:r>
      <w:r>
        <w:t>Un usuario solo puede ver, consultar o pedir a la IA información que sus roles y permisos le autorizan.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IA asistiva — </w:t>
      </w:r>
      <w:r>
        <w:t>La IA ayuda, resume, orienta, alerta y prepara información; no decide ni ejecuta acciones críticas sin confirmación de un usuario autorizado.</w:t>
      </w:r>
    </w:p>
    <w:p>
      <w:pPr>
        <w:spacing w:before="60" w:after="120"/>
        <w:ind w:left="259" w:right="72"/>
      </w:pPr>
      <w:r>
        <w:rPr>
          <w:b/>
          <w:color w:val="1F3A5F"/>
        </w:rPr>
        <w:t xml:space="preserve">ERP educativo — </w:t>
      </w:r>
      <w:r>
        <w:t>Los bloques administrativos existen solo en la medida en que sostienen la operación educativa; no se busca crear un sistema genérico de administración pública o comercial.</w:t>
      </w:r>
    </w:p>
    <w:p>
      <w:pPr>
        <w:pStyle w:val="Heading1"/>
      </w:pPr>
      <w:r>
        <w:t>3. Mapa Global Del ERP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ERP UNIDAD EDUCATIVA</w:t>
        <w:br/>
      </w:r>
      <w:r>
        <w:rPr>
          <w:rFonts w:ascii="Consolas" w:hAnsi="Consolas"/>
          <w:color w:val="374151"/>
          <w:sz w:val="18"/>
        </w:rPr>
        <w:t>├── Núcleo institucional</w:t>
        <w:br/>
      </w:r>
      <w:r>
        <w:rPr>
          <w:rFonts w:ascii="Consolas" w:hAnsi="Consolas"/>
          <w:color w:val="374151"/>
          <w:sz w:val="18"/>
        </w:rPr>
        <w:t>│   ├── Institución, sedes, periodos, configuración y catálogos</w:t>
        <w:br/>
      </w:r>
      <w:r>
        <w:rPr>
          <w:rFonts w:ascii="Consolas" w:hAnsi="Consolas"/>
          <w:color w:val="374151"/>
          <w:sz w:val="18"/>
        </w:rPr>
        <w:t>├── Identidad y seguridad</w:t>
        <w:br/>
      </w:r>
      <w:r>
        <w:rPr>
          <w:rFonts w:ascii="Consolas" w:hAnsi="Consolas"/>
          <w:color w:val="374151"/>
          <w:sz w:val="18"/>
        </w:rPr>
        <w:t>│   ├── Personas, usuarios, roles, permisos, sesiones y auditoría</w:t>
        <w:br/>
      </w:r>
      <w:r>
        <w:rPr>
          <w:rFonts w:ascii="Consolas" w:hAnsi="Consolas"/>
          <w:color w:val="374151"/>
          <w:sz w:val="18"/>
        </w:rPr>
        <w:t>├── Gestión académica</w:t>
        <w:br/>
      </w:r>
      <w:r>
        <w:rPr>
          <w:rFonts w:ascii="Consolas" w:hAnsi="Consolas"/>
          <w:color w:val="374151"/>
          <w:sz w:val="18"/>
        </w:rPr>
        <w:t>│   ├── Estudiantes, representantes, inscripción, matrícula, cursos, asignaturas</w:t>
        <w:br/>
      </w:r>
      <w:r>
        <w:rPr>
          <w:rFonts w:ascii="Consolas" w:hAnsi="Consolas"/>
          <w:color w:val="374151"/>
          <w:sz w:val="18"/>
        </w:rPr>
        <w:t>│   ├── horarios, asistencia, calificaciones, disciplina, DECE y e-learning</w:t>
        <w:br/>
      </w:r>
      <w:r>
        <w:rPr>
          <w:rFonts w:ascii="Consolas" w:hAnsi="Consolas"/>
          <w:color w:val="374151"/>
          <w:sz w:val="18"/>
        </w:rPr>
        <w:t>├── Gestión financiera educativa</w:t>
        <w:br/>
      </w:r>
      <w:r>
        <w:rPr>
          <w:rFonts w:ascii="Consolas" w:hAnsi="Consolas"/>
          <w:color w:val="374151"/>
          <w:sz w:val="18"/>
        </w:rPr>
        <w:t>│   ├── Rubros, obligaciones, pagos, descuentos, caja, cartera y facturación</w:t>
        <w:br/>
      </w:r>
      <w:r>
        <w:rPr>
          <w:rFonts w:ascii="Consolas" w:hAnsi="Consolas"/>
          <w:color w:val="374151"/>
          <w:sz w:val="18"/>
        </w:rPr>
        <w:t>├── Gestión documental</w:t>
        <w:br/>
      </w:r>
      <w:r>
        <w:rPr>
          <w:rFonts w:ascii="Consolas" w:hAnsi="Consolas"/>
          <w:color w:val="374151"/>
          <w:sz w:val="18"/>
        </w:rPr>
        <w:t>│   ├── Expedientes, documentos, actas, certificados y firma electrónica</w:t>
        <w:br/>
      </w:r>
      <w:r>
        <w:rPr>
          <w:rFonts w:ascii="Consolas" w:hAnsi="Consolas"/>
          <w:color w:val="374151"/>
          <w:sz w:val="18"/>
        </w:rPr>
        <w:t>├── Soporte institucional</w:t>
        <w:br/>
      </w:r>
      <w:r>
        <w:rPr>
          <w:rFonts w:ascii="Consolas" w:hAnsi="Consolas"/>
          <w:color w:val="374151"/>
          <w:sz w:val="18"/>
        </w:rPr>
        <w:t>│   ├── Talento humano básico, comunicación, biblioteca, inventario, compras y mantenimiento</w:t>
        <w:br/>
      </w:r>
      <w:r>
        <w:rPr>
          <w:rFonts w:ascii="Consolas" w:hAnsi="Consolas"/>
          <w:color w:val="374151"/>
          <w:sz w:val="18"/>
        </w:rPr>
        <w:t>└── Motores transversales</w:t>
        <w:br/>
      </w:r>
      <w:r>
        <w:rPr>
          <w:rFonts w:ascii="Consolas" w:hAnsi="Consolas"/>
          <w:color w:val="374151"/>
          <w:sz w:val="18"/>
        </w:rPr>
        <w:t xml:space="preserve">    ├── Workflow, notificaciones, integraciones, reportes, analítica e IA institucional</w:t>
        <w:br/>
      </w:r>
    </w:p>
    <w:p>
      <w:pPr>
        <w:pStyle w:val="Heading1"/>
      </w:pPr>
      <w:r>
        <w:t>4. Decisiones De Alcance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Bloque</w:t>
            </w:r>
          </w:p>
        </w:tc>
        <w:tc>
          <w:tcPr>
            <w:tcW w:type="dxa" w:w="23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Decisión</w:t>
            </w:r>
          </w:p>
        </w:tc>
        <w:tc>
          <w:tcPr>
            <w:tcW w:type="dxa" w:w="4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Justificación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Admisiones / captación</w:t>
            </w:r>
          </w:p>
        </w:tc>
        <w:tc>
          <w:tcPr>
            <w:tcW w:type="dxa" w:w="23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No entra como núcleo</w:t>
            </w:r>
          </w:p>
        </w:tc>
        <w:tc>
          <w:tcPr>
            <w:tcW w:type="dxa" w:w="4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El flujo formal es inscripción en línea. Un CRM de prospectos podría agregarse después.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Transporte escolar</w:t>
            </w:r>
          </w:p>
        </w:tc>
        <w:tc>
          <w:tcPr>
            <w:tcW w:type="dxa" w:w="23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Excluido como módulo operativo</w:t>
            </w:r>
          </w:p>
        </w:tc>
        <w:tc>
          <w:tcPr>
            <w:tcW w:type="dxa" w:w="4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En Ecuador suele ser un servicio externo. Si existe, se registra como proveedor/contrato.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Bar / comedor / alimentación</w:t>
            </w:r>
          </w:p>
        </w:tc>
        <w:tc>
          <w:tcPr>
            <w:tcW w:type="dxa" w:w="23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Excluido como módulo operativo</w:t>
            </w:r>
          </w:p>
        </w:tc>
        <w:tc>
          <w:tcPr>
            <w:tcW w:type="dxa" w:w="4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Suele concesionarse a terceros que pagan alquiler o canon por uso de espacio.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Talento humano</w:t>
            </w:r>
          </w:p>
        </w:tc>
        <w:tc>
          <w:tcPr>
            <w:tcW w:type="dxa" w:w="23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Simplificado al inicio</w:t>
            </w:r>
          </w:p>
        </w:tc>
        <w:tc>
          <w:tcPr>
            <w:tcW w:type="dxa" w:w="4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Se requiere para docentes, cargos, horarios y expedientes; nómina completa puede ir después.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Compras</w:t>
            </w:r>
          </w:p>
        </w:tc>
        <w:tc>
          <w:tcPr>
            <w:tcW w:type="dxa" w:w="23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Simplificado al inicio</w:t>
            </w:r>
          </w:p>
        </w:tc>
        <w:tc>
          <w:tcPr>
            <w:tcW w:type="dxa" w:w="4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Debe cubrir solicitudes, proveedores, órdenes y recepción; no contratación pública completa.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IA institucional</w:t>
            </w:r>
          </w:p>
        </w:tc>
        <w:tc>
          <w:tcPr>
            <w:tcW w:type="dxa" w:w="23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Debe existir desde el inicio</w:t>
            </w:r>
          </w:p>
        </w:tc>
        <w:tc>
          <w:tcPr>
            <w:tcW w:type="dxa" w:w="4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El sentido del ERP asistido depende de una capa transversal de ayuda controlada por permisos.</w:t>
            </w:r>
          </w:p>
        </w:tc>
      </w:tr>
    </w:tbl>
    <w:p/>
    <w:p>
      <w:pPr>
        <w:pStyle w:val="Heading1"/>
      </w:pPr>
      <w:r>
        <w:t>5. Flujo Central Del Sistema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Persona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Usuario / rol si aplica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Estudiante / representante / docente / personal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Periodo lectivo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Inscripción en línea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Política de inscripción</w:t>
        <w:br/>
      </w:r>
      <w:r>
        <w:rPr>
          <w:rFonts w:ascii="Consolas" w:hAnsi="Consolas"/>
          <w:color w:val="374151"/>
          <w:sz w:val="18"/>
        </w:rPr>
        <w:t>├── prueba si aplica</w:t>
        <w:br/>
      </w:r>
      <w:r>
        <w:rPr>
          <w:rFonts w:ascii="Consolas" w:hAnsi="Consolas"/>
          <w:color w:val="374151"/>
          <w:sz w:val="18"/>
        </w:rPr>
        <w:t>├── pago si aplica</w:t>
        <w:br/>
      </w:r>
      <w:r>
        <w:rPr>
          <w:rFonts w:ascii="Consolas" w:hAnsi="Consolas"/>
          <w:color w:val="374151"/>
          <w:sz w:val="18"/>
        </w:rPr>
        <w:t>├── descuento o campaña si aplica</w:t>
        <w:br/>
      </w:r>
      <w:r>
        <w:rPr>
          <w:rFonts w:ascii="Consolas" w:hAnsi="Consolas"/>
          <w:color w:val="374151"/>
          <w:sz w:val="18"/>
        </w:rPr>
        <w:t>└── excepción autorizada si aplica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Matrícula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Curso / paralelo / asignaturas / docente / horario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Asistencia / calificaciones / conducta / e-learning</w:t>
        <w:br/>
      </w:r>
      <w:r>
        <w:rPr>
          <w:rFonts w:ascii="Consolas" w:hAnsi="Consolas"/>
          <w:color w:val="374151"/>
          <w:sz w:val="18"/>
        </w:rPr>
        <w:t>↓</w:t>
        <w:br/>
      </w:r>
      <w:r>
        <w:rPr>
          <w:rFonts w:ascii="Consolas" w:hAnsi="Consolas"/>
          <w:color w:val="374151"/>
          <w:sz w:val="18"/>
        </w:rPr>
        <w:t>Financiero / documental / notificaciones / IA</w:t>
        <w:br/>
      </w:r>
    </w:p>
    <w:p>
      <w:pPr>
        <w:pStyle w:val="Heading1"/>
      </w:pPr>
      <w:r>
        <w:t>6. Bloques Y Estructuras Definidas</w:t>
      </w:r>
    </w:p>
    <w:p>
      <w:pPr>
        <w:pStyle w:val="Heading2"/>
      </w:pPr>
      <w:r>
        <w:t>Núcleo Institucional Y Configuración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institución → sedes → periodos → configuración → catálogos</w:t>
        <w:br/>
      </w:r>
    </w:p>
    <w:p>
      <w:r>
        <w:t>Reglas principales:</w:t>
      </w:r>
    </w:p>
    <w:p>
      <w:pPr>
        <w:pStyle w:val="ListBullet"/>
      </w:pPr>
      <w:r>
        <w:tab/>
        <w:t>El sistema no debe cerrarse a una sola sede o periodo.</w:t>
      </w:r>
    </w:p>
    <w:p>
      <w:pPr>
        <w:pStyle w:val="ListBullet"/>
      </w:pPr>
      <w:r>
        <w:tab/>
        <w:t>Los valores variables deben vivir en catálogos o parámetros.</w:t>
      </w:r>
    </w:p>
    <w:p>
      <w:pPr>
        <w:pStyle w:val="ListBullet"/>
      </w:pPr>
      <w:r>
        <w:tab/>
        <w:t>El periodo lectivo activo controla la operación académica principal.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institucion</w:t>
        <w:br/>
      </w:r>
      <w:r>
        <w:rPr>
          <w:rFonts w:ascii="Consolas" w:hAnsi="Consolas"/>
          <w:color w:val="374151"/>
          <w:sz w:val="18"/>
        </w:rPr>
        <w:t>sede</w:t>
        <w:br/>
      </w:r>
      <w:r>
        <w:rPr>
          <w:rFonts w:ascii="Consolas" w:hAnsi="Consolas"/>
          <w:color w:val="374151"/>
          <w:sz w:val="18"/>
        </w:rPr>
        <w:t>periodo_lectivo</w:t>
        <w:br/>
      </w:r>
      <w:r>
        <w:rPr>
          <w:rFonts w:ascii="Consolas" w:hAnsi="Consolas"/>
          <w:color w:val="374151"/>
          <w:sz w:val="18"/>
        </w:rPr>
        <w:t>catalogo</w:t>
        <w:br/>
      </w:r>
      <w:r>
        <w:rPr>
          <w:rFonts w:ascii="Consolas" w:hAnsi="Consolas"/>
          <w:color w:val="374151"/>
          <w:sz w:val="18"/>
        </w:rPr>
        <w:t>catalogo_item</w:t>
        <w:br/>
      </w:r>
      <w:r>
        <w:rPr>
          <w:rFonts w:ascii="Consolas" w:hAnsi="Consolas"/>
          <w:color w:val="374151"/>
          <w:sz w:val="18"/>
        </w:rPr>
        <w:t>parametro_configuracion</w:t>
        <w:br/>
      </w:r>
    </w:p>
    <w:p>
      <w:pPr>
        <w:pStyle w:val="Heading2"/>
      </w:pPr>
      <w:r>
        <w:t>Personas, Usuarios, Roles Y Permisos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persona → usuario si inicia sesión → roles → permisos → auditoría</w:t>
        <w:br/>
      </w:r>
    </w:p>
    <w:p>
      <w:r>
        <w:t>Reglas principales:</w:t>
      </w:r>
    </w:p>
    <w:p>
      <w:pPr>
        <w:pStyle w:val="ListBullet"/>
      </w:pPr>
      <w:r>
        <w:tab/>
        <w:t>No duplicar estudiantes, docentes ni representantes como identidades separadas.</w:t>
      </w:r>
    </w:p>
    <w:p>
      <w:pPr>
        <w:pStyle w:val="ListBullet"/>
      </w:pPr>
      <w:r>
        <w:tab/>
        <w:t>Una persona puede tener varios roles institucionales.</w:t>
      </w:r>
    </w:p>
    <w:p>
      <w:pPr>
        <w:pStyle w:val="ListBullet"/>
      </w:pPr>
      <w:r>
        <w:tab/>
        <w:t>El permiso controla la vista, la acción y el acceso de la IA.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persona</w:t>
        <w:br/>
      </w:r>
      <w:r>
        <w:rPr>
          <w:rFonts w:ascii="Consolas" w:hAnsi="Consolas"/>
          <w:color w:val="374151"/>
          <w:sz w:val="18"/>
        </w:rPr>
        <w:t>usuario</w:t>
        <w:br/>
      </w:r>
      <w:r>
        <w:rPr>
          <w:rFonts w:ascii="Consolas" w:hAnsi="Consolas"/>
          <w:color w:val="374151"/>
          <w:sz w:val="18"/>
        </w:rPr>
        <w:t>rol</w:t>
        <w:br/>
      </w:r>
      <w:r>
        <w:rPr>
          <w:rFonts w:ascii="Consolas" w:hAnsi="Consolas"/>
          <w:color w:val="374151"/>
          <w:sz w:val="18"/>
        </w:rPr>
        <w:t>permiso</w:t>
        <w:br/>
      </w:r>
      <w:r>
        <w:rPr>
          <w:rFonts w:ascii="Consolas" w:hAnsi="Consolas"/>
          <w:color w:val="374151"/>
          <w:sz w:val="18"/>
        </w:rPr>
        <w:t>usuario_rol</w:t>
        <w:br/>
      </w:r>
      <w:r>
        <w:rPr>
          <w:rFonts w:ascii="Consolas" w:hAnsi="Consolas"/>
          <w:color w:val="374151"/>
          <w:sz w:val="18"/>
        </w:rPr>
        <w:t>rol_permiso</w:t>
        <w:br/>
      </w:r>
      <w:r>
        <w:rPr>
          <w:rFonts w:ascii="Consolas" w:hAnsi="Consolas"/>
          <w:color w:val="374151"/>
          <w:sz w:val="18"/>
        </w:rPr>
        <w:t>sesion_usuario</w:t>
        <w:br/>
      </w:r>
      <w:r>
        <w:rPr>
          <w:rFonts w:ascii="Consolas" w:hAnsi="Consolas"/>
          <w:color w:val="374151"/>
          <w:sz w:val="18"/>
        </w:rPr>
        <w:t>auditoria</w:t>
        <w:br/>
      </w:r>
    </w:p>
    <w:p>
      <w:pPr>
        <w:pStyle w:val="Heading2"/>
      </w:pPr>
      <w:r>
        <w:t>Inscripción En Línea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portal → formulario de inscripción → política vigente → prueba/pago/excepción → estado de inscripción</w:t>
        <w:br/>
      </w:r>
    </w:p>
    <w:p>
      <w:r>
        <w:t>Reglas principales:</w:t>
      </w:r>
    </w:p>
    <w:p>
      <w:pPr>
        <w:pStyle w:val="ListBullet"/>
      </w:pPr>
      <w:r>
        <w:tab/>
        <w:t>Toda inscripción formal se realiza en línea.</w:t>
      </w:r>
    </w:p>
    <w:p>
      <w:pPr>
        <w:pStyle w:val="ListBullet"/>
      </w:pPr>
      <w:r>
        <w:tab/>
        <w:t>Las pruebas pueden aplicar a nuevos, antiguos o todos según política.</w:t>
      </w:r>
    </w:p>
    <w:p>
      <w:pPr>
        <w:pStyle w:val="ListBullet"/>
      </w:pPr>
      <w:r>
        <w:tab/>
        <w:t>Las campañas pueden exonerar prueba o aplicar beneficios solo durante una vigencia.</w:t>
      </w:r>
    </w:p>
    <w:p>
      <w:pPr>
        <w:pStyle w:val="ListBullet"/>
      </w:pPr>
      <w:r>
        <w:tab/>
        <w:t>La inscripción no crea matrícula automáticamente.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inscripcion</w:t>
        <w:br/>
      </w:r>
      <w:r>
        <w:rPr>
          <w:rFonts w:ascii="Consolas" w:hAnsi="Consolas"/>
          <w:color w:val="374151"/>
          <w:sz w:val="18"/>
        </w:rPr>
        <w:t>politica_inscripcion</w:t>
        <w:br/>
      </w:r>
      <w:r>
        <w:rPr>
          <w:rFonts w:ascii="Consolas" w:hAnsi="Consolas"/>
          <w:color w:val="374151"/>
          <w:sz w:val="18"/>
        </w:rPr>
        <w:t>campania_inscripcion</w:t>
        <w:br/>
      </w:r>
      <w:r>
        <w:rPr>
          <w:rFonts w:ascii="Consolas" w:hAnsi="Consolas"/>
          <w:color w:val="374151"/>
          <w:sz w:val="18"/>
        </w:rPr>
        <w:t>evaluacion_inscripcion</w:t>
        <w:br/>
      </w:r>
      <w:r>
        <w:rPr>
          <w:rFonts w:ascii="Consolas" w:hAnsi="Consolas"/>
          <w:color w:val="374151"/>
          <w:sz w:val="18"/>
        </w:rPr>
        <w:t>pago_inscripcion</w:t>
        <w:br/>
      </w:r>
      <w:r>
        <w:rPr>
          <w:rFonts w:ascii="Consolas" w:hAnsi="Consolas"/>
          <w:color w:val="374151"/>
          <w:sz w:val="18"/>
        </w:rPr>
        <w:t>excepcion_inscripcion</w:t>
        <w:br/>
      </w:r>
    </w:p>
    <w:p>
      <w:pPr>
        <w:pStyle w:val="Heading2"/>
      </w:pPr>
      <w:r>
        <w:t>Matrícula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inscripción validada → cita/validación → documentos → matrícula → curso/paralelo</w:t>
        <w:br/>
      </w:r>
    </w:p>
    <w:p>
      <w:r>
        <w:t>Reglas principales:</w:t>
      </w:r>
    </w:p>
    <w:p>
      <w:pPr>
        <w:pStyle w:val="ListBullet"/>
      </w:pPr>
      <w:r>
        <w:tab/>
        <w:t>La matrícula formaliza al estudiante dentro del periodo lectivo.</w:t>
      </w:r>
    </w:p>
    <w:p>
      <w:pPr>
        <w:pStyle w:val="ListBullet"/>
      </w:pPr>
      <w:r>
        <w:tab/>
        <w:t>Puede existir asistencia provisional si la política institucional lo permite, con alertas.</w:t>
      </w:r>
    </w:p>
    <w:p>
      <w:pPr>
        <w:pStyle w:val="ListBullet"/>
      </w:pPr>
      <w:r>
        <w:tab/>
        <w:t>Los documentos se guardan en expediente digital.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matricula</w:t>
        <w:br/>
      </w:r>
      <w:r>
        <w:rPr>
          <w:rFonts w:ascii="Consolas" w:hAnsi="Consolas"/>
          <w:color w:val="374151"/>
          <w:sz w:val="18"/>
        </w:rPr>
        <w:t>matricula_documento</w:t>
        <w:br/>
      </w:r>
      <w:r>
        <w:rPr>
          <w:rFonts w:ascii="Consolas" w:hAnsi="Consolas"/>
          <w:color w:val="374151"/>
          <w:sz w:val="18"/>
        </w:rPr>
        <w:t>cita_matricula</w:t>
        <w:br/>
      </w:r>
      <w:r>
        <w:rPr>
          <w:rFonts w:ascii="Consolas" w:hAnsi="Consolas"/>
          <w:color w:val="374151"/>
          <w:sz w:val="18"/>
        </w:rPr>
        <w:t>estado_matricula</w:t>
        <w:br/>
      </w:r>
      <w:r>
        <w:rPr>
          <w:rFonts w:ascii="Consolas" w:hAnsi="Consolas"/>
          <w:color w:val="374151"/>
          <w:sz w:val="18"/>
        </w:rPr>
        <w:t>historial_matricula</w:t>
        <w:br/>
      </w:r>
    </w:p>
    <w:p>
      <w:pPr>
        <w:pStyle w:val="Heading2"/>
      </w:pPr>
      <w:r>
        <w:t>Estudiantes, Representantes Y Familias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persona estudiante ↔ relación familiar ↔ persona representante ↔ usuario representante si aplica</w:t>
        <w:br/>
      </w:r>
    </w:p>
    <w:p>
      <w:r>
        <w:t>Reglas principales:</w:t>
      </w:r>
    </w:p>
    <w:p>
      <w:pPr>
        <w:pStyle w:val="ListBullet"/>
      </w:pPr>
      <w:r>
        <w:tab/>
        <w:t>Un menor no necesita cuenta propia para que su representante gestione procesos.</w:t>
      </w:r>
    </w:p>
    <w:p>
      <w:pPr>
        <w:pStyle w:val="ListBullet"/>
      </w:pPr>
      <w:r>
        <w:tab/>
        <w:t>Un representante puede tener varios estudiantes.</w:t>
      </w:r>
    </w:p>
    <w:p>
      <w:pPr>
        <w:pStyle w:val="ListBullet"/>
      </w:pPr>
      <w:r>
        <w:tab/>
        <w:t>La relación debe indicar parentesco, responsabilidad y autorización.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estudiante</w:t>
        <w:br/>
      </w:r>
      <w:r>
        <w:rPr>
          <w:rFonts w:ascii="Consolas" w:hAnsi="Consolas"/>
          <w:color w:val="374151"/>
          <w:sz w:val="18"/>
        </w:rPr>
        <w:t>representante</w:t>
        <w:br/>
      </w:r>
      <w:r>
        <w:rPr>
          <w:rFonts w:ascii="Consolas" w:hAnsi="Consolas"/>
          <w:color w:val="374151"/>
          <w:sz w:val="18"/>
        </w:rPr>
        <w:t>estudiante_representante</w:t>
        <w:br/>
      </w:r>
      <w:r>
        <w:rPr>
          <w:rFonts w:ascii="Consolas" w:hAnsi="Consolas"/>
          <w:color w:val="374151"/>
          <w:sz w:val="18"/>
        </w:rPr>
        <w:t>familia</w:t>
        <w:br/>
      </w:r>
      <w:r>
        <w:rPr>
          <w:rFonts w:ascii="Consolas" w:hAnsi="Consolas"/>
          <w:color w:val="374151"/>
          <w:sz w:val="18"/>
        </w:rPr>
        <w:t>contacto_emergencia</w:t>
        <w:br/>
      </w:r>
    </w:p>
    <w:p>
      <w:pPr>
        <w:pStyle w:val="Heading2"/>
      </w:pPr>
      <w:r>
        <w:t>Estructura Académica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nivel → grado/curso → paralelo → curso periodo → asignaturas → docente</w:t>
        <w:br/>
      </w:r>
    </w:p>
    <w:p>
      <w:r>
        <w:t>Reglas principales:</w:t>
      </w:r>
    </w:p>
    <w:p>
      <w:pPr>
        <w:pStyle w:val="ListBullet"/>
      </w:pPr>
      <w:r>
        <w:tab/>
        <w:t>Curso y paralelo no deben ser texto libre.</w:t>
      </w:r>
    </w:p>
    <w:p>
      <w:pPr>
        <w:pStyle w:val="ListBullet"/>
      </w:pPr>
      <w:r>
        <w:tab/>
        <w:t>La asignación académica depende del periodo lectivo.</w:t>
      </w:r>
    </w:p>
    <w:p>
      <w:pPr>
        <w:pStyle w:val="ListBullet"/>
      </w:pPr>
      <w:r>
        <w:tab/>
        <w:t>La carga horaria y disponibilidad docente deben evitar conflictos.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nivel</w:t>
        <w:br/>
      </w:r>
      <w:r>
        <w:rPr>
          <w:rFonts w:ascii="Consolas" w:hAnsi="Consolas"/>
          <w:color w:val="374151"/>
          <w:sz w:val="18"/>
        </w:rPr>
        <w:t>grado</w:t>
        <w:br/>
      </w:r>
      <w:r>
        <w:rPr>
          <w:rFonts w:ascii="Consolas" w:hAnsi="Consolas"/>
          <w:color w:val="374151"/>
          <w:sz w:val="18"/>
        </w:rPr>
        <w:t>paralelo</w:t>
        <w:br/>
      </w:r>
      <w:r>
        <w:rPr>
          <w:rFonts w:ascii="Consolas" w:hAnsi="Consolas"/>
          <w:color w:val="374151"/>
          <w:sz w:val="18"/>
        </w:rPr>
        <w:t>curso_periodo</w:t>
        <w:br/>
      </w:r>
      <w:r>
        <w:rPr>
          <w:rFonts w:ascii="Consolas" w:hAnsi="Consolas"/>
          <w:color w:val="374151"/>
          <w:sz w:val="18"/>
        </w:rPr>
        <w:t>asignatura</w:t>
        <w:br/>
      </w:r>
      <w:r>
        <w:rPr>
          <w:rFonts w:ascii="Consolas" w:hAnsi="Consolas"/>
          <w:color w:val="374151"/>
          <w:sz w:val="18"/>
        </w:rPr>
        <w:t>malla_curricular</w:t>
        <w:br/>
      </w:r>
      <w:r>
        <w:rPr>
          <w:rFonts w:ascii="Consolas" w:hAnsi="Consolas"/>
          <w:color w:val="374151"/>
          <w:sz w:val="18"/>
        </w:rPr>
        <w:t>asignacion_docente</w:t>
        <w:br/>
      </w:r>
    </w:p>
    <w:p>
      <w:pPr>
        <w:pStyle w:val="Heading2"/>
      </w:pPr>
      <w:r>
        <w:t>Horarios Académicos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jornada → bloques horarios → asignación docente → aula/recurso → horario</w:t>
        <w:br/>
      </w:r>
    </w:p>
    <w:p>
      <w:r>
        <w:t>Reglas principales:</w:t>
      </w:r>
    </w:p>
    <w:p>
      <w:pPr>
        <w:pStyle w:val="ListBullet"/>
      </w:pPr>
      <w:r>
        <w:tab/>
        <w:t>El horario valida conflictos de docente, aula, jornada y recursos.</w:t>
      </w:r>
    </w:p>
    <w:p>
      <w:pPr>
        <w:pStyle w:val="ListBullet"/>
      </w:pPr>
      <w:r>
        <w:tab/>
        <w:t>Los recursos se solicitan o asignan una vez armado el horario.</w:t>
      </w:r>
    </w:p>
    <w:p>
      <w:pPr>
        <w:pStyle w:val="ListBullet"/>
      </w:pPr>
      <w:r>
        <w:tab/>
        <w:t>El horario alimenta asistencia, e-learning y planificación.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jornada</w:t>
        <w:br/>
      </w:r>
      <w:r>
        <w:rPr>
          <w:rFonts w:ascii="Consolas" w:hAnsi="Consolas"/>
          <w:color w:val="374151"/>
          <w:sz w:val="18"/>
        </w:rPr>
        <w:t>bloque_horario</w:t>
        <w:br/>
      </w:r>
      <w:r>
        <w:rPr>
          <w:rFonts w:ascii="Consolas" w:hAnsi="Consolas"/>
          <w:color w:val="374151"/>
          <w:sz w:val="18"/>
        </w:rPr>
        <w:t>horario_clase</w:t>
        <w:br/>
      </w:r>
      <w:r>
        <w:rPr>
          <w:rFonts w:ascii="Consolas" w:hAnsi="Consolas"/>
          <w:color w:val="374151"/>
          <w:sz w:val="18"/>
        </w:rPr>
        <w:t>horario_recurso</w:t>
        <w:br/>
      </w:r>
      <w:r>
        <w:rPr>
          <w:rFonts w:ascii="Consolas" w:hAnsi="Consolas"/>
          <w:color w:val="374151"/>
          <w:sz w:val="18"/>
        </w:rPr>
        <w:t>disponibilidad_docente</w:t>
        <w:br/>
      </w:r>
    </w:p>
    <w:p>
      <w:pPr>
        <w:pStyle w:val="Heading2"/>
      </w:pPr>
      <w:r>
        <w:t>Asistencia Estudiantil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docente primera hora → ausencia/atraso → responsable → contacto → escalamiento</w:t>
        <w:br/>
      </w:r>
    </w:p>
    <w:p>
      <w:r>
        <w:t>Reglas principales:</w:t>
      </w:r>
    </w:p>
    <w:p>
      <w:pPr>
        <w:pStyle w:val="ListBullet"/>
      </w:pPr>
      <w:r>
        <w:tab/>
        <w:t>El modelo preferido es que el docente de primera hora registre ausentes.</w:t>
      </w:r>
    </w:p>
    <w:p>
      <w:pPr>
        <w:pStyle w:val="ListBullet"/>
      </w:pPr>
      <w:r>
        <w:tab/>
        <w:t>El tutor o responsable atiende la novedad y contacta al representante.</w:t>
      </w:r>
    </w:p>
    <w:p>
      <w:pPr>
        <w:pStyle w:val="ListBullet"/>
      </w:pPr>
      <w:r>
        <w:tab/>
        <w:t>Si no se atiende en 30 minutos, escala según la política definida.</w:t>
      </w:r>
    </w:p>
    <w:p>
      <w:pPr>
        <w:pStyle w:val="ListBullet"/>
      </w:pPr>
      <w:r>
        <w:tab/>
        <w:t>Las salidas durante el día validan autorización previa.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asistencia_estudiante</w:t>
        <w:br/>
      </w:r>
      <w:r>
        <w:rPr>
          <w:rFonts w:ascii="Consolas" w:hAnsi="Consolas"/>
          <w:color w:val="374151"/>
          <w:sz w:val="18"/>
        </w:rPr>
        <w:t>detalle_asistencia</w:t>
        <w:br/>
      </w:r>
      <w:r>
        <w:rPr>
          <w:rFonts w:ascii="Consolas" w:hAnsi="Consolas"/>
          <w:color w:val="374151"/>
          <w:sz w:val="18"/>
        </w:rPr>
        <w:t>permiso_estudiante</w:t>
        <w:br/>
      </w:r>
      <w:r>
        <w:rPr>
          <w:rFonts w:ascii="Consolas" w:hAnsi="Consolas"/>
          <w:color w:val="374151"/>
          <w:sz w:val="18"/>
        </w:rPr>
        <w:t>alerta_asistencia</w:t>
        <w:br/>
      </w:r>
      <w:r>
        <w:rPr>
          <w:rFonts w:ascii="Consolas" w:hAnsi="Consolas"/>
          <w:color w:val="374151"/>
          <w:sz w:val="18"/>
        </w:rPr>
        <w:t>escalamiento_asistencia</w:t>
        <w:br/>
      </w:r>
    </w:p>
    <w:p>
      <w:pPr>
        <w:pStyle w:val="Heading2"/>
      </w:pPr>
      <w:r>
        <w:t>Calificaciones Y Evaluación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parámetros configurables → actividades → notas → promedios → reportes</w:t>
        <w:br/>
      </w:r>
    </w:p>
    <w:p>
      <w:r>
        <w:t>Reglas principales:</w:t>
      </w:r>
    </w:p>
    <w:p>
      <w:pPr>
        <w:pStyle w:val="ListBullet"/>
      </w:pPr>
      <w:r>
        <w:tab/>
        <w:t>La evaluación debe ser configurable por periodo, nivel y asignatura.</w:t>
      </w:r>
    </w:p>
    <w:p>
      <w:pPr>
        <w:pStyle w:val="ListBullet"/>
      </w:pPr>
      <w:r>
        <w:tab/>
        <w:t>Las actividades de e-learning pueden alimentar calificaciones si están vinculadas.</w:t>
      </w:r>
    </w:p>
    <w:p>
      <w:pPr>
        <w:pStyle w:val="ListBullet"/>
      </w:pPr>
      <w:r>
        <w:tab/>
        <w:t>Las evaluaciones diagnósticas pueden registrarse sin ponderar.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configuracion_evaluacion</w:t>
        <w:br/>
      </w:r>
      <w:r>
        <w:rPr>
          <w:rFonts w:ascii="Consolas" w:hAnsi="Consolas"/>
          <w:color w:val="374151"/>
          <w:sz w:val="18"/>
        </w:rPr>
        <w:t>parametro_evaluacion</w:t>
        <w:br/>
      </w:r>
      <w:r>
        <w:rPr>
          <w:rFonts w:ascii="Consolas" w:hAnsi="Consolas"/>
          <w:color w:val="374151"/>
          <w:sz w:val="18"/>
        </w:rPr>
        <w:t>actividad_evaluacion</w:t>
        <w:br/>
      </w:r>
      <w:r>
        <w:rPr>
          <w:rFonts w:ascii="Consolas" w:hAnsi="Consolas"/>
          <w:color w:val="374151"/>
          <w:sz w:val="18"/>
        </w:rPr>
        <w:t>calificacion</w:t>
        <w:br/>
      </w:r>
      <w:r>
        <w:rPr>
          <w:rFonts w:ascii="Consolas" w:hAnsi="Consolas"/>
          <w:color w:val="374151"/>
          <w:sz w:val="18"/>
        </w:rPr>
        <w:t>promedio_periodo</w:t>
        <w:br/>
      </w:r>
    </w:p>
    <w:p>
      <w:pPr>
        <w:pStyle w:val="Heading2"/>
      </w:pPr>
      <w:r>
        <w:t>E-learning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asignación docente → aula virtual → recursos → actividades → evidencias → calificaciones si aplica</w:t>
        <w:br/>
      </w:r>
    </w:p>
    <w:p>
      <w:r>
        <w:t>Reglas principales:</w:t>
      </w:r>
    </w:p>
    <w:p>
      <w:pPr>
        <w:pStyle w:val="ListBullet"/>
      </w:pPr>
      <w:r>
        <w:tab/>
        <w:t>Debe ser potente como Moodle, pero sencillo como Classroom.</w:t>
      </w:r>
    </w:p>
    <w:p>
      <w:pPr>
        <w:pStyle w:val="ListBullet"/>
      </w:pPr>
      <w:r>
        <w:tab/>
        <w:t>Se crea desde la asignación docente y el periodo.</w:t>
      </w:r>
    </w:p>
    <w:p>
      <w:pPr>
        <w:pStyle w:val="ListBullet"/>
      </w:pPr>
      <w:r>
        <w:tab/>
        <w:t>No debe reemplazar el dominio académico oficial.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aula_virtual</w:t>
        <w:br/>
      </w:r>
      <w:r>
        <w:rPr>
          <w:rFonts w:ascii="Consolas" w:hAnsi="Consolas"/>
          <w:color w:val="374151"/>
          <w:sz w:val="18"/>
        </w:rPr>
        <w:t>recurso_elearning</w:t>
        <w:br/>
      </w:r>
      <w:r>
        <w:rPr>
          <w:rFonts w:ascii="Consolas" w:hAnsi="Consolas"/>
          <w:color w:val="374151"/>
          <w:sz w:val="18"/>
        </w:rPr>
        <w:t>actividad_elearning</w:t>
        <w:br/>
      </w:r>
      <w:r>
        <w:rPr>
          <w:rFonts w:ascii="Consolas" w:hAnsi="Consolas"/>
          <w:color w:val="374151"/>
          <w:sz w:val="18"/>
        </w:rPr>
        <w:t>entrega_elearning</w:t>
        <w:br/>
      </w:r>
      <w:r>
        <w:rPr>
          <w:rFonts w:ascii="Consolas" w:hAnsi="Consolas"/>
          <w:color w:val="374151"/>
          <w:sz w:val="18"/>
        </w:rPr>
        <w:t>participacion_elearning</w:t>
        <w:br/>
      </w:r>
    </w:p>
    <w:p>
      <w:pPr>
        <w:pStyle w:val="Heading2"/>
      </w:pPr>
      <w:r>
        <w:t>Portafolio Estudiantil Y Evidencias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actividad → evidencia → revisión → portafolio → historial académico</w:t>
        <w:br/>
      </w:r>
    </w:p>
    <w:p>
      <w:r>
        <w:t>Reglas principales:</w:t>
      </w:r>
    </w:p>
    <w:p>
      <w:pPr>
        <w:pStyle w:val="ListBullet"/>
      </w:pPr>
      <w:r>
        <w:tab/>
        <w:t>El portafolio conserva producción estudiantil y evidencias académicas.</w:t>
      </w:r>
    </w:p>
    <w:p>
      <w:pPr>
        <w:pStyle w:val="ListBullet"/>
      </w:pPr>
      <w:r>
        <w:tab/>
        <w:t>Puede alimentarse desde e-learning, proyectos, biblioteca y actividades.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portafolio_estudiante</w:t>
        <w:br/>
      </w:r>
      <w:r>
        <w:rPr>
          <w:rFonts w:ascii="Consolas" w:hAnsi="Consolas"/>
          <w:color w:val="374151"/>
          <w:sz w:val="18"/>
        </w:rPr>
        <w:t>evidencia_estudiante</w:t>
        <w:br/>
      </w:r>
      <w:r>
        <w:rPr>
          <w:rFonts w:ascii="Consolas" w:hAnsi="Consolas"/>
          <w:color w:val="374151"/>
          <w:sz w:val="18"/>
        </w:rPr>
        <w:t>revision_evidencia</w:t>
        <w:br/>
      </w:r>
      <w:r>
        <w:rPr>
          <w:rFonts w:ascii="Consolas" w:hAnsi="Consolas"/>
          <w:color w:val="374151"/>
          <w:sz w:val="18"/>
        </w:rPr>
        <w:t>comentario_evidencia</w:t>
        <w:br/>
      </w:r>
    </w:p>
    <w:p>
      <w:pPr>
        <w:pStyle w:val="Heading2"/>
      </w:pPr>
      <w:r>
        <w:t>Disciplina / Inspectoría / Convivencia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incidente → registro → medidas/acuerdos → seguimiento → derivación si aplica</w:t>
        <w:br/>
      </w:r>
    </w:p>
    <w:p>
      <w:r>
        <w:t>Reglas principales:</w:t>
      </w:r>
    </w:p>
    <w:p>
      <w:pPr>
        <w:pStyle w:val="ListBullet"/>
      </w:pPr>
      <w:r>
        <w:tab/>
        <w:t>Disciplina no debe confundirse con DECE.</w:t>
      </w:r>
    </w:p>
    <w:p>
      <w:pPr>
        <w:pStyle w:val="ListBullet"/>
      </w:pPr>
      <w:r>
        <w:tab/>
        <w:t>Los incidentes pueden derivar a DECE cuando correspondan.</w:t>
      </w:r>
    </w:p>
    <w:p>
      <w:pPr>
        <w:pStyle w:val="ListBullet"/>
      </w:pPr>
      <w:r>
        <w:tab/>
        <w:t>Las citaciones y compromisos deben quedar trazables.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incidente_disciplina</w:t>
        <w:br/>
      </w:r>
      <w:r>
        <w:rPr>
          <w:rFonts w:ascii="Consolas" w:hAnsi="Consolas"/>
          <w:color w:val="374151"/>
          <w:sz w:val="18"/>
        </w:rPr>
        <w:t>citacion_disciplina</w:t>
        <w:br/>
      </w:r>
      <w:r>
        <w:rPr>
          <w:rFonts w:ascii="Consolas" w:hAnsi="Consolas"/>
          <w:color w:val="374151"/>
          <w:sz w:val="18"/>
        </w:rPr>
        <w:t>compromiso_disciplina</w:t>
        <w:br/>
      </w:r>
      <w:r>
        <w:rPr>
          <w:rFonts w:ascii="Consolas" w:hAnsi="Consolas"/>
          <w:color w:val="374151"/>
          <w:sz w:val="18"/>
        </w:rPr>
        <w:t>seguimiento_disciplina</w:t>
        <w:br/>
      </w:r>
    </w:p>
    <w:p>
      <w:pPr>
        <w:pStyle w:val="Heading2"/>
      </w:pPr>
      <w:r>
        <w:t>Bienestar Estudiantil / DECE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alerta → revisión → caso → seguimiento → acuerdos/derivación → cierre</w:t>
        <w:br/>
      </w:r>
    </w:p>
    <w:p>
      <w:r>
        <w:t>Reglas principales:</w:t>
      </w:r>
    </w:p>
    <w:p>
      <w:pPr>
        <w:pStyle w:val="ListBullet"/>
      </w:pPr>
      <w:r>
        <w:tab/>
        <w:t>DECE acompaña, orienta y deriva; no reemplaza a disciplina, académico, salud ni autoridad.</w:t>
      </w:r>
    </w:p>
    <w:p>
      <w:pPr>
        <w:pStyle w:val="ListBullet"/>
      </w:pPr>
      <w:r>
        <w:tab/>
        <w:t>La información DECE requiere niveles de confidencialidad.</w:t>
      </w:r>
    </w:p>
    <w:p>
      <w:pPr>
        <w:pStyle w:val="ListBullet"/>
      </w:pPr>
      <w:r>
        <w:tab/>
        <w:t>Un docente puede reportar una alerta sin ver todo el expediente reservado.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caso_dece</w:t>
        <w:br/>
      </w:r>
      <w:r>
        <w:rPr>
          <w:rFonts w:ascii="Consolas" w:hAnsi="Consolas"/>
          <w:color w:val="374151"/>
          <w:sz w:val="18"/>
        </w:rPr>
        <w:t>seguimiento_dece</w:t>
        <w:br/>
      </w:r>
      <w:r>
        <w:rPr>
          <w:rFonts w:ascii="Consolas" w:hAnsi="Consolas"/>
          <w:color w:val="374151"/>
          <w:sz w:val="18"/>
        </w:rPr>
        <w:t>acuerdo_dece</w:t>
        <w:br/>
      </w:r>
      <w:r>
        <w:rPr>
          <w:rFonts w:ascii="Consolas" w:hAnsi="Consolas"/>
          <w:color w:val="374151"/>
          <w:sz w:val="18"/>
        </w:rPr>
        <w:t>derivacion_dece</w:t>
        <w:br/>
      </w:r>
      <w:r>
        <w:rPr>
          <w:rFonts w:ascii="Consolas" w:hAnsi="Consolas"/>
          <w:color w:val="374151"/>
          <w:sz w:val="18"/>
        </w:rPr>
        <w:t>adaptacion_curricular</w:t>
        <w:br/>
      </w:r>
      <w:r>
        <w:rPr>
          <w:rFonts w:ascii="Consolas" w:hAnsi="Consolas"/>
          <w:color w:val="374151"/>
          <w:sz w:val="18"/>
        </w:rPr>
        <w:t>ficha_socioemocional</w:t>
        <w:br/>
      </w:r>
    </w:p>
    <w:p>
      <w:pPr>
        <w:pStyle w:val="Heading2"/>
      </w:pPr>
      <w:r>
        <w:t>Financiero Educativo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rubros → obligaciones → pagos → validación → cartera → facturación si aplica</w:t>
        <w:br/>
      </w:r>
    </w:p>
    <w:p>
      <w:r>
        <w:t>Reglas principales:</w:t>
      </w:r>
    </w:p>
    <w:p>
      <w:pPr>
        <w:pStyle w:val="ListBullet"/>
      </w:pPr>
      <w:r>
        <w:tab/>
        <w:t>Debe manejar matrícula, pensiones, descuentos, becas, campañas y cartera.</w:t>
      </w:r>
    </w:p>
    <w:p>
      <w:pPr>
        <w:pStyle w:val="ListBullet"/>
      </w:pPr>
      <w:r>
        <w:tab/>
        <w:t>El pago puede hacerlo una persona distinta a quien recibe la factura.</w:t>
      </w:r>
    </w:p>
    <w:p>
      <w:pPr>
        <w:pStyle w:val="ListBullet"/>
      </w:pPr>
      <w:r>
        <w:tab/>
        <w:t>Los pagos externos deben validarse antes de aplicar obligación.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rubro</w:t>
        <w:br/>
      </w:r>
      <w:r>
        <w:rPr>
          <w:rFonts w:ascii="Consolas" w:hAnsi="Consolas"/>
          <w:color w:val="374151"/>
          <w:sz w:val="18"/>
        </w:rPr>
        <w:t>obligacion_financiera</w:t>
        <w:br/>
      </w:r>
      <w:r>
        <w:rPr>
          <w:rFonts w:ascii="Consolas" w:hAnsi="Consolas"/>
          <w:color w:val="374151"/>
          <w:sz w:val="18"/>
        </w:rPr>
        <w:t>descuento_beca</w:t>
        <w:br/>
      </w:r>
      <w:r>
        <w:rPr>
          <w:rFonts w:ascii="Consolas" w:hAnsi="Consolas"/>
          <w:color w:val="374151"/>
          <w:sz w:val="18"/>
        </w:rPr>
        <w:t>pago</w:t>
        <w:br/>
      </w:r>
      <w:r>
        <w:rPr>
          <w:rFonts w:ascii="Consolas" w:hAnsi="Consolas"/>
          <w:color w:val="374151"/>
          <w:sz w:val="18"/>
        </w:rPr>
        <w:t>pago_detalle</w:t>
        <w:br/>
      </w:r>
      <w:r>
        <w:rPr>
          <w:rFonts w:ascii="Consolas" w:hAnsi="Consolas"/>
          <w:color w:val="374151"/>
          <w:sz w:val="18"/>
        </w:rPr>
        <w:t>caja</w:t>
        <w:br/>
      </w:r>
      <w:r>
        <w:rPr>
          <w:rFonts w:ascii="Consolas" w:hAnsi="Consolas"/>
          <w:color w:val="374151"/>
          <w:sz w:val="18"/>
        </w:rPr>
        <w:t>comprobante</w:t>
        <w:br/>
      </w:r>
      <w:r>
        <w:rPr>
          <w:rFonts w:ascii="Consolas" w:hAnsi="Consolas"/>
          <w:color w:val="374151"/>
          <w:sz w:val="18"/>
        </w:rPr>
        <w:t>factura</w:t>
        <w:br/>
      </w:r>
    </w:p>
    <w:p>
      <w:pPr>
        <w:pStyle w:val="Heading2"/>
      </w:pPr>
      <w:r>
        <w:t>Documental / Expediente Digital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archivo → documento → expediente → entidad relacionada → permiso</w:t>
        <w:br/>
      </w:r>
    </w:p>
    <w:p>
      <w:r>
        <w:t>Reglas principales:</w:t>
      </w:r>
    </w:p>
    <w:p>
      <w:pPr>
        <w:pStyle w:val="ListBullet"/>
      </w:pPr>
      <w:r>
        <w:tab/>
        <w:t>Los expedientes pueden ser estudiantiles, laborales, financieros, académicos o institucionales.</w:t>
      </w:r>
    </w:p>
    <w:p>
      <w:pPr>
        <w:pStyle w:val="ListBullet"/>
      </w:pPr>
      <w:r>
        <w:tab/>
        <w:t>Los documentos firmados o escaneados deben conservar trazabilidad.</w:t>
      </w:r>
    </w:p>
    <w:p>
      <w:pPr>
        <w:pStyle w:val="ListBullet"/>
      </w:pPr>
      <w:r>
        <w:tab/>
        <w:t>Los módulos referencian documentos, no almacenan archivos directamente.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archivo</w:t>
        <w:br/>
      </w:r>
      <w:r>
        <w:rPr>
          <w:rFonts w:ascii="Consolas" w:hAnsi="Consolas"/>
          <w:color w:val="374151"/>
          <w:sz w:val="18"/>
        </w:rPr>
        <w:t>documento</w:t>
        <w:br/>
      </w:r>
      <w:r>
        <w:rPr>
          <w:rFonts w:ascii="Consolas" w:hAnsi="Consolas"/>
          <w:color w:val="374151"/>
          <w:sz w:val="18"/>
        </w:rPr>
        <w:t>expediente</w:t>
        <w:br/>
      </w:r>
      <w:r>
        <w:rPr>
          <w:rFonts w:ascii="Consolas" w:hAnsi="Consolas"/>
          <w:color w:val="374151"/>
          <w:sz w:val="18"/>
        </w:rPr>
        <w:t>expediente_documento</w:t>
        <w:br/>
      </w:r>
      <w:r>
        <w:rPr>
          <w:rFonts w:ascii="Consolas" w:hAnsi="Consolas"/>
          <w:color w:val="374151"/>
          <w:sz w:val="18"/>
        </w:rPr>
        <w:t>tipo_documento</w:t>
        <w:br/>
      </w:r>
      <w:r>
        <w:rPr>
          <w:rFonts w:ascii="Consolas" w:hAnsi="Consolas"/>
          <w:color w:val="374151"/>
          <w:sz w:val="18"/>
        </w:rPr>
        <w:t>firma_documento</w:t>
        <w:br/>
      </w:r>
    </w:p>
    <w:p>
      <w:pPr>
        <w:pStyle w:val="Heading2"/>
      </w:pPr>
      <w:r>
        <w:t>Workflow / Aprobaciones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solicitud → flujo → paso → aprobación/rechazo → cierre</w:t>
        <w:br/>
      </w:r>
    </w:p>
    <w:p>
      <w:r>
        <w:t>Reglas principales:</w:t>
      </w:r>
    </w:p>
    <w:p>
      <w:pPr>
        <w:pStyle w:val="ListBullet"/>
      </w:pPr>
      <w:r>
        <w:tab/>
        <w:t>Las excepciones, bajas, publicaciones, permisos y aprobaciones críticas usan workflow.</w:t>
      </w:r>
    </w:p>
    <w:p>
      <w:pPr>
        <w:pStyle w:val="ListBullet"/>
      </w:pPr>
      <w:r>
        <w:tab/>
        <w:t>El workflow no debe estar quemado en un solo módulo.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workflow</w:t>
        <w:br/>
      </w:r>
      <w:r>
        <w:rPr>
          <w:rFonts w:ascii="Consolas" w:hAnsi="Consolas"/>
          <w:color w:val="374151"/>
          <w:sz w:val="18"/>
        </w:rPr>
        <w:t>workflow_paso</w:t>
        <w:br/>
      </w:r>
      <w:r>
        <w:rPr>
          <w:rFonts w:ascii="Consolas" w:hAnsi="Consolas"/>
          <w:color w:val="374151"/>
          <w:sz w:val="18"/>
        </w:rPr>
        <w:t>workflow_instancia</w:t>
        <w:br/>
      </w:r>
      <w:r>
        <w:rPr>
          <w:rFonts w:ascii="Consolas" w:hAnsi="Consolas"/>
          <w:color w:val="374151"/>
          <w:sz w:val="18"/>
        </w:rPr>
        <w:t>workflow_aprobacion</w:t>
        <w:br/>
      </w:r>
    </w:p>
    <w:p>
      <w:pPr>
        <w:pStyle w:val="Heading2"/>
      </w:pPr>
      <w:r>
        <w:t>Notificaciones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evento → plantilla → audiencia → canal → envío → estado</w:t>
        <w:br/>
      </w:r>
    </w:p>
    <w:p>
      <w:r>
        <w:t>Reglas principales:</w:t>
      </w:r>
    </w:p>
    <w:p>
      <w:pPr>
        <w:pStyle w:val="ListBullet"/>
      </w:pPr>
      <w:r>
        <w:tab/>
        <w:t>El motor de notificaciones no decide el contenido institucional; solo lo transporta.</w:t>
      </w:r>
    </w:p>
    <w:p>
      <w:pPr>
        <w:pStyle w:val="ListBullet"/>
      </w:pPr>
      <w:r>
        <w:tab/>
        <w:t>Debe soportar correo, WhatsApp, portal y app si aplica.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plantilla_notificacion</w:t>
        <w:br/>
      </w:r>
      <w:r>
        <w:rPr>
          <w:rFonts w:ascii="Consolas" w:hAnsi="Consolas"/>
          <w:color w:val="374151"/>
          <w:sz w:val="18"/>
        </w:rPr>
        <w:t>notificacion</w:t>
        <w:br/>
      </w:r>
      <w:r>
        <w:rPr>
          <w:rFonts w:ascii="Consolas" w:hAnsi="Consolas"/>
          <w:color w:val="374151"/>
          <w:sz w:val="18"/>
        </w:rPr>
        <w:t>notificacion_destinatario</w:t>
        <w:br/>
      </w:r>
      <w:r>
        <w:rPr>
          <w:rFonts w:ascii="Consolas" w:hAnsi="Consolas"/>
          <w:color w:val="374151"/>
          <w:sz w:val="18"/>
        </w:rPr>
        <w:t>canal_notificacion</w:t>
        <w:br/>
      </w:r>
      <w:r>
        <w:rPr>
          <w:rFonts w:ascii="Consolas" w:hAnsi="Consolas"/>
          <w:color w:val="374151"/>
          <w:sz w:val="18"/>
        </w:rPr>
        <w:t>historial_envio</w:t>
        <w:br/>
      </w:r>
    </w:p>
    <w:p>
      <w:pPr>
        <w:pStyle w:val="Heading2"/>
      </w:pPr>
      <w:r>
        <w:t>Integraciones Externas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ERP → integración → canal → adaptador → proveedor</w:t>
        <w:br/>
      </w:r>
    </w:p>
    <w:p>
      <w:r>
        <w:t>Reglas principales:</w:t>
      </w:r>
    </w:p>
    <w:p>
      <w:pPr>
        <w:pStyle w:val="ListBullet"/>
      </w:pPr>
      <w:r>
        <w:tab/>
        <w:t>El ERP depende de contratos y adaptadores, no de proveedores rígidos.</w:t>
      </w:r>
    </w:p>
    <w:p>
      <w:pPr>
        <w:pStyle w:val="ListBullet"/>
      </w:pPr>
      <w:r>
        <w:tab/>
        <w:t>Toda integración debe registrar transacciones, errores, reintentos y monitoreo.</w:t>
      </w:r>
    </w:p>
    <w:p>
      <w:pPr>
        <w:pStyle w:val="ListBullet"/>
      </w:pPr>
      <w:r>
        <w:tab/>
        <w:t>Cuando no exista API, se admite importación/exportación manual auditable.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integracion</w:t>
        <w:br/>
      </w:r>
      <w:r>
        <w:rPr>
          <w:rFonts w:ascii="Consolas" w:hAnsi="Consolas"/>
          <w:color w:val="374151"/>
          <w:sz w:val="18"/>
        </w:rPr>
        <w:t>proveedor_integracion</w:t>
        <w:br/>
      </w:r>
      <w:r>
        <w:rPr>
          <w:rFonts w:ascii="Consolas" w:hAnsi="Consolas"/>
          <w:color w:val="374151"/>
          <w:sz w:val="18"/>
        </w:rPr>
        <w:t>adaptador_integracion</w:t>
        <w:br/>
      </w:r>
      <w:r>
        <w:rPr>
          <w:rFonts w:ascii="Consolas" w:hAnsi="Consolas"/>
          <w:color w:val="374151"/>
          <w:sz w:val="18"/>
        </w:rPr>
        <w:t>credencial_integracion</w:t>
        <w:br/>
      </w:r>
      <w:r>
        <w:rPr>
          <w:rFonts w:ascii="Consolas" w:hAnsi="Consolas"/>
          <w:color w:val="374151"/>
          <w:sz w:val="18"/>
        </w:rPr>
        <w:t>contrato_integracion</w:t>
        <w:br/>
      </w:r>
      <w:r>
        <w:rPr>
          <w:rFonts w:ascii="Consolas" w:hAnsi="Consolas"/>
          <w:color w:val="374151"/>
          <w:sz w:val="18"/>
        </w:rPr>
        <w:t>transaccion_integracion</w:t>
        <w:br/>
      </w:r>
      <w:r>
        <w:rPr>
          <w:rFonts w:ascii="Consolas" w:hAnsi="Consolas"/>
          <w:color w:val="374151"/>
          <w:sz w:val="18"/>
        </w:rPr>
        <w:t>cola_integracion</w:t>
        <w:br/>
      </w:r>
    </w:p>
    <w:p>
      <w:pPr>
        <w:pStyle w:val="Heading2"/>
      </w:pPr>
      <w:r>
        <w:t>IA Institucional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usuario autorizado → consulta → contexto permitido → respuesta/sugerencia → confirmación si hay acción</w:t>
        <w:br/>
      </w:r>
    </w:p>
    <w:p>
      <w:r>
        <w:t>Reglas principales:</w:t>
      </w:r>
    </w:p>
    <w:p>
      <w:pPr>
        <w:pStyle w:val="ListBullet"/>
      </w:pPr>
      <w:r>
        <w:tab/>
        <w:t>La IA debe existir desde el inicio como asistente transversal.</w:t>
      </w:r>
    </w:p>
    <w:p>
      <w:pPr>
        <w:pStyle w:val="ListBullet"/>
      </w:pPr>
      <w:r>
        <w:tab/>
        <w:t>Solo puede usar información que el usuario tenga permiso de ver.</w:t>
      </w:r>
    </w:p>
    <w:p>
      <w:pPr>
        <w:pStyle w:val="ListBullet"/>
      </w:pPr>
      <w:r>
        <w:tab/>
        <w:t>No aprueba matrícula, pagos, descuentos, notas, casos DECE ni publicaciones.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ia_asistente</w:t>
        <w:br/>
      </w:r>
      <w:r>
        <w:rPr>
          <w:rFonts w:ascii="Consolas" w:hAnsi="Consolas"/>
          <w:color w:val="374151"/>
          <w:sz w:val="18"/>
        </w:rPr>
        <w:t>ia_conversacion</w:t>
        <w:br/>
      </w:r>
      <w:r>
        <w:rPr>
          <w:rFonts w:ascii="Consolas" w:hAnsi="Consolas"/>
          <w:color w:val="374151"/>
          <w:sz w:val="18"/>
        </w:rPr>
        <w:t>ia_mensaje</w:t>
        <w:br/>
      </w:r>
      <w:r>
        <w:rPr>
          <w:rFonts w:ascii="Consolas" w:hAnsi="Consolas"/>
          <w:color w:val="374151"/>
          <w:sz w:val="18"/>
        </w:rPr>
        <w:t>ia_fuente_contexto</w:t>
        <w:br/>
      </w:r>
      <w:r>
        <w:rPr>
          <w:rFonts w:ascii="Consolas" w:hAnsi="Consolas"/>
          <w:color w:val="374151"/>
          <w:sz w:val="18"/>
        </w:rPr>
        <w:t>ia_accion_sugerida</w:t>
        <w:br/>
      </w:r>
      <w:r>
        <w:rPr>
          <w:rFonts w:ascii="Consolas" w:hAnsi="Consolas"/>
          <w:color w:val="374151"/>
          <w:sz w:val="18"/>
        </w:rPr>
        <w:t>ia_politica_acceso</w:t>
        <w:br/>
      </w:r>
    </w:p>
    <w:p>
      <w:pPr>
        <w:pStyle w:val="Heading2"/>
      </w:pPr>
      <w:r>
        <w:t>Talento Humano Básico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persona → personal → cargo/función → horario laboral → expediente</w:t>
        <w:br/>
      </w:r>
    </w:p>
    <w:p>
      <w:r>
        <w:t>Reglas principales:</w:t>
      </w:r>
    </w:p>
    <w:p>
      <w:pPr>
        <w:pStyle w:val="ListBullet"/>
      </w:pPr>
      <w:r>
        <w:tab/>
        <w:t>Debe existir para docentes, tutores, inspectores, DECE, autoridades y administrativos.</w:t>
      </w:r>
    </w:p>
    <w:p>
      <w:pPr>
        <w:pStyle w:val="ListBullet"/>
      </w:pPr>
      <w:r>
        <w:tab/>
        <w:t>Nómina completa queda para fase posterior o integración.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personal</w:t>
        <w:br/>
      </w:r>
      <w:r>
        <w:rPr>
          <w:rFonts w:ascii="Consolas" w:hAnsi="Consolas"/>
          <w:color w:val="374151"/>
          <w:sz w:val="18"/>
        </w:rPr>
        <w:t>cargo</w:t>
        <w:br/>
      </w:r>
      <w:r>
        <w:rPr>
          <w:rFonts w:ascii="Consolas" w:hAnsi="Consolas"/>
          <w:color w:val="374151"/>
          <w:sz w:val="18"/>
        </w:rPr>
        <w:t>asignacion_cargo</w:t>
        <w:br/>
      </w:r>
      <w:r>
        <w:rPr>
          <w:rFonts w:ascii="Consolas" w:hAnsi="Consolas"/>
          <w:color w:val="374151"/>
          <w:sz w:val="18"/>
        </w:rPr>
        <w:t>relacion_laboral</w:t>
        <w:br/>
      </w:r>
      <w:r>
        <w:rPr>
          <w:rFonts w:ascii="Consolas" w:hAnsi="Consolas"/>
          <w:color w:val="374151"/>
          <w:sz w:val="18"/>
        </w:rPr>
        <w:t>horario_laboral</w:t>
        <w:br/>
      </w:r>
      <w:r>
        <w:rPr>
          <w:rFonts w:ascii="Consolas" w:hAnsi="Consolas"/>
          <w:color w:val="374151"/>
          <w:sz w:val="18"/>
        </w:rPr>
        <w:t>permiso_laboral</w:t>
        <w:br/>
      </w:r>
      <w:r>
        <w:rPr>
          <w:rFonts w:ascii="Consolas" w:hAnsi="Consolas"/>
          <w:color w:val="374151"/>
          <w:sz w:val="18"/>
        </w:rPr>
        <w:t>expediente_laboral</w:t>
        <w:br/>
      </w:r>
    </w:p>
    <w:p>
      <w:pPr>
        <w:pStyle w:val="Heading2"/>
      </w:pPr>
      <w:r>
        <w:t>Biblioteca Y Recursos Educativos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recurso físico/digital → acceso/préstamo → plan lector/e-learning → historial</w:t>
        <w:br/>
      </w:r>
    </w:p>
    <w:p>
      <w:r>
        <w:t>Reglas principales:</w:t>
      </w:r>
    </w:p>
    <w:p>
      <w:pPr>
        <w:pStyle w:val="ListBullet"/>
      </w:pPr>
      <w:r>
        <w:tab/>
        <w:t>La biblioteca se entiende como centro de recursos para aprendizaje.</w:t>
      </w:r>
    </w:p>
    <w:p>
      <w:pPr>
        <w:pStyle w:val="ListBullet"/>
      </w:pPr>
      <w:r>
        <w:tab/>
        <w:t>Debe apoyar e-learning, plan lector y material pedagógico.</w:t>
      </w:r>
    </w:p>
    <w:p>
      <w:pPr>
        <w:pStyle w:val="ListBullet"/>
      </w:pPr>
      <w:r>
        <w:tab/>
        <w:t>Multas, bajas complejas y repositorio avanzado pueden quedar para después.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recurso_educativo</w:t>
        <w:br/>
      </w:r>
      <w:r>
        <w:rPr>
          <w:rFonts w:ascii="Consolas" w:hAnsi="Consolas"/>
          <w:color w:val="374151"/>
          <w:sz w:val="18"/>
        </w:rPr>
        <w:t>autor</w:t>
        <w:br/>
      </w:r>
      <w:r>
        <w:rPr>
          <w:rFonts w:ascii="Consolas" w:hAnsi="Consolas"/>
          <w:color w:val="374151"/>
          <w:sz w:val="18"/>
        </w:rPr>
        <w:t>editorial</w:t>
        <w:br/>
      </w:r>
      <w:r>
        <w:rPr>
          <w:rFonts w:ascii="Consolas" w:hAnsi="Consolas"/>
          <w:color w:val="374151"/>
          <w:sz w:val="18"/>
        </w:rPr>
        <w:t>ejemplar_fisico</w:t>
        <w:br/>
      </w:r>
      <w:r>
        <w:rPr>
          <w:rFonts w:ascii="Consolas" w:hAnsi="Consolas"/>
          <w:color w:val="374151"/>
          <w:sz w:val="18"/>
        </w:rPr>
        <w:t>recurso_digital</w:t>
        <w:br/>
      </w:r>
      <w:r>
        <w:rPr>
          <w:rFonts w:ascii="Consolas" w:hAnsi="Consolas"/>
          <w:color w:val="374151"/>
          <w:sz w:val="18"/>
        </w:rPr>
        <w:t>prestamo_biblioteca</w:t>
        <w:br/>
      </w:r>
      <w:r>
        <w:rPr>
          <w:rFonts w:ascii="Consolas" w:hAnsi="Consolas"/>
          <w:color w:val="374151"/>
          <w:sz w:val="18"/>
        </w:rPr>
        <w:t>plan_lector</w:t>
        <w:br/>
      </w:r>
    </w:p>
    <w:p>
      <w:pPr>
        <w:pStyle w:val="Heading2"/>
      </w:pPr>
      <w:r>
        <w:t>Inventario / Activos Institucionales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activo → ubicación → custodio → movimiento → mantenimiento/baja</w:t>
        <w:br/>
      </w:r>
    </w:p>
    <w:p>
      <w:r>
        <w:t>Reglas principales:</w:t>
      </w:r>
    </w:p>
    <w:p>
      <w:pPr>
        <w:pStyle w:val="ListBullet"/>
      </w:pPr>
      <w:r>
        <w:tab/>
        <w:t>Todo bien institucional debe tener trazabilidad de ubicación y custodio.</w:t>
      </w:r>
    </w:p>
    <w:p>
      <w:pPr>
        <w:pStyle w:val="ListBullet"/>
      </w:pPr>
      <w:r>
        <w:tab/>
        <w:t>Los activos dados de baja no se eliminan.</w:t>
      </w:r>
    </w:p>
    <w:p>
      <w:pPr>
        <w:pStyle w:val="ListBullet"/>
      </w:pPr>
      <w:r>
        <w:tab/>
        <w:t>Debe conectar con compras, mantenimiento, documental y financiero.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activo</w:t>
        <w:br/>
      </w:r>
      <w:r>
        <w:rPr>
          <w:rFonts w:ascii="Consolas" w:hAnsi="Consolas"/>
          <w:color w:val="374151"/>
          <w:sz w:val="18"/>
        </w:rPr>
        <w:t>categoria_activo</w:t>
        <w:br/>
      </w:r>
      <w:r>
        <w:rPr>
          <w:rFonts w:ascii="Consolas" w:hAnsi="Consolas"/>
          <w:color w:val="374151"/>
          <w:sz w:val="18"/>
        </w:rPr>
        <w:t>ubicacion_activo</w:t>
        <w:br/>
      </w:r>
      <w:r>
        <w:rPr>
          <w:rFonts w:ascii="Consolas" w:hAnsi="Consolas"/>
          <w:color w:val="374151"/>
          <w:sz w:val="18"/>
        </w:rPr>
        <w:t>activo_custodio</w:t>
        <w:br/>
      </w:r>
      <w:r>
        <w:rPr>
          <w:rFonts w:ascii="Consolas" w:hAnsi="Consolas"/>
          <w:color w:val="374151"/>
          <w:sz w:val="18"/>
        </w:rPr>
        <w:t>movimiento_activo</w:t>
        <w:br/>
      </w:r>
      <w:r>
        <w:rPr>
          <w:rFonts w:ascii="Consolas" w:hAnsi="Consolas"/>
          <w:color w:val="374151"/>
          <w:sz w:val="18"/>
        </w:rPr>
        <w:t>inventario_fisico</w:t>
        <w:br/>
      </w:r>
      <w:r>
        <w:rPr>
          <w:rFonts w:ascii="Consolas" w:hAnsi="Consolas"/>
          <w:color w:val="374151"/>
          <w:sz w:val="18"/>
        </w:rPr>
        <w:t>baja_activo</w:t>
        <w:br/>
      </w:r>
    </w:p>
    <w:p>
      <w:pPr>
        <w:pStyle w:val="Heading2"/>
      </w:pPr>
      <w:r>
        <w:t>Compras / Proveedores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necesidad → solicitud → cotización/orden → recepción → factura/activo</w:t>
        <w:br/>
      </w:r>
    </w:p>
    <w:p>
      <w:r>
        <w:t>Reglas principales:</w:t>
      </w:r>
    </w:p>
    <w:p>
      <w:pPr>
        <w:pStyle w:val="ListBullet"/>
      </w:pPr>
      <w:r>
        <w:tab/>
        <w:t>Debe ser un soporte liviano, no un sistema completo de contratación pública.</w:t>
      </w:r>
    </w:p>
    <w:p>
      <w:pPr>
        <w:pStyle w:val="ListBullet"/>
      </w:pPr>
      <w:r>
        <w:tab/>
        <w:t>La recepción de bienes inventariables puede generar activos.</w:t>
      </w:r>
    </w:p>
    <w:p>
      <w:pPr>
        <w:pStyle w:val="ListBullet"/>
      </w:pPr>
      <w:r>
        <w:tab/>
        <w:t>La factura de proveedor no significa pago automático.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proveedor</w:t>
        <w:br/>
      </w:r>
      <w:r>
        <w:rPr>
          <w:rFonts w:ascii="Consolas" w:hAnsi="Consolas"/>
          <w:color w:val="374151"/>
          <w:sz w:val="18"/>
        </w:rPr>
        <w:t>solicitud_compra</w:t>
        <w:br/>
      </w:r>
      <w:r>
        <w:rPr>
          <w:rFonts w:ascii="Consolas" w:hAnsi="Consolas"/>
          <w:color w:val="374151"/>
          <w:sz w:val="18"/>
        </w:rPr>
        <w:t>solicitud_compra_detalle</w:t>
        <w:br/>
      </w:r>
      <w:r>
        <w:rPr>
          <w:rFonts w:ascii="Consolas" w:hAnsi="Consolas"/>
          <w:color w:val="374151"/>
          <w:sz w:val="18"/>
        </w:rPr>
        <w:t>orden_compra</w:t>
        <w:br/>
      </w:r>
      <w:r>
        <w:rPr>
          <w:rFonts w:ascii="Consolas" w:hAnsi="Consolas"/>
          <w:color w:val="374151"/>
          <w:sz w:val="18"/>
        </w:rPr>
        <w:t>orden_compra_detalle</w:t>
        <w:br/>
      </w:r>
      <w:r>
        <w:rPr>
          <w:rFonts w:ascii="Consolas" w:hAnsi="Consolas"/>
          <w:color w:val="374151"/>
          <w:sz w:val="18"/>
        </w:rPr>
        <w:t>recepcion_compra</w:t>
        <w:br/>
      </w:r>
      <w:r>
        <w:rPr>
          <w:rFonts w:ascii="Consolas" w:hAnsi="Consolas"/>
          <w:color w:val="374151"/>
          <w:sz w:val="18"/>
        </w:rPr>
        <w:t>factura_proveedor</w:t>
        <w:br/>
      </w:r>
      <w:r>
        <w:rPr>
          <w:rFonts w:ascii="Consolas" w:hAnsi="Consolas"/>
          <w:color w:val="374151"/>
          <w:sz w:val="18"/>
        </w:rPr>
        <w:t>contrato_proveedor</w:t>
        <w:br/>
      </w:r>
    </w:p>
    <w:p>
      <w:pPr>
        <w:pStyle w:val="Heading2"/>
      </w:pPr>
      <w:r>
        <w:t>Mantenimiento E Infraestructura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reporte → solicitud → orden de trabajo → evidencia → cierre</w:t>
        <w:br/>
      </w:r>
    </w:p>
    <w:p>
      <w:r>
        <w:t>Reglas principales:</w:t>
      </w:r>
    </w:p>
    <w:p>
      <w:pPr>
        <w:pStyle w:val="ListBullet"/>
      </w:pPr>
      <w:r>
        <w:tab/>
        <w:t>La solicitud registra la necesidad; la orden registra la ejecución.</w:t>
      </w:r>
    </w:p>
    <w:p>
      <w:pPr>
        <w:pStyle w:val="ListBullet"/>
      </w:pPr>
      <w:r>
        <w:tab/>
        <w:t>Una solicitud puede afectar ubicación, activo o ambos.</w:t>
      </w:r>
    </w:p>
    <w:p>
      <w:pPr>
        <w:pStyle w:val="ListBullet"/>
      </w:pPr>
      <w:r>
        <w:tab/>
        <w:t>No se cierra una solicitud crítica sin solución y evidencia.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solicitud_mantenimiento</w:t>
        <w:br/>
      </w:r>
      <w:r>
        <w:rPr>
          <w:rFonts w:ascii="Consolas" w:hAnsi="Consolas"/>
          <w:color w:val="374151"/>
          <w:sz w:val="18"/>
        </w:rPr>
        <w:t>orden_mantenimiento</w:t>
        <w:br/>
      </w:r>
      <w:r>
        <w:rPr>
          <w:rFonts w:ascii="Consolas" w:hAnsi="Consolas"/>
          <w:color w:val="374151"/>
          <w:sz w:val="18"/>
        </w:rPr>
        <w:t>evidencia_mantenimiento</w:t>
        <w:br/>
      </w:r>
      <w:r>
        <w:rPr>
          <w:rFonts w:ascii="Consolas" w:hAnsi="Consolas"/>
          <w:color w:val="374151"/>
          <w:sz w:val="18"/>
        </w:rPr>
        <w:t>plan_mantenimiento</w:t>
        <w:br/>
      </w:r>
      <w:r>
        <w:rPr>
          <w:rFonts w:ascii="Consolas" w:hAnsi="Consolas"/>
          <w:color w:val="374151"/>
          <w:sz w:val="18"/>
        </w:rPr>
        <w:t>cierre_mantenimiento</w:t>
        <w:br/>
      </w:r>
    </w:p>
    <w:p>
      <w:pPr>
        <w:pStyle w:val="Heading2"/>
      </w:pPr>
      <w:r>
        <w:t>Comunicación Institucional / Portal</w:t>
      </w:r>
    </w:p>
    <w:p>
      <w:r>
        <w:t>Mapa: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contenido → aprobación → publicación → audiencia → lectura si aplica</w:t>
        <w:br/>
      </w:r>
    </w:p>
    <w:p>
      <w:r>
        <w:t>Reglas principales:</w:t>
      </w:r>
    </w:p>
    <w:p>
      <w:pPr>
        <w:pStyle w:val="ListBullet"/>
      </w:pPr>
      <w:r>
        <w:tab/>
        <w:t>No debe convertirse en un CMS grande tipo WordPress.</w:t>
      </w:r>
    </w:p>
    <w:p>
      <w:pPr>
        <w:pStyle w:val="ListBullet"/>
      </w:pPr>
      <w:r>
        <w:tab/>
        <w:t>Debe cubrir noticias, comunicados, circulares, eventos, calendario y portal.</w:t>
      </w:r>
    </w:p>
    <w:p>
      <w:pPr>
        <w:pStyle w:val="ListBullet"/>
      </w:pPr>
      <w:r>
        <w:tab/>
        <w:t>Las publicaciones pueden ser públicas o segmentadas por rol, curso, nivel o sede.</w:t>
      </w:r>
    </w:p>
    <w:p>
      <w:r>
        <w:t>Estructuras mínimas sugeridas:</w:t>
      </w:r>
    </w:p>
    <w:p>
      <w:pPr>
        <w:spacing w:before="40" w:after="160"/>
        <w:ind w:left="360"/>
      </w:pPr>
      <w:r>
        <w:rPr>
          <w:rFonts w:ascii="Consolas" w:hAnsi="Consolas"/>
          <w:color w:val="374151"/>
          <w:sz w:val="18"/>
        </w:rPr>
        <w:t>publicacion</w:t>
        <w:br/>
      </w:r>
      <w:r>
        <w:rPr>
          <w:rFonts w:ascii="Consolas" w:hAnsi="Consolas"/>
          <w:color w:val="374151"/>
          <w:sz w:val="18"/>
        </w:rPr>
        <w:t>publicacion_audiencia</w:t>
        <w:br/>
      </w:r>
      <w:r>
        <w:rPr>
          <w:rFonts w:ascii="Consolas" w:hAnsi="Consolas"/>
          <w:color w:val="374151"/>
          <w:sz w:val="18"/>
        </w:rPr>
        <w:t>publicacion_adjunto</w:t>
        <w:br/>
      </w:r>
      <w:r>
        <w:rPr>
          <w:rFonts w:ascii="Consolas" w:hAnsi="Consolas"/>
          <w:color w:val="374151"/>
          <w:sz w:val="18"/>
        </w:rPr>
        <w:t>evento_institucional</w:t>
        <w:br/>
      </w:r>
      <w:r>
        <w:rPr>
          <w:rFonts w:ascii="Consolas" w:hAnsi="Consolas"/>
          <w:color w:val="374151"/>
          <w:sz w:val="18"/>
        </w:rPr>
        <w:t>calendario_institucional</w:t>
        <w:br/>
      </w:r>
      <w:r>
        <w:rPr>
          <w:rFonts w:ascii="Consolas" w:hAnsi="Consolas"/>
          <w:color w:val="374151"/>
          <w:sz w:val="18"/>
        </w:rPr>
        <w:t>publicacion_lectura</w:t>
        <w:br/>
      </w:r>
      <w:r>
        <w:rPr>
          <w:rFonts w:ascii="Consolas" w:hAnsi="Consolas"/>
          <w:color w:val="374151"/>
          <w:sz w:val="18"/>
        </w:rPr>
        <w:t>portal_seccion</w:t>
        <w:br/>
      </w:r>
    </w:p>
    <w:p>
      <w:pPr>
        <w:pStyle w:val="Heading1"/>
      </w:pPr>
      <w:r>
        <w:t>7. Bloques Excluidos O Pospuestos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Bloque</w:t>
            </w:r>
          </w:p>
        </w:tc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475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Tratamiento</w:t>
            </w:r>
          </w:p>
        </w:tc>
      </w:tr>
      <w:tr>
        <w:tc>
          <w:tcPr>
            <w:tcW w:type="dxa" w:w="25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Transporte escolar</w:t>
            </w:r>
          </w:p>
        </w:tc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Excluido del núcleo</w:t>
            </w:r>
          </w:p>
        </w:tc>
        <w:tc>
          <w:tcPr>
            <w:tcW w:type="dxa" w:w="475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Si existe, se registra como proveedor, contrato y documento externo.</w:t>
            </w:r>
          </w:p>
        </w:tc>
      </w:tr>
      <w:tr>
        <w:tc>
          <w:tcPr>
            <w:tcW w:type="dxa" w:w="25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Bar / comedor / alimentación</w:t>
            </w:r>
          </w:p>
        </w:tc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Excluido del núcleo</w:t>
            </w:r>
          </w:p>
        </w:tc>
        <w:tc>
          <w:tcPr>
            <w:tcW w:type="dxa" w:w="475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Se representa como contrato o alquiler de espacio físico a tercero.</w:t>
            </w:r>
          </w:p>
        </w:tc>
      </w:tr>
      <w:tr>
        <w:tc>
          <w:tcPr>
            <w:tcW w:type="dxa" w:w="25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CRM de prospectos / admisiones</w:t>
            </w:r>
          </w:p>
        </w:tc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Pospuesto</w:t>
            </w:r>
          </w:p>
        </w:tc>
        <w:tc>
          <w:tcPr>
            <w:tcW w:type="dxa" w:w="475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No sustituye inscripción en línea. Puede agregarse como módulo opcional.</w:t>
            </w:r>
          </w:p>
        </w:tc>
      </w:tr>
      <w:tr>
        <w:tc>
          <w:tcPr>
            <w:tcW w:type="dxa" w:w="25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Nómina completa</w:t>
            </w:r>
          </w:p>
        </w:tc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Pospuesta</w:t>
            </w:r>
          </w:p>
        </w:tc>
        <w:tc>
          <w:tcPr>
            <w:tcW w:type="dxa" w:w="475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Talento humano inicia con personal, cargos, horarios y expediente.</w:t>
            </w:r>
          </w:p>
        </w:tc>
      </w:tr>
      <w:tr>
        <w:tc>
          <w:tcPr>
            <w:tcW w:type="dxa" w:w="25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Analítica avanzada</w:t>
            </w:r>
          </w:p>
        </w:tc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Gradual</w:t>
            </w:r>
          </w:p>
        </w:tc>
        <w:tc>
          <w:tcPr>
            <w:tcW w:type="dxa" w:w="475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Primero reportes operativos; luego tableros cruzados e indicadores predictivos.</w:t>
            </w:r>
          </w:p>
        </w:tc>
      </w:tr>
    </w:tbl>
    <w:p/>
    <w:p>
      <w:pPr>
        <w:pStyle w:val="Heading1"/>
      </w:pPr>
      <w:r>
        <w:t>8. Orden Recomendado Para Base De Datos</w:t>
      </w:r>
    </w:p>
    <w:p>
      <w:pPr>
        <w:pStyle w:val="ListNumber"/>
      </w:pPr>
      <w:r>
        <w:tab/>
        <w:t>Fase 1: núcleo institucional, identidad, seguridad, catálogos, periodo lectivo y auditoría.</w:t>
      </w:r>
    </w:p>
    <w:p>
      <w:pPr>
        <w:pStyle w:val="ListNumber"/>
      </w:pPr>
      <w:r>
        <w:tab/>
        <w:t>Fase 2: estructura académica, estudiantes, representantes, inscripción en línea, políticas y matrícula.</w:t>
      </w:r>
    </w:p>
    <w:p>
      <w:pPr>
        <w:pStyle w:val="ListNumber"/>
      </w:pPr>
      <w:r>
        <w:tab/>
        <w:t>Fase 3: horarios, asistencia, calificaciones, disciplina, DECE, e-learning y portafolio.</w:t>
      </w:r>
    </w:p>
    <w:p>
      <w:pPr>
        <w:pStyle w:val="ListNumber"/>
      </w:pPr>
      <w:r>
        <w:tab/>
        <w:t>Fase 4: financiero educativo, pagos, descuentos, cartera, caja, documentos y notificaciones.</w:t>
      </w:r>
    </w:p>
    <w:p>
      <w:pPr>
        <w:pStyle w:val="ListNumber"/>
      </w:pPr>
      <w:r>
        <w:tab/>
        <w:t>Fase 5: IA institucional desde el inicio, conectada gradualmente a cada módulo con permisos.</w:t>
      </w:r>
    </w:p>
    <w:p>
      <w:pPr>
        <w:pStyle w:val="ListNumber"/>
      </w:pPr>
      <w:r>
        <w:tab/>
        <w:t>Fase 6: soporte institucional simplificado: talento humano, biblioteca, inventario, compras, mantenimiento y comunicación.</w:t>
      </w:r>
    </w:p>
    <w:p>
      <w:pPr>
        <w:pStyle w:val="Heading1"/>
      </w:pPr>
      <w:r>
        <w:t>9. Criterio De Cierre</w:t>
      </w:r>
    </w:p>
    <w:p>
      <w:r>
        <w:t>El diseño queda listo para pasar a base de datos cuando cada tabla propuesta pueda responder a una necesidad real del flujo educativo central o a un soporte institucional claro. Cualquier entidad que no sostenga inscripción, matrícula, académico, asistencia, calificaciones, financiero, documental, notificaciones, IA o soporte operativo debe posponerse.</w:t>
      </w:r>
    </w:p>
    <w:p/>
    <w:p>
      <w:r>
        <w:rPr>
          <w:b/>
        </w:rPr>
        <w:t xml:space="preserve">Decisión final: </w:t>
      </w:r>
      <w:r>
        <w:t>se mantiene un ERP educativo asistido por IA, con núcleo académico-financiero-documental fuerte y módulos administrativos livianos, configurables y trazables.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