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onboarding MongoDB Atlas para BHXW</w:t>
      </w:r>
    </w:p>
    <w:p>
      <w:r>
        <w:t>Nombres propuestos y borrador de ticket para completar</w:t>
      </w:r>
    </w:p>
    <w:p>
      <w:r>
        <w:t>Esta propuesta incorpora los datos confirmados de la aplicación y reúne la información necesaria para solicitar el onboarding. Los campos entre corchetes siguen pendientes. Los nombres de recursos deben validarse con los equipos responsables antes de su creación.</w:t>
      </w:r>
    </w:p>
    <w:p>
      <w:pPr>
        <w:pStyle w:val="Heading1"/>
      </w:pPr>
      <w:r>
        <w:t>1 Datos confirmados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5616"/>
      </w:tblGrid>
      <w:tr>
        <w:trPr>
          <w:cantSplit/>
          <w:tblHeader/>
        </w:trPr>
        <w:tc>
          <w:tcPr>
            <w:tcW w:type="dxa" w:w="3888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type="dxa" w:w="5616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EPM</w:t>
            </w:r>
          </w:p>
        </w:tc>
        <w:tc>
          <w:tcPr>
            <w:tcW w:type="dxa" w:w="56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BHXW</w:t>
            </w:r>
          </w:p>
        </w:tc>
      </w:tr>
      <w:tr>
        <w:trPr>
          <w:cantSplit/>
        </w:trPr>
        <w:tc>
          <w:tcPr>
            <w:tcW w:type="dxa" w:w="388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Transit Code para Nube</w:t>
            </w:r>
          </w:p>
        </w:tc>
        <w:tc>
          <w:tcPr>
            <w:tcW w:type="dxa" w:w="561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44834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Colección utilizada por el servicio</w:t>
            </w:r>
          </w:p>
        </w:tc>
        <w:tc>
          <w:tcPr>
            <w:tcW w:type="dxa" w:w="56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transaction_projection</w:t>
            </w:r>
          </w:p>
        </w:tc>
      </w:tr>
    </w:tbl>
    <w:p/>
    <w:p>
      <w:r>
        <w:t>CIAD code y OP Code siguen pendientes. No se asume que sean iguales al EPM o al Transit Code. La disponibilidad de estos códigos no constituye evidencia de financiamiento aprobado.</w:t>
      </w:r>
    </w:p>
    <w:p>
      <w:pPr>
        <w:pStyle w:val="Heading1"/>
      </w:pPr>
      <w:r>
        <w:t>2 Nombres propuestos</w:t>
      </w:r>
    </w:p>
    <w:p>
      <w:r>
        <w:t>Se propone tapptrx como nombre corto por TAPP Transacciones. Solo el formato del usuario de aplicación proviene del manual de onboarding; los demás nombres son propuestas sujetas a las convenciones internas.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cantSplit/>
          <w:tblHeader/>
        </w:trPr>
        <w:tc>
          <w:tcPr>
            <w:tcW w:type="dxa" w:w="3168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6336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Propuesta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Nombre descriptivo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TAPP Transaction Read Model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Nombre corto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tapptrx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Proyecto MongoDB Atlas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bhxw-tapptrx-&lt;ambiente&gt;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Clúster MongoDB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bhxw-tapptrx-&lt;ambiente&gt;-01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Base de datos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tapp_transaction_read_model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Cuenta de servicio KMS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bhxw-tapptrx-&lt;ambiente&gt;-kms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Keyring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bhxw-tapptrx-&lt;ambiente&gt;-kr</w:t>
            </w:r>
          </w:p>
        </w:tc>
      </w:tr>
      <w:tr>
        <w:trPr>
          <w:cantSplit/>
        </w:trPr>
        <w:tc>
          <w:tcPr>
            <w:tcW w:type="dxa" w:w="3168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Clave de cifrado</w:t>
            </w:r>
          </w:p>
        </w:tc>
        <w:tc>
          <w:tcPr>
            <w:tcW w:type="dxa" w:w="6336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bhxw-tapptrx-&lt;ambiente&gt;-key</w:t>
            </w:r>
          </w:p>
        </w:tc>
      </w:tr>
    </w:tbl>
    <w:p/>
    <w:p>
      <w:r>
        <w:t>Confirmar el nombre oficial asociado a BHXW, la separación de proyectos por ambiente y el nombre de base de datos en la configuración de despliegue. Sustituir &lt;ambiente&gt; por el ambiente aprobado, por ejemplo ist o uat.</w:t>
      </w:r>
    </w:p>
    <w:p>
      <w:r>
        <w:br w:type="page"/>
      </w:r>
    </w:p>
    <w:p>
      <w:pPr>
        <w:pStyle w:val="Heading1"/>
      </w:pPr>
      <w:r>
        <w:t>3 Usuarios y recursos por confirmar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cantSplit/>
          <w:tblHeader/>
        </w:trPr>
        <w:tc>
          <w:tcPr>
            <w:tcW w:type="dxa" w:w="2160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Ambiente</w:t>
            </w:r>
          </w:p>
        </w:tc>
        <w:tc>
          <w:tcPr>
            <w:tcW w:type="dxa" w:w="7344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Usuario propuesto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IST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app_bhxw_tapptrx_i_1</w:t>
            </w:r>
          </w:p>
        </w:tc>
      </w:tr>
      <w:tr>
        <w:trPr>
          <w:cantSplit/>
        </w:trPr>
        <w:tc>
          <w:tcPr>
            <w:tcW w:type="dxa" w:w="216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UAT</w:t>
            </w:r>
          </w:p>
        </w:tc>
        <w:tc>
          <w:tcPr>
            <w:tcW w:type="dxa" w:w="734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app_bhxw_tapptrx_u_1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NFT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app_bhxw_tapptrx_n_1</w:t>
            </w:r>
          </w:p>
        </w:tc>
      </w:tr>
      <w:tr>
        <w:trPr>
          <w:cantSplit/>
        </w:trPr>
        <w:tc>
          <w:tcPr>
            <w:tcW w:type="dxa" w:w="216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PROD</w:t>
            </w:r>
          </w:p>
        </w:tc>
        <w:tc>
          <w:tcPr>
            <w:tcW w:type="dxa" w:w="734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app_bhxw_tapptrx_p_1</w:t>
            </w:r>
          </w:p>
        </w:tc>
      </w:tr>
    </w:tbl>
    <w:p/>
    <w:p>
      <w:r>
        <w:t>La ruta de Vault, el grupo AD y las etiquetas de red deben corresponder a los recursos asignados por la plataforma. Solicitarlos a los equipos responsables; no crear valores arbitrarios para completar el ticket.</w:t>
      </w:r>
    </w:p>
    <w:p>
      <w:pPr>
        <w:pStyle w:val="Heading1"/>
      </w:pPr>
      <w:r>
        <w:t>4 Información pendiente para completar la solicitud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cantSplit/>
          <w:tblHeader/>
        </w:trPr>
        <w:tc>
          <w:tcPr>
            <w:tcW w:type="dxa" w:w="2880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type="dxa" w:w="6624"/>
            <w:shd w:fill="E8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Ambiente inicial</w:t>
            </w:r>
          </w:p>
        </w:tc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[IST / UAT / NFT / PROD]</w:t>
            </w:r>
          </w:p>
        </w:tc>
      </w:tr>
      <w:tr>
        <w:trPr>
          <w:cantSplit/>
        </w:trPr>
        <w:tc>
          <w:tcPr>
            <w:tcW w:type="dxa" w:w="288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Identificación financiera</w:t>
            </w:r>
          </w:p>
        </w:tc>
        <w:tc>
          <w:tcPr>
            <w:tcW w:type="dxa" w:w="662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[CIAD code] / [OP Code] / [Estado del financiamiento]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Responsable</w:t>
            </w:r>
          </w:p>
        </w:tc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[Nombre, equipo y contacto]</w:t>
            </w:r>
          </w:p>
        </w:tc>
      </w:tr>
      <w:tr>
        <w:trPr>
          <w:cantSplit/>
        </w:trPr>
        <w:tc>
          <w:tcPr>
            <w:tcW w:type="dxa" w:w="288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Ubicación de la aplicación</w:t>
            </w:r>
          </w:p>
        </w:tc>
        <w:tc>
          <w:tcPr>
            <w:tcW w:type="dxa" w:w="662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[Región y clúster de Scotia Atlas Platform]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Seguridad</w:t>
            </w:r>
          </w:p>
        </w:tc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[Security Advisor, clasificación de datos y referencia TRA]</w:t>
            </w:r>
          </w:p>
        </w:tc>
      </w:tr>
      <w:tr>
        <w:trPr>
          <w:cantSplit/>
        </w:trPr>
        <w:tc>
          <w:tcPr>
            <w:tcW w:type="dxa" w:w="288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Aprobaciones y referencias</w:t>
            </w:r>
          </w:p>
        </w:tc>
        <w:tc>
          <w:tcPr>
            <w:tcW w:type="dxa" w:w="662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[ARB, onboarding de plataforma y DOU]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Dimensionamiento</w:t>
            </w:r>
          </w:p>
        </w:tc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[Documentos/transacciones por día, tamaño promedio, retención y carga máxima esperada]</w:t>
            </w:r>
          </w:p>
        </w:tc>
      </w:tr>
      <w:tr>
        <w:trPr>
          <w:cantSplit/>
        </w:trPr>
        <w:tc>
          <w:tcPr>
            <w:tcW w:type="dxa" w:w="2880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Fecha requerida</w:t>
            </w:r>
          </w:p>
        </w:tc>
        <w:tc>
          <w:tcPr>
            <w:tcW w:type="dxa" w:w="6624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[Fecha en la que se necesita el ambiente]</w:t>
            </w:r>
          </w:p>
        </w:tc>
      </w:tr>
    </w:tbl>
    <w:p/>
    <w:p>
      <w:r>
        <w:t>Las IP privadas de PSC y la cadena de conexión se obtienen durante la configuración. No es necesario conocerlas para redactar la solicitud inicial.</w:t>
      </w:r>
    </w:p>
    <w:p>
      <w:pPr>
        <w:pStyle w:val="Heading1"/>
      </w:pPr>
      <w:r>
        <w:t>5 Revisión antes del envío</w:t>
      </w:r>
    </w:p>
    <w:p>
      <w:r>
        <w:t>☐ Seleccionar un ambiente y su usuario correspondiente.</w:t>
      </w:r>
    </w:p>
    <w:p>
      <w:r>
        <w:t>☐ Confirmar nombre oficial de la aplicación y validar propuestas de nombres.</w:t>
      </w:r>
    </w:p>
    <w:p>
      <w:r>
        <w:t>☐ Completar CIAD code, OP Code, responsable, región y fecha.</w:t>
      </w:r>
    </w:p>
    <w:p>
      <w:r>
        <w:t>☐ Registrar el estado real de las aprobaciones; no marcar como aprobado lo que sigue pendiente.</w:t>
      </w:r>
    </w:p>
    <w:p>
      <w:r>
        <w:t>☐ Adjuntar diseño, dimensionamiento, presupuesto, aprobaciones y DOU disponibles.</w:t>
      </w:r>
    </w:p>
    <w:p>
      <w:r>
        <w:t>☐ Indicar expresamente cualquier pendiente y solicitar orientación para resolverlo.</w:t>
      </w:r>
    </w:p>
    <w:p>
      <w:r>
        <w:br w:type="page"/>
      </w:r>
    </w:p>
    <w:p>
      <w:pPr>
        <w:pStyle w:val="Heading1"/>
      </w:pPr>
      <w:r>
        <w:t>6 Borrador de ticket a DBA</w:t>
      </w:r>
    </w:p>
    <w:p>
      <w:r>
        <w:t>Asunto: [BHXW] Solicitud de onboarding MongoDB Atlas para TAPP Transaction Read Model — [AMBIENTE]</w:t>
      </w:r>
    </w:p>
    <w:p>
      <w:r>
        <w:t>Grupo destinatario: GTS - DBO - MONGODB</w:t>
      </w:r>
    </w:p>
    <w:p>
      <w:r>
        <w:t>Hola, equipo:</w:t>
      </w:r>
    </w:p>
    <w:p>
      <w:r>
        <w:t>Solicitamos iniciar el onboarding de MongoDB Atlas para el servicio de proyección de transacciones de TAPP, asociado al EPM BHXW, para el ambiente [IST/UAT/NFT/PROD].</w:t>
      </w:r>
    </w:p>
    <w:p>
      <w:r>
        <w:t>La aplicación consume eventos de transacciones desde Kafka y mantiene una vista consolidada en MongoDB. La colección utilizada por el servicio es transaction_projection.</w:t>
      </w:r>
    </w:p>
    <w:p>
      <w:pPr>
        <w:pStyle w:val="Heading2"/>
      </w:pPr>
      <w:r>
        <w:t>Datos de la aplicación</w:t>
      </w:r>
    </w:p>
    <w:p>
      <w:pPr>
        <w:pStyle w:val="ListBullet"/>
      </w:pPr>
      <w:r>
        <w:t>EPM: BHXW.</w:t>
      </w:r>
    </w:p>
    <w:p>
      <w:pPr>
        <w:pStyle w:val="ListBullet"/>
      </w:pPr>
      <w:r>
        <w:t>Transit Code para Nube: 44834.</w:t>
      </w:r>
    </w:p>
    <w:p>
      <w:pPr>
        <w:pStyle w:val="ListBullet"/>
      </w:pPr>
      <w:r>
        <w:t>Nombre descriptivo propuesto: TAPP Transaction Read Model.</w:t>
      </w:r>
    </w:p>
    <w:p>
      <w:pPr>
        <w:pStyle w:val="ListBullet"/>
      </w:pPr>
      <w:r>
        <w:t>Nombre corto propuesto: tapptrx.</w:t>
      </w:r>
    </w:p>
    <w:p>
      <w:pPr>
        <w:pStyle w:val="ListBullet"/>
      </w:pPr>
      <w:r>
        <w:t>CIAD code: [Pendiente de confirmar].</w:t>
      </w:r>
    </w:p>
    <w:p>
      <w:pPr>
        <w:pStyle w:val="ListBullet"/>
      </w:pPr>
      <w:r>
        <w:t>OP Code: [Pendiente de confirmar].</w:t>
      </w:r>
    </w:p>
    <w:p>
      <w:pPr>
        <w:pStyle w:val="ListBullet"/>
      </w:pPr>
      <w:r>
        <w:t>Ambiente: [Completar].</w:t>
      </w:r>
    </w:p>
    <w:p>
      <w:pPr>
        <w:pStyle w:val="ListBullet"/>
      </w:pPr>
      <w:r>
        <w:t>Región y clúster de Scotia Atlas Platform: [Completar].</w:t>
      </w:r>
    </w:p>
    <w:p>
      <w:pPr>
        <w:pStyle w:val="ListBullet"/>
      </w:pPr>
      <w:r>
        <w:t>Responsable técnico y contacto: [Completar].</w:t>
      </w:r>
    </w:p>
    <w:p>
      <w:pPr>
        <w:pStyle w:val="ListBullet"/>
      </w:pPr>
      <w:r>
        <w:t>Fecha requerida: [Completar].</w:t>
      </w:r>
    </w:p>
    <w:p>
      <w:pPr>
        <w:pStyle w:val="Heading2"/>
      </w:pPr>
      <w:r>
        <w:t>Nombres propuestos para validación</w:t>
      </w:r>
    </w:p>
    <w:p>
      <w:pPr>
        <w:pStyle w:val="ListBullet"/>
      </w:pPr>
      <w:r>
        <w:t>Proyecto MongoDB Atlas: bhxw-tapptrx-&lt;ambiente&gt;.</w:t>
      </w:r>
    </w:p>
    <w:p>
      <w:pPr>
        <w:pStyle w:val="ListBullet"/>
      </w:pPr>
      <w:r>
        <w:t>Clúster: bhxw-tapptrx-&lt;ambiente&gt;-01.</w:t>
      </w:r>
    </w:p>
    <w:p>
      <w:pPr>
        <w:pStyle w:val="ListBullet"/>
      </w:pPr>
      <w:r>
        <w:t>Base de datos: tapp_transaction_read_model.</w:t>
      </w:r>
    </w:p>
    <w:p>
      <w:pPr>
        <w:pStyle w:val="ListBullet"/>
      </w:pPr>
      <w:r>
        <w:t>Colección utilizada por la aplicación: transaction_projection.</w:t>
      </w:r>
    </w:p>
    <w:p>
      <w:pPr>
        <w:pStyle w:val="ListBullet"/>
      </w:pPr>
      <w:r>
        <w:t>Usuario: [Seleccionar según ambiente: app_bhxw_tapptrx_i_1 / app_bhxw_tapptrx_u_1 / app_bhxw_tapptrx_n_1 / app_bhxw_tapptrx_p_1].</w:t>
      </w:r>
    </w:p>
    <w:p>
      <w:r>
        <w:t>Solicitamos confirmar estos nombres conforme a las convenciones internas antes de crear los recursos.</w:t>
      </w:r>
    </w:p>
    <w:p>
      <w:r>
        <w:br w:type="page"/>
      </w:r>
    </w:p>
    <w:p>
      <w:pPr>
        <w:pStyle w:val="Heading1"/>
      </w:pPr>
      <w:r>
        <w:t>Continuación del borrador de ticket</w:t>
      </w:r>
    </w:p>
    <w:p>
      <w:pPr>
        <w:pStyle w:val="Heading2"/>
      </w:pPr>
      <w:r>
        <w:t>Alcance solicitado</w:t>
      </w:r>
    </w:p>
    <w:p>
      <w:pPr>
        <w:pStyle w:val="ListNumber"/>
      </w:pPr>
      <w:r>
        <w:t>Crear y configurar el proyecto y clúster MongoDB Atlas conforme al diseño y dimensionamiento acordados.</w:t>
      </w:r>
    </w:p>
    <w:p>
      <w:pPr>
        <w:pStyle w:val="ListNumber"/>
      </w:pPr>
      <w:r>
        <w:t>Aplicar las etiquetas de asignación de costos correspondientes a la aplicación.</w:t>
      </w:r>
    </w:p>
    <w:p>
      <w:pPr>
        <w:pStyle w:val="ListNumber"/>
      </w:pPr>
      <w:r>
        <w:t>Configurar la integración del lado de MongoDB con GCP KMS y Private Service Connect.</w:t>
      </w:r>
    </w:p>
    <w:p>
      <w:pPr>
        <w:pStyle w:val="ListNumber"/>
      </w:pPr>
      <w:r>
        <w:t>Proporcionar los insumos necesarios para los tickets dependientes de COPS, GNE y firewall.</w:t>
      </w:r>
    </w:p>
    <w:p>
      <w:pPr>
        <w:pStyle w:val="ListNumber"/>
      </w:pPr>
      <w:r>
        <w:t>Coordinar la creación del usuario de aplicación y su integración con HashiCorp Vault según el ambiente.</w:t>
      </w:r>
    </w:p>
    <w:p>
      <w:pPr>
        <w:pStyle w:val="ListNumber"/>
      </w:pPr>
      <w:r>
        <w:t>Apoyar las integraciones de Dynatrace, ESLM y GEMS cuando correspondan.</w:t>
      </w:r>
    </w:p>
    <w:p>
      <w:r>
        <w:t>La aplicación requiere escribir y actualizar la proyección de transacciones. Solicitamos revisar con DBA los permisos mínimos requeridos, incluyendo la gestión de índices.</w:t>
      </w:r>
    </w:p>
    <w:p>
      <w:pPr>
        <w:pStyle w:val="Heading2"/>
      </w:pPr>
      <w:r>
        <w:t>Estado de requisitos</w:t>
      </w:r>
    </w:p>
    <w:p>
      <w:pPr>
        <w:pStyle w:val="ListBullet"/>
      </w:pPr>
      <w:r>
        <w:t>GTEP ARB: [Estado y referencia].</w:t>
      </w:r>
    </w:p>
    <w:p>
      <w:pPr>
        <w:pStyle w:val="ListBullet"/>
      </w:pPr>
      <w:r>
        <w:t>Diseño y dimensionamiento: [Adjunto/Pendiente].</w:t>
      </w:r>
    </w:p>
    <w:p>
      <w:pPr>
        <w:pStyle w:val="ListBullet"/>
      </w:pPr>
      <w:r>
        <w:t>Presupuesto y financiamiento: [Estado y evidencia].</w:t>
      </w:r>
    </w:p>
    <w:p>
      <w:pPr>
        <w:pStyle w:val="ListBullet"/>
      </w:pPr>
      <w:r>
        <w:t>TRA: [Estado y referencia].</w:t>
      </w:r>
    </w:p>
    <w:p>
      <w:pPr>
        <w:pStyle w:val="ListBullet"/>
      </w:pPr>
      <w:r>
        <w:t>Security Advisor: [Nombre].</w:t>
      </w:r>
    </w:p>
    <w:p>
      <w:pPr>
        <w:pStyle w:val="ListBullet"/>
      </w:pPr>
      <w:r>
        <w:t>Clasificación de datos: [Completar].</w:t>
      </w:r>
    </w:p>
    <w:p>
      <w:pPr>
        <w:pStyle w:val="ListBullet"/>
      </w:pPr>
      <w:r>
        <w:t>Onboarding Scotia Atlas Platform: [Estado y referencia].</w:t>
      </w:r>
    </w:p>
    <w:p>
      <w:pPr>
        <w:pStyle w:val="ListBullet"/>
      </w:pPr>
      <w:r>
        <w:t>DOU y aprobaciones de seguridad: [Estado y referencias].</w:t>
      </w:r>
    </w:p>
    <w:p>
      <w:pPr>
        <w:pStyle w:val="Heading2"/>
      </w:pPr>
      <w:r>
        <w:t>Coordinación</w:t>
      </w:r>
    </w:p>
    <w:p>
      <w:r>
        <w:t>Nuestro equipo gestionará las solicitudes de los equipos involucrados, el FPR y la validación de conectividad desde la aplicación.</w:t>
      </w:r>
    </w:p>
    <w:p>
      <w:r>
        <w:t>Solicitamos confirmar la información adicional requerida, las dependencias para iniciar y el plazo estimado de atención. Si el dimensionamiento está pendiente, solicitamos indicar los datos necesarios para completarlo antes del despliegue.</w:t>
      </w:r>
    </w:p>
    <w:p>
      <w:pPr>
        <w:pStyle w:val="Heading2"/>
      </w:pPr>
      <w:r>
        <w:t>Adjuntos</w:t>
      </w:r>
    </w:p>
    <w:p>
      <w:r>
        <w:t>[Diseño de la solución]</w:t>
        <w:br/>
        <w:t>[Dimensionamiento y presupuesto]</w:t>
        <w:br/>
        <w:t>[Aprobaciones]</w:t>
        <w:br/>
        <w:t>[DOU]</w:t>
        <w:br/>
        <w:t>[Referencias de solicitudes relacionadas]</w:t>
      </w:r>
    </w:p>
    <w:p>
      <w:r>
        <w:t>Gracias.</w:t>
        <w:br/>
        <w:t>[Nombre / equipo / contacto]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MongoDB Atlas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onboarding MongoDB Atlas para BHXW</dc:title>
  <dc:subject>Nombres propuestos, ticket y datos pendientes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