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.ttf" ContentType="application/x-font-ttf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 w:after="40"/>
        <w:jc w:val="center"/>
        <w:rPr>
          <w:color w:val="000000"/>
          <w:sz w:val="18.0"/>
        </w:rPr>
        <w:widowControl w:val="1"/>
      </w:pPr>
      <w:r>
        <w:rPr>
          <w:rFonts w:ascii="Aptos" w:hAnsi="Aptos"/>
          <w:b/>
          <w:color w:val="1F3A5F"/>
          <w:sz w:val="40"/>
        </w:rPr>
        <w:t>MongoDB Sizing Questionnaire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 w:after="40"/>
        <w:jc w:val="center"/>
        <w:rPr>
          <w:color w:val="000000"/>
          <w:sz w:val="18.0"/>
        </w:rPr>
        <w:widowControl w:val="1"/>
      </w:pPr>
      <w:r>
        <w:rPr>
          <w:rFonts w:ascii="Aptos" w:hAnsi="Aptos"/>
          <w:b/>
          <w:color w:val="CC092F"/>
          <w:sz w:val="22"/>
        </w:rPr>
        <w:t>TAPP | Actualización CCE 2027-2032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 w:after="180"/>
        <w:jc w:val="center"/>
        <w:rPr>
          <w:color w:val="000000"/>
          <w:sz w:val="18.0"/>
        </w:rPr>
        <w:widowControl w:val="1"/>
      </w:pPr>
      <w:r>
        <w:rPr>
          <w:rFonts w:ascii="Aptos" w:hAnsi="Aptos"/>
          <w:b w:val="0"/>
          <w:color w:val="5B6573"/>
          <w:sz w:val="17"/>
        </w:rPr>
        <w:t>Fecha de actualización: 1 de septiembre de 2026 | Estado: estimación para validación</w:t>
      </w:r>
    </w:p>
    <w:tbl>
      <w:tblPr>
        <w:tblStyle w:val="1836568"/>
        <w:tblW w:w="9240" w:type="dxa"/>
        <w:tblInd w:w="120" w:type="dxa"/>
        <w:tblLayout w:type="fixed"/>
        <w:tblLook w:val="00000600"/>
      </w:tblPr>
      <w:tblGrid>
        <w:gridCol w:w="4140"/>
        <w:gridCol w:w="5100"/>
      </w:tblGrid>
      <w:tr>
        <w:trPr>
          <w:cantSplit w:val="1"/>
          <w:tblHeader/>
        </w:trPr>
        <w:tc>
          <w:tcPr>
            <w:tcW w:w="51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1F3A5F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Cuestionario: preguntas y respuestas actualizadas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Cantidad total de datos (sin comprimir)? Expresado en GB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Con retención de 365 días y una proyección compacta de 3 KB: 60,9 GB (conservador) y 75,0 GB (optimista) para 2032. Con 20% para índices y 30% de holgura: 95 GB y 117 GB por nodo, respectivamente. Capacidad operativa sugerida para Fase 3: 150 GB por nodo, sin incluir backups ni oplog.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Tamaño promedio de un documento/registro escrito (bytes/KB/MB)?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Usar 3 KB como supuesto provisional para el documento BSON compacto. No usar 3 KB como máximo XML: ReqPay midió 2,18 KiB realista, 5,34 KiB conservador y 9,49 KiB en la muestra máxima, todos sin firma.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Tamaño promedio de un documento/registro leído (bytes/KB/MB)?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Usar 3 KB provisionalmente cuando la lectura devuelve la proyección compacta. Si la API retorna XML, dimensionar por endpoint y percentiles; RespListAccount crece con el número de cuentas y supera 3 KiB desde siete cuentas sin firma.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Duración del período pico de escritura/ingesta (horas/días/Segundos) 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Supuesto provisional: pico sostenido de 2 horas. La proyección solo entrega volumen mensual/anual; la duración y distribución horaria deben confirmarse con Negocio o mediante métricas productivas.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Número de documentos escritos por segundos/minuto/hora/día durante el período pico?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2032 conservador: 25,75 escrituras/s pico. 2032 optimista: 31,71 escrituras/s pico. Cálculo con cuatro eventos por transacción y factor pico 10x. Prueba objetivo: 40 escrituras/s; estrés: 80 escrituras/s.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Duración del período pico de lectura/consulta (segundos/minuto/horas/días)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Supuesto provisional: 2 horas diarias, alineadas al pico transaccional. Sustituir por la ventana real cuando se disponga de telemetría.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Número de documentos/filas leídos por segundos/minuto/hora/día durante el período pico?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Con tres consultas por transacción y el pico optimista 2032: 23,78 lecturas/s. Prueba objetivo: 30 lecturas/s; estrés: 60 lecturas/s. Resultado habitual: un documento por consulta de identidad.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Tamaño total del índice (KB/MB/GB) si aplica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Reservar inicialmente 20% del tamaño de datos: hasta 12,18 GB en el escenario conservador y 15 GB en el optimista para 2032. Validar con collStats y $indexStats usando datos BSON representativos.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Período de tiempo para datos activos (hot data) (</w:t>
            </w:r>
            <w:r w:rsidR="00000000" w:rsidDel="00000000" w:rsidRPr="00000000">
              <w:rPr>
                <w:b/>
                <w:rFonts w:ascii="Aptos" w:eastAsia="Lexend Deca" w:hAnsi="Aptos" w:cs="Lexend Deca"/>
                <w:i w:val="true"/>
                <w:color w:val="222222"/>
                <w:sz w:val="17"/>
                <w:vertAlign w:val="baseline"/>
              </w:rPr>
              <w:t xml:space="preserve">días</w:t>
            </w: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) {Si hay muchos datos, esto se vuelve más importante ya que controla la cantidad de memoria que se</w:t>
            </w: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 necesita}?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Hot data propuesto: 30 días. Retención total: 365 días mediante índice TTL.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% de consultas que son analíticas/rollups (</w:t>
            </w:r>
            <w:r w:rsidR="00000000" w:rsidDel="00000000" w:rsidRPr="00000000">
              <w:rPr>
                <w:rFonts w:ascii="Aptos" w:eastAsia="Lexend Deca Light Regular" w:hAnsi="Aptos" w:cs="Lexend Deca Light Regular"/>
                <w:b/>
                <w:color w:val="222222"/>
                <w:sz w:val="17"/>
                <w:vertAlign w:val="baseline"/>
              </w:rPr>
              <w:t xml:space="preserve">aggregation framework</w:t>
            </w: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) vs. búsquedas simples CRUD operations?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95% búsquedas simples/CRUD y 5% agregaciones o analítica.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Número promedio de filas/documentos en cada resultado de consulta? {predeterminado: 1}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Promedio: un documento MongoDB por consulta. La respuesta funcional ListAccount puede contener múltiples cuentas dentro del mismo mensaje XML.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Tiempo promedio de una sesión de usuario en la aplicación (minutos)? {predeterminado: 20 min}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Supuesto del cuestionario: 20 minutos. Para este microservicio backend son más relevantes el TPS, la concurrencia y las consultas por transacción.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¿Cómo se cargará la base de datos? ¿Con qué frecuencia? ¿Cuánto?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Carga continua desde Kafka mediante upsert idempotente. Volumen anual: 1,1-20,3 MM (conservador) y 2-25 MM (optimista) entre 2027 y 2032. Con cuatro eventos, estos aumentan las operaciones de actualización, no el número final de documentos consolidados.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¿Las transacciones tienen un SLA?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Sí, propuesto y pendiente de aprobación. Proyección Kafka-MongoDB: p95 &lt;= 500 ms y p99 &lt;= 1 000 ms en operación normal.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¿Existe algún SLA o expectativa de rendimiento específica que deba cumplirse? Expresado en milisegundos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Objetivos propuestos: lectura MongoDB/API p95 &lt;= 100 ms y p99 &lt;= 200 ms; upsert MongoDB p95 &lt;= 100 ms; proyección extremo a extremo p95 &lt;= 500 ms.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¿Las consultas son estáticas (definidas en el código de la aplicación) vs. ad-hoc (definidas por el</w:t>
            </w: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 usuario en tiempo de ejecución)? {relevante para casos de uso analíticos}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Consultas estáticas definidas en el código. No se prevén consultas ad-hoc de usuario sobre el read model transaccional.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Ventana de carga por lotes (Batch) o masiva (Bulk) (hora del día)?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No existe batch recurrente; la ingesta es continua. Para carga inicial o backfill se propone 00:00-04:00 (hora de Lima), con throttling y monitoreo del lag.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¿Existe una estrategia de archivamiento/purga de datos?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Purga automática mediante TTL a los 365 días desde completed_at. Si existe retención regulatoria adicional, archivar antes del vencimiento.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¿Estrategia de copia de seguridad esperada? (</w:t>
            </w:r>
            <w:r w:rsidR="00000000" w:rsidDel="00000000" w:rsidRPr="00000000">
              <w:rPr>
                <w:rFonts w:ascii="Aptos" w:eastAsia="Lexend Deca Light Regular" w:hAnsi="Aptos" w:cs="Lexend Deca Light Regular"/>
                <w:b/>
                <w:color w:val="222222"/>
                <w:sz w:val="17"/>
                <w:vertAlign w:val="baseline"/>
              </w:rPr>
              <w:t xml:space="preserve">none/snapshot/continuous</w:t>
            </w: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)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Producción: backup continuo/PITR más snapshot diario. RPO propuesto &lt;= 5 min y RTO propuesto &lt;= 60 min; pendiente de la política corporativa y validación oficial.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Enumere todos los entornos no productivos requeridos (Dev,staging,QA)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DEV, QA/SIT, UAT/Staging y Performance. DR forma parte de continuidad productiva.</w:t>
            </w:r>
          </w:p>
        </w:tc>
      </w:tr>
      <w:tr>
        <w:trPr>
          <w:cantSplit w:val="1"/>
        </w:trPr>
        <w:tc>
          <w:tcPr>
            <w:tcW w:w="41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2F4F6" w:val="clear" w:color="auto"/>
            <w:tcMar>
              <w:top w:w="100" w:type="dxa"/>
              <w:left w:w="90" w:type="dxa"/>
              <w:right w:w="90" w:type="dxa"/>
              <w:bottom w:w="100" w:type="dxa"/>
              <w:start w:w="120" w:type="dxa"/>
              <w:end w:w="12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0" w:after="0" w:line="252" w:lineRule="auto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Aptos" w:eastAsia="Lexend Deca Light Regular" w:hAnsi="Aptos" w:cs="Lexend Deca Light Regular"/>
                <w:b/>
                <w:i w:val="true"/>
                <w:color w:val="222222"/>
                <w:sz w:val="17"/>
                <w:vertAlign w:val="baseline"/>
              </w:rPr>
              <w:t xml:space="preserve">¿Cuáles son los requisitos de almacenamiento para las plataformas no productivas? En % respecto a producción</w:t>
            </w:r>
          </w:p>
        </w:tc>
        <w:tc>
          <w:tcPr>
            <w:tcW w:w="5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100" w:type="dxa"/>
              <w:left w:w="110" w:type="dxa"/>
              <w:right w:w="11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DEV: 10%; QA/SIT: 25%; UAT/Staging: 50%; Performance: 100% temporal durante campañas. Aplicar los porcentajes sobre la capacidad de la fase correspondiente.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  <w:r w:rsidR="00000000" w:rsidDel="00000000" w:rsidRPr="00000000">
        <w:rPr>
          <w:rFonts w:ascii="WordVisiCarriageReturn_MSFontService Regular" w:eastAsia="WordVisiCarriageReturn_MSFontService Regular" w:hAnsi="WordVisiCarriageReturn_MSFontService Regular" w:cs="WordVisiCarriageReturn_MSFontService Regular"/>
          <w:color w:val="000000"/>
          <w:sz w:val="22.0"/>
          <w:shd w:fill="FFFFFF" w:val="clear" w:color="auto"/>
          <w:vertAlign w:val="baseline"/>
        </w:rPr>
        <w:t xml:space="preserve"> </w:t>
      </w:r>
      <w:r w:rsidR="00000000" w:rsidDel="00000000" w:rsidRPr="00000000">
        <w:br w:type="line"/>
      </w:r>
      <w:r w:rsidR="00000000" w:rsidDel="00000000" w:rsidRPr="00000000">
        <w:rPr>
          <w:rFonts w:ascii="WordVisiCarriageReturn_MSFontService Regular" w:eastAsia="WordVisiCarriageReturn_MSFontService Regular" w:hAnsi="WordVisiCarriageReturn_MSFontService Regular" w:cs="WordVisiCarriageReturn_MSFontService Regular"/>
          <w:color w:val="000000"/>
          <w:sz w:val="22.0"/>
          <w:shd w:fill="FFFFFF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>
      <w:r>
        <w:br w:type="page"/>
      </w:r>
    </w:p>
    <w:p>
      <w:pPr>
        <w:keepNext/>
        <w:keepLines/>
        <w:spacing w:before="200" w:after="100"/>
        <w:ind w:left="0" w:right="0" w:firstLine="0"/>
        <w:outlineLvl w:val="0"/>
      </w:pPr>
      <w:r>
        <w:rPr>
          <w:rFonts w:ascii="Aptos" w:hAnsi="Aptos"/>
          <w:b/>
          <w:color w:val="1F3A5F"/>
          <w:sz w:val="30"/>
        </w:rPr>
        <w:t>Anexo 1. Resultado de la validación de tamaños XML</w:t>
      </w:r>
    </w:p>
    <w:tbl>
      <w:tblPr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tcMar>
              <w:top w:w="140" w:type="dxa"/>
              <w:start w:w="180" w:type="dxa"/>
              <w:bottom w:w="140" w:type="dxa"/>
              <w:end w:w="180" w:type="dxa"/>
            </w:tcMar>
            <w:shd w:fill="FCE8EC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color w:val="CC092F"/>
                <w:sz w:val="19"/>
              </w:rPr>
              <w:t xml:space="preserve">Conclusión: </w:t>
            </w:r>
            <w:r>
              <w:rPr>
                <w:rFonts w:ascii="Aptos" w:hAnsi="Aptos"/>
                <w:b w:val="0"/>
                <w:color w:val="222222"/>
                <w:sz w:val="19"/>
              </w:rPr>
              <w:t>3 KB puede representar un mensaje simple sin firma, pero no es un máximo válido para los XML. La muestra ReqPay poblada alcanzó 9,49 KiB sin firma y 11,71 KiB con firma dummy.</w:t>
            </w:r>
          </w:p>
        </w:tc>
      </w:tr>
    </w:tbl>
    <w:p>
      <w:pPr>
        <w:spacing w:after="0"/>
      </w:pPr>
    </w:p>
    <w:p>
      <w:pPr>
        <w:keepNext/>
        <w:keepLines/>
        <w:spacing w:before="140" w:after="100"/>
        <w:ind w:left="0" w:right="0" w:firstLine="0"/>
        <w:outlineLvl w:val="1"/>
      </w:pPr>
      <w:r>
        <w:rPr>
          <w:rFonts w:ascii="Aptos" w:hAnsi="Aptos"/>
          <w:b/>
          <w:color w:val="CC092F"/>
          <w:sz w:val="22"/>
        </w:rPr>
        <w:t>ReqPay</w:t>
      </w:r>
    </w:p>
    <w:tbl>
      <w:tblPr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1900"/>
        <w:gridCol w:w="3340"/>
      </w:tblGrid>
      <w:tr>
        <w:trPr>
          <w:tblHeader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Sin firma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 firma dummy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Evaluación de 3 KiB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Realista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2 227 B / 2,18 KiB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4 498 B / 4,39 KiB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Solo unsigned cabe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Conservador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5 467 B / 5,34 KiB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7 738 B / 7,56 KiB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No cabe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Máximo recibido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9 721 B / 9,49 KiB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11 992 B / 11,71 KiB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No cabe</w:t>
            </w:r>
          </w:p>
        </w:tc>
      </w:tr>
    </w:tbl>
    <w:p>
      <w:pPr>
        <w:spacing w:after="40"/>
      </w:pPr>
    </w:p>
    <w:p>
      <w:pPr>
        <w:keepNext/>
        <w:keepLines/>
        <w:spacing w:before="140" w:after="100"/>
        <w:ind w:left="0" w:right="0" w:firstLine="0"/>
        <w:outlineLvl w:val="1"/>
      </w:pPr>
      <w:r>
        <w:rPr>
          <w:rFonts w:ascii="Aptos" w:hAnsi="Aptos"/>
          <w:b/>
          <w:color w:val="CC092F"/>
          <w:sz w:val="22"/>
        </w:rPr>
        <w:t>RespListAccount</w:t>
      </w:r>
    </w:p>
    <w:tbl>
      <w:tblPr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900"/>
        <w:gridCol w:w="2000"/>
        <w:gridCol w:w="3940"/>
      </w:tblGrid>
      <w:tr>
        <w:trPr>
          <w:tblHeader/>
        </w:trP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Cuentas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Sin firma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 firma dummy</w:t>
            </w:r>
          </w:p>
        </w:tc>
        <w:tc>
          <w:tcPr>
            <w:tcW w:type="dxa" w:w="3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1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901 B / 0,88 KiB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3 172 B / 3,10 KiB</w:t>
            </w:r>
          </w:p>
        </w:tc>
        <w:tc>
          <w:tcPr>
            <w:tcW w:type="dxa" w:w="3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La firma supera 3 KiB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5 (muestra)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2 363 B / 2,31 KiB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4 634 B / 4,53 KiB</w:t>
            </w:r>
          </w:p>
        </w:tc>
        <w:tc>
          <w:tcPr>
            <w:tcW w:type="dxa" w:w="3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Evidencia original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7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3 397 B / 3,32 KiB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5 668 B / 5,54 KiB</w:t>
            </w:r>
          </w:p>
        </w:tc>
        <w:tc>
          <w:tcPr>
            <w:tcW w:type="dxa" w:w="3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Primer unsigned &gt; 3 KiB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10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4 645 B / 4,54 KiB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6 916 B / 6,75 KiB</w:t>
            </w:r>
          </w:p>
        </w:tc>
        <w:tc>
          <w:tcPr>
            <w:tcW w:type="dxa" w:w="3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Crecimiento lineal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20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8 805 B / 8,60 KiB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11 076 B / 10,82 KiB</w:t>
            </w:r>
          </w:p>
        </w:tc>
        <w:tc>
          <w:tcPr>
            <w:tcW w:type="dxa" w:w="3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Requiere mayor envolvente</w:t>
            </w:r>
          </w:p>
        </w:tc>
      </w:tr>
      <w:tr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50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21 285 B / 20,79 KiB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23 556 B / 23,00 KiB</w:t>
            </w:r>
          </w:p>
        </w:tc>
        <w:tc>
          <w:tcPr>
            <w:tcW w:type="dxa" w:w="3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32 KiB todavía lo cubre</w:t>
            </w:r>
          </w:p>
        </w:tc>
      </w:tr>
    </w:tbl>
    <w:p>
      <w:pPr>
        <w:spacing w:after="40"/>
      </w:pPr>
    </w:p>
    <w:p>
      <w:pPr>
        <w:spacing w:before="80" w:after="120"/>
      </w:pPr>
      <w:r>
        <w:rPr>
          <w:rFonts w:ascii="Aptos" w:hAnsi="Aptos"/>
          <w:b w:val="0"/>
          <w:color w:val="5B6573"/>
          <w:sz w:val="17"/>
        </w:rPr>
        <w:t>Nota metodológica: UTF-8 sin BOM y sin compresión. La firma XMLDSig agrega 2 271 bytes; sus valores son dummy y no tienen validez criptográfica. Todos los fixtures son XML bien formado.</w:t>
      </w:r>
    </w:p>
    <w:p>
      <w:r>
        <w:br w:type="page"/>
      </w:r>
    </w:p>
    <w:p>
      <w:pPr>
        <w:keepNext/>
        <w:keepLines/>
        <w:spacing w:before="200" w:after="100"/>
        <w:ind w:left="0" w:right="0" w:firstLine="0"/>
        <w:outlineLvl w:val="0"/>
      </w:pPr>
      <w:r>
        <w:rPr>
          <w:rFonts w:ascii="Aptos" w:hAnsi="Aptos"/>
          <w:b/>
          <w:color w:val="1F3A5F"/>
          <w:sz w:val="30"/>
        </w:rPr>
        <w:t>Anexo 2. Proyección volumétrica y capacidad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2324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tria-cce-2027-20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32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ptos" w:hAnsi="Aptos"/>
          <w:b w:val="0"/>
          <w:color w:val="5B6573"/>
          <w:sz w:val="16"/>
        </w:rPr>
        <w:t>Figura 1. Proyección volumétrica CCE revisada con el equipo.</w:t>
      </w:r>
    </w:p>
    <w:p>
      <w:pPr>
        <w:keepNext/>
        <w:keepLines/>
        <w:spacing w:before="140" w:after="100"/>
        <w:ind w:left="0" w:right="0" w:firstLine="0"/>
        <w:outlineLvl w:val="1"/>
      </w:pPr>
      <w:r>
        <w:rPr>
          <w:rFonts w:ascii="Aptos" w:hAnsi="Aptos"/>
          <w:b/>
          <w:color w:val="CC092F"/>
          <w:sz w:val="22"/>
        </w:rPr>
        <w:t>Throughput de diseño</w:t>
      </w:r>
    </w:p>
    <w:tbl>
      <w:tblPr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000"/>
        <w:gridCol w:w="1800"/>
        <w:gridCol w:w="2940"/>
      </w:tblGrid>
      <w:tr>
        <w:trPr>
          <w:tblHeader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Escenario 2032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Transacciones/año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TPS pico 10x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Escrituras/s pico (4 eventos)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Conservador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20,3 MM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6,44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25,75</w:t>
            </w:r>
          </w:p>
        </w:tc>
      </w:tr>
      <w:t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Optimista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25,0 MM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7,93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31,71</w:t>
            </w:r>
          </w:p>
        </w:tc>
      </w:tr>
    </w:tbl>
    <w:p>
      <w:pPr>
        <w:spacing w:after="40"/>
      </w:pPr>
    </w:p>
    <w:tbl>
      <w:tblPr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tcMar>
              <w:top w:w="140" w:type="dxa"/>
              <w:start w:w="180" w:type="dxa"/>
              <w:bottom w:w="140" w:type="dxa"/>
              <w:end w:w="180" w:type="dxa"/>
            </w:tcMar>
            <w:shd w:fill="E7F4EC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color w:val="207A4B"/>
                <w:sz w:val="19"/>
              </w:rPr>
              <w:t xml:space="preserve">Prueba recomendada: </w:t>
            </w:r>
            <w:r>
              <w:rPr>
                <w:rFonts w:ascii="Aptos" w:hAnsi="Aptos"/>
                <w:b w:val="0"/>
                <w:color w:val="222222"/>
                <w:sz w:val="19"/>
              </w:rPr>
              <w:t>40 escrituras/s y 30 lecturas/s como objetivo mínimo; 80 escrituras/s y 60 lecturas/s para estrés.</w:t>
            </w:r>
          </w:p>
        </w:tc>
      </w:tr>
    </w:tbl>
    <w:p>
      <w:pPr>
        <w:spacing w:after="0"/>
      </w:pPr>
    </w:p>
    <w:p>
      <w:pPr>
        <w:keepNext/>
        <w:keepLines/>
        <w:spacing w:before="140" w:after="100"/>
        <w:ind w:left="0" w:right="0" w:firstLine="0"/>
        <w:outlineLvl w:val="1"/>
      </w:pPr>
      <w:r>
        <w:rPr>
          <w:rFonts w:ascii="Aptos" w:hAnsi="Aptos"/>
          <w:b/>
          <w:color w:val="CC092F"/>
          <w:sz w:val="22"/>
        </w:rPr>
        <w:t>Almacenamiento por fase</w:t>
      </w:r>
    </w:p>
    <w:tbl>
      <w:tblPr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500"/>
        <w:gridCol w:w="1900"/>
        <w:gridCol w:w="2000"/>
        <w:gridCol w:w="2940"/>
      </w:tblGrid>
      <w:tr>
        <w:trPr>
          <w:tblHeader/>
        </w:trP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Horizonte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Optimista: datos a 3 KB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 índices + holgura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3A5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Capacidad sugerida/nodo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1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2027-2028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18,0 GB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28,08 GB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40 GB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2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2029-2030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45,0 GB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70,20 GB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100 GB</w:t>
            </w:r>
          </w:p>
        </w:tc>
      </w:tr>
      <w:tr>
        <w:tc>
          <w:tcPr>
            <w:tcW w:type="dxa" w:w="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FF6FB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222222"/>
                <w:sz w:val="17"/>
              </w:rPr>
            </w:r>
            <w:r>
              <w:rPr>
                <w:rFonts w:ascii="Aptos" w:hAnsi="Aptos"/>
                <w:b/>
                <w:color w:val="222222"/>
                <w:sz w:val="17"/>
              </w:rPr>
              <w:t>3</w:t>
            </w:r>
          </w:p>
        </w:tc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2031-2032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75,0 GB</w:t>
            </w:r>
          </w:p>
        </w:tc>
        <w:tc>
          <w:tcPr>
            <w:tcW w:type="dxa" w:w="2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117,00 GB</w:t>
            </w:r>
          </w:p>
        </w:tc>
        <w:tc>
          <w:tcPr>
            <w:tcW w:type="dxa" w:w="29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 w:val="0"/>
                <w:color w:val="222222"/>
                <w:sz w:val="17"/>
              </w:rPr>
            </w:r>
            <w:r>
              <w:rPr>
                <w:rFonts w:ascii="Aptos" w:hAnsi="Aptos"/>
                <w:b w:val="0"/>
                <w:color w:val="222222"/>
                <w:sz w:val="17"/>
              </w:rPr>
              <w:t>150 GB</w:t>
            </w:r>
          </w:p>
        </w:tc>
      </w:tr>
    </w:tbl>
    <w:p>
      <w:pPr>
        <w:spacing w:after="40"/>
      </w:pPr>
    </w:p>
    <w:p>
      <w:pPr>
        <w:spacing w:before="60" w:after="120"/>
      </w:pPr>
      <w:r>
        <w:rPr>
          <w:rFonts w:ascii="Aptos" w:hAnsi="Aptos"/>
          <w:b w:val="0"/>
          <w:color w:val="5B6573"/>
          <w:sz w:val="17"/>
        </w:rPr>
        <w:t>Supuestos: un documento consolidado por transacción, 3 000 bytes/documento, retención 365 días, 20% para índices y 30% de holgura. Oplog, backups y PITR no están incluidos.</w:t>
      </w:r>
    </w:p>
    <w:p>
      <w:pPr>
        <w:keepNext/>
        <w:keepLines/>
        <w:spacing w:before="140" w:after="100"/>
        <w:ind w:left="0" w:right="0" w:firstLine="0"/>
        <w:outlineLvl w:val="1"/>
      </w:pPr>
      <w:r>
        <w:rPr>
          <w:rFonts w:ascii="Aptos" w:hAnsi="Aptos"/>
          <w:b/>
          <w:color w:val="CC092F"/>
          <w:sz w:val="22"/>
        </w:rPr>
        <w:t>Decisiones pendientes</w:t>
      </w:r>
    </w:p>
    <w:tbl>
      <w:tblPr>
        <w:tblW w:type="dxa" w:w="9240"/>
        <w:tblLayout w:type="fixed"/>
        <w:tblLook w:firstColumn="1" w:firstRow="1" w:lastColumn="0" w:lastRow="0" w:noHBand="0" w:noVBand="1" w:val="04A0"/>
        <w:tblInd w:w="120" w:type="dxa"/>
      </w:tblPr>
      <w:tblGrid>
        <w:gridCol w:w="9240"/>
      </w:tblGrid>
      <w:tr>
        <w:tc>
          <w:tcPr>
            <w:tcW w:type="dxa" w:w="9240"/>
            <w:tcMar>
              <w:top w:w="140" w:type="dxa"/>
              <w:start w:w="180" w:type="dxa"/>
              <w:bottom w:w="140" w:type="dxa"/>
              <w:end w:w="180" w:type="dxa"/>
            </w:tcMar>
            <w:shd w:fill="F2F4F6"/>
          </w:tcPr>
          <w:p>
            <w:pPr>
              <w:spacing w:before="0" w:after="0" w:line="252" w:lineRule="auto"/>
            </w:pPr>
            <w:r/>
            <w:r>
              <w:rPr>
                <w:rFonts w:ascii="Aptos" w:hAnsi="Aptos"/>
                <w:b/>
                <w:color w:val="1F3A5F"/>
                <w:sz w:val="19"/>
              </w:rPr>
              <w:t xml:space="preserve">Por confirmar: </w:t>
            </w:r>
            <w:r>
              <w:rPr>
                <w:rFonts w:ascii="Aptos" w:hAnsi="Aptos"/>
                <w:b w:val="0"/>
                <w:color w:val="222222"/>
                <w:sz w:val="19"/>
              </w:rPr>
              <w:t>si MongoDB guarda XML crudo; la distribución BSON p50/p95/p99; eventos por transacción; factor y duración del pico; cuentas promedio/p95/máximo en ListAccount; y la aprobación oficial de retención, SLA, RPO y RTO.</w:t>
            </w:r>
          </w:p>
        </w:tc>
      </w:tr>
    </w:tbl>
    <w:p>
      <w:pPr>
        <w:spacing w:before="0" w:after="0" w:line="20" w:lineRule="exact"/>
      </w:pPr>
      <w:r>
        <w:rPr>
          <w:rFonts w:ascii="Aptos" w:hAnsi="Aptos"/>
          <w:b w:val="0"/>
          <w:vanish/>
          <w:color w:val="FFFFFF"/>
          <w:sz w:val="2"/>
        </w:rPr>
        <w:t xml:space="preserve"> 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continuous"/>
      <w:pgSz w:w="12240" w:orient="portrait" w:h="15840"/>
      <w:pgMar w:header="720" w:bottom="936" w:left="1440" w:right="1440" w:top="936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6229aa5-8518-022f-6169-1c44068ce577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  <w:jc w:val="center"/>
    </w:pPr>
    <w:r>
      <w:rPr>
        <w:rFonts w:ascii="Aptos" w:hAnsi="Aptos"/>
        <w:b w:val="0"/>
        <w:color w:val="5B6573"/>
        <w:sz w:val="16"/>
      </w:rPr>
      <w:t>TAPP | MongoDB Sizing | Actualización 2027-2032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8309767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052433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027722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68481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2408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66260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45213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500926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63399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372662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39524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43748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062848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021409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080406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354121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89994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769981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309677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4304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08674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6717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76305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452391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33087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662850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766056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72836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371934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47200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22233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63318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6771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95849159">
    <w:abstractNumId w:val="17660567"/>
  </w:num>
  <w:num w:numId="47168346">
    <w:abstractNumId w:val="78677187"/>
  </w:num>
  <w:num w:numId="79032629">
    <w:abstractNumId w:val="65671738"/>
  </w:num>
  <w:num w:numId="44448080">
    <w:abstractNumId w:val="25009268"/>
  </w:num>
  <w:num w:numId="32066419">
    <w:abstractNumId w:val="99633996"/>
  </w:num>
  <w:num w:numId="62374340">
    <w:abstractNumId w:val="67630537"/>
  </w:num>
  <w:num w:numId="79937027">
    <w:abstractNumId w:val="63096772"/>
  </w:num>
  <w:num w:numId="11630199">
    <w:abstractNumId w:val="83097679"/>
  </w:num>
  <w:num w:numId="40115679">
    <w:abstractNumId w:val="70524335"/>
  </w:num>
  <w:num w:numId="79803303">
    <w:abstractNumId w:val="86628504"/>
  </w:num>
  <w:num w:numId="48795298">
    <w:abstractNumId w:val="60277226"/>
  </w:num>
  <w:num w:numId="30597607">
    <w:abstractNumId w:val="81662607"/>
  </w:num>
  <w:num w:numId="69576116">
    <w:abstractNumId w:val="57330875"/>
  </w:num>
  <w:num w:numId="61738361">
    <w:abstractNumId w:val="78240830"/>
  </w:num>
  <w:num w:numId="54472885">
    <w:abstractNumId w:val="52223345"/>
  </w:num>
  <w:num w:numId="79098819">
    <w:abstractNumId w:val="99728361"/>
  </w:num>
  <w:num w:numId="18899098">
    <w:abstractNumId w:val="74523917"/>
  </w:num>
  <w:num w:numId="41408476">
    <w:abstractNumId w:val="12452132"/>
  </w:num>
  <w:num w:numId="49468918">
    <w:abstractNumId w:val="30804063"/>
  </w:num>
  <w:num w:numId="64691478">
    <w:abstractNumId w:val="34374807"/>
  </w:num>
  <w:num w:numId="36328719">
    <w:abstractNumId w:val="50628485"/>
  </w:num>
  <w:num w:numId="65014680">
    <w:abstractNumId w:val="57699814"/>
  </w:num>
  <w:num w:numId="16194171">
    <w:abstractNumId w:val="76848130"/>
  </w:num>
  <w:num w:numId="56581221">
    <w:abstractNumId w:val="53541210"/>
  </w:num>
  <w:num w:numId="81860605">
    <w:abstractNumId w:val="71395248"/>
  </w:num>
  <w:num w:numId="89596432">
    <w:abstractNumId w:val="33726624"/>
  </w:num>
  <w:num w:numId="43534959">
    <w:abstractNumId w:val="18472004"/>
  </w:num>
  <w:num w:numId="98868682">
    <w:abstractNumId w:val="17899940"/>
  </w:num>
  <w:num w:numId="34873381">
    <w:abstractNumId w:val="78633183"/>
  </w:num>
  <w:num w:numId="15779394">
    <w:abstractNumId w:val="40867490"/>
  </w:num>
  <w:num w:numId="71624180">
    <w:abstractNumId w:val="53719343"/>
  </w:num>
  <w:num w:numId="40751562">
    <w:abstractNumId w:val="46430407"/>
  </w:num>
  <w:num w:numId="49287490">
    <w:abstractNumId w:val="8021409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table" w:styleId="1836568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86229aa5-8518-022f-6169-1c44068ce577" Type="http://schemas.openxmlformats.org/officeDocument/2006/relationships/font" Target="fonts/Roboto.ttf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MongoDB Sizing Questionnaire - TAPP - Actualizado 2027-2032</dc:title>
  <cp:lastModifiedBy>TAPP Architecture</cp:lastModifiedBy>
  <cp:revision>1</cp:revision>
  <dcterms:modified xsi:type="dcterms:W3CDTF">2026-09-01T16:18:21Z</dcterms:modified>
  <dc:subject>Sizing MongoDB, volumetría CCE y prueba de tamaños XML</dc:subject>
  <dc:creator>TAPP Architecture</dc:creator>
</cp:coreProperties>
</file>