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18.0"/>
        </w:rPr>
        <w:widowControl w:val="1"/>
      </w:pPr>
      <w:r w:rsidR="00000000" w:rsidDel="00000000" w:rsidRPr="00000000">
        <w:rPr>
          <w:rFonts w:ascii="Noto Serif JP Regular" w:eastAsia="Noto Serif JP Regular" w:hAnsi="Noto Serif JP Regular" w:cs="Noto Serif JP Regular"/>
          <w:color w:val="000000"/>
          <w:sz w:val="48.0"/>
          <w:shd w:fill="FFFFFF" w:val="clear" w:color="auto"/>
          <w:vertAlign w:val="baseline"/>
        </w:rPr>
        <w:t xml:space="preserve">MongoDB Sizing Questionnaire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18.0"/>
        </w:rPr>
        <w:widowControl w:val="1"/>
      </w:pPr>
      <w:r w:rsidR="00000000" w:rsidDel="00000000" w:rsidRPr="00000000">
        <w:rPr>
          <w:rFonts w:ascii="Lexend Deca Medium Regular" w:eastAsia="Lexend Deca Medium Regular" w:hAnsi="Lexend Deca Medium Regular" w:cs="Lexend Deca Medium Regular"/>
          <w:color w:val="00684A"/>
          <w:sz w:val="30.0"/>
          <w:shd w:fill="FFFFFF" w:val="clear" w:color="auto"/>
          <w:vertAlign w:val="baseline"/>
        </w:rPr>
        <w:t xml:space="preserve">TAPP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18.0"/>
        </w:rPr>
        <w:widowControl w:val="1"/>
      </w:pPr>
    </w:p>
    <w:tbl>
      <w:tblPr>
        <w:tblStyle w:val="1836568"/>
        <w:tblW w:w="9360" w:type="dxa"/>
        <w:tblInd w:w="0" w:type="dxa"/>
        <w:tblLayout w:type="fixed"/>
        <w:tblLook w:val="00000600"/>
      </w:tblPr>
      <w:tblGrid>
        <w:gridCol w:w="4680"/>
        <w:gridCol w:w="4680"/>
      </w:tblGrid>
      <w:tr>
        <w:trPr>
          <w:cantSplit w:val="1"/>
        </w:trPr>
        <w:tc>
          <w:tcPr>
            <w:tcW w:w="936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Datos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Cantidad total de datos (sin comprimir)? Expresado en GB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2032: 60,9 GB conservador y 75,0 GB optimista sin comprimir.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Con 20% de índices y 30% de holgura: 95-117 GB por nodo. Sugerido Fase 3: 150 GB/nodo.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Tamaño promedio de un documento/registro escrito (bytes/KB/MB)?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Proyección BSON compacta: usar 3 KB provisionalmente.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No es máximo XML: ReqPay mide 2,18 KiB realista, 5,34 KiB conservador y 9,49 KiB máximo sin firma.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Tamaño promedio de un documento/registro leído (bytes/KB/MB)?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Proyección compacta leída: usar 3 KB provisionalmente.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RespListAccount: 2,31 KiB con 5 cuentas; supera 3 KiB desde 7 cuentas sin firma.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Duración del período pico de escritura/ingesta (horas/días/Segundos) 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Supuesto preliminar: 2 horas diarias de pico.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Pendiente de confirmar con la distribución horaria real.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Número de documentos escritos por segundos/minuto/hora/día durante el período pico?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Pico 2032: 25,75 escrituras/s conservador y 31,71 optimista.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Supone 4 eventos/transacción y factor 10x. Prueba: 40 escrituras/s; estrés: 80/s.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Duración del período pico de lectura/consulta (segundos/minuto/horas/días)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Supuesto preliminar: 2 horas diarias, alineadas al pico transaccional.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Número de documentos/filas leídos por segundos/minuto/hora/día durante el período pico?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Con 3 consultas/transacción: pico optimista 23,78 lecturas/s.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Prueba recomendada: 30 lecturas/s; estrés: 60/s.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Tamaño total del índice (KB/MB/GB) si aplica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Reserva inicial: 20% de los datos.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2032: 12,18 GB conservador y 15 GB optimista. Validar con collStats y $indexStats.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Período de tiempo para datos activos (hot data) (</w:t>
            </w:r>
            <w:r w:rsidR="00000000" w:rsidDel="00000000" w:rsidRPr="00000000">
              <w:rPr>
                <w:b w:val="true"/>
                <w:rFonts w:ascii="Lexend Deca" w:eastAsia="Lexend Deca" w:hAnsi="Lexend Deca" w:cs="Lexend Deca"/>
                <w:i w:val="true"/>
                <w:color w:val="000000"/>
                <w:sz w:val="22.0"/>
                <w:vertAlign w:val="baseline"/>
              </w:rPr>
              <w:t xml:space="preserve">días</w:t>
            </w: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) {Si hay muchos datos, esto se vuelve más importante ya que controla la cantidad de memoria que se</w:t>
            </w: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 necesita}?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Hot data propuesto: 30 días.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Retención total: 365 días mediante TTL.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% de consultas que son analíticas/rollups (</w:t>
            </w: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color w:val="000000"/>
                <w:sz w:val="22.0"/>
                <w:vertAlign w:val="baseline"/>
              </w:rPr>
              <w:t xml:space="preserve">aggregation framework</w:t>
            </w: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) vs. búsquedas simples CRUD operations?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95% consultas CRUD o búsquedas puntuales; 5% agregaciones/analítica.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Número promedio de filas/documentos en cada resultado de consulta? {predeterminado: 1}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Promedio: 1 documento por consulta.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ListAccount puede contener varias cuentas dentro de una respuesta XML.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Tiempo promedio de una sesión de usuario en la aplicación (minutos)? {predeterminado: 20 min}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Supuesto del cuestionario: 20 minutos.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Para el backend son más relevantes concurrencia y solicitudes por segundo.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¿Cómo se cargará la base de datos? ¿Con qué frecuencia? ¿Cuánto?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Carga continua desde Kafka mediante upsert idempotente.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Volumen anual 2027-2032: 1,1-20,3 MM conservador y 2-25 MM optimista.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¿Las transacciones tienen un SLA?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Sí, propuesto y pendiente de aprobación.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Proyección Kafka-MongoDB: p95 &lt;= 500 ms; p99 &lt;= 1 000 ms.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¿Existe algún SLA o expectativa de rendimiento específica que deba cumplirse? Expresado en milisegundos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Lectura API p95 &lt;= 100 ms; p99 &lt;= 200 ms; upsert p95 &lt;= 100 ms.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Proyección extremo a extremo p95 &lt;= 500 ms.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¿Las consultas son estáticas (definidas en el código de la aplicación) vs. ad-hoc (definidas por el</w:t>
            </w: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 usuario en tiempo de ejecución)? {relevante para casos de uso analíticos}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Estáticas y definidas en el código de la aplicación.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No se prevén consultas ad-hoc de usuario.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Ventana de carga por lotes (Batch) o masiva (Bulk) (hora del día)?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No existe batch recurrente; la ingesta es continua.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Carga inicial/backfill propuesta: 00:00-04:00, hora de Lima.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¿Existe una estrategia de archivamiento/purga de datos?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Purga automática mediante TTL a los 365 días desde completed_at.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Si se requiere mayor retención, archivar antes del vencimiento.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¿Estrategia de copia de seguridad esperada? (</w:t>
            </w: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color w:val="000000"/>
                <w:sz w:val="22.0"/>
                <w:vertAlign w:val="baseline"/>
              </w:rPr>
              <w:t xml:space="preserve">none/snapshot/continuous</w:t>
            </w: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vertAlign w:val="baseline"/>
              </w:rPr>
              <w:t xml:space="preserve">)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Producción: continuous backup/PITR más snapshot diario.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RPO propuesto &lt;= 5 min; RTO &lt;= 60 min. Pendiente de aprobación.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shd w:fill="FFFF00" w:val="clear" w:color="auto"/>
                <w:vertAlign w:val="baseline"/>
              </w:rPr>
              <w:t xml:space="preserve">Enumere todos los entornos no productivos requeridos (Dev,staging,QA)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DEV, QA/SIT, UAT/Staging y Performance.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DR se considera parte de la continuidad productiva.</w:t>
            </w:r>
          </w:p>
        </w:tc>
      </w:tr>
      <w:tr>
        <w:trPr>
          <w:cantSplit w:val="1"/>
        </w:trPr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75" w:type="dxa"/>
              <w:left w:w="90" w:type="dxa"/>
              <w:right w:w="90" w:type="dxa"/>
              <w:bottom w:w="75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pStyle w:val="Normal"/>
              <w:spacing w:before="240.0"/>
              <w:rPr>
                <w:color w:val="000000"/>
                <w:sz w:val="24.0"/>
              </w:rPr>
              <w:widowControl w:val="1"/>
            </w:pPr>
            <w:r w:rsidR="00000000" w:rsidDel="00000000" w:rsidRPr="00000000">
              <w:rPr>
                <w:rFonts w:ascii="Lexend Deca Light Regular" w:eastAsia="Lexend Deca Light Regular" w:hAnsi="Lexend Deca Light Regular" w:cs="Lexend Deca Light Regular"/>
                <w:i w:val="true"/>
                <w:color w:val="000000"/>
                <w:sz w:val="22.0"/>
                <w:shd w:fill="FFFF00" w:val="clear" w:color="auto"/>
                <w:vertAlign w:val="baseline"/>
              </w:rPr>
              <w:t xml:space="preserve">¿Cuáles son los requisitos de almacenamiento para las plataformas no productivas? En % respecto a producción</w:t>
            </w:r>
          </w:p>
        </w:tc>
        <w:tc>
          <w:tcPr>
            <w:tcW w:w="46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 w:val="clear" w:color="auto"/>
            <w:tcMar>
              <w:top w:w="90" w:type="dxa"/>
              <w:left w:w="110" w:type="dxa"/>
              <w:right w:w="110" w:type="dxa"/>
              <w:bottom w:w="90" w:type="dxa"/>
            </w:tcMar>
            <w:vAlign w:val="center"/>
          </w:tcPr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DEV: 10%; QA/SIT: 25%; UAT/Staging: 50%.</w:t>
            </w:r>
          </w:p>
          <w:p>
            <w:pPr>
              <w:spacing w:before="0" w:after="60" w:line="240" w:lineRule="auto"/>
              <w:keepLines w:val="1"/>
            </w:pPr>
            <w:r>
              <w:rPr>
                <w:rFonts w:ascii="Arial" w:hAnsi="Arial" w:eastAsia="Arial" w:cs="Arial"/>
                <w:color w:val="263238"/>
                <w:sz w:val="18"/>
                <w:szCs w:val="18"/>
                <w:lang w:val="es-PE"/>
              </w:rPr>
              <w:t>Performance: 100% temporal durante campañas de prueba.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18.0"/>
        </w:rPr>
        <w:widowControl w:val="1"/>
      </w:pPr>
      <w:r w:rsidR="00000000" w:rsidDel="00000000" w:rsidRPr="00000000">
        <w:rPr>
          <w:rFonts w:ascii="WordVisiCarriageReturn_MSFontService Regular" w:eastAsia="WordVisiCarriageReturn_MSFontService Regular" w:hAnsi="WordVisiCarriageReturn_MSFontService Regular" w:cs="WordVisiCarriageReturn_MSFontService Regular"/>
          <w:color w:val="000000"/>
          <w:sz w:val="22.0"/>
          <w:shd w:fill="FFFFFF" w:val="clear" w:color="auto"/>
          <w:vertAlign w:val="baseline"/>
        </w:rPr>
        <w:t xml:space="preserve"> </w:t>
      </w:r>
      <w:r w:rsidR="00000000" w:rsidDel="00000000" w:rsidRPr="00000000">
        <w:br w:type="line"/>
      </w:r>
      <w:r w:rsidR="00000000" w:rsidDel="00000000" w:rsidRPr="00000000">
        <w:rPr>
          <w:rFonts w:ascii="WordVisiCarriageReturn_MSFontService Regular" w:eastAsia="WordVisiCarriageReturn_MSFontService Regular" w:hAnsi="WordVisiCarriageReturn_MSFontService Regular" w:cs="WordVisiCarriageReturn_MSFontService Regular"/>
          <w:color w:val="000000"/>
          <w:sz w:val="22.0"/>
          <w:shd w:fill="FFFFFF" w:val="clear" w:color="auto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86229aa5-8518-022f-6169-1c44068ce577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8309767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0524335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6027722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684813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824083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166260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2452132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2500926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9633996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3372662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1395248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34374807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5062848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0214097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30804063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5354121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7899940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5769981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3096772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6430407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4086749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567173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763053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452391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733087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6628504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1766056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972836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371934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847200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222334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863318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867718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num w:numId="95849159">
    <w:abstractNumId w:val="17660567"/>
  </w:num>
  <w:num w:numId="47168346">
    <w:abstractNumId w:val="78677187"/>
  </w:num>
  <w:num w:numId="79032629">
    <w:abstractNumId w:val="65671738"/>
  </w:num>
  <w:num w:numId="44448080">
    <w:abstractNumId w:val="25009268"/>
  </w:num>
  <w:num w:numId="32066419">
    <w:abstractNumId w:val="99633996"/>
  </w:num>
  <w:num w:numId="62374340">
    <w:abstractNumId w:val="67630537"/>
  </w:num>
  <w:num w:numId="79937027">
    <w:abstractNumId w:val="63096772"/>
  </w:num>
  <w:num w:numId="11630199">
    <w:abstractNumId w:val="83097679"/>
  </w:num>
  <w:num w:numId="40115679">
    <w:abstractNumId w:val="70524335"/>
  </w:num>
  <w:num w:numId="79803303">
    <w:abstractNumId w:val="86628504"/>
  </w:num>
  <w:num w:numId="48795298">
    <w:abstractNumId w:val="60277226"/>
  </w:num>
  <w:num w:numId="30597607">
    <w:abstractNumId w:val="81662607"/>
  </w:num>
  <w:num w:numId="69576116">
    <w:abstractNumId w:val="57330875"/>
  </w:num>
  <w:num w:numId="61738361">
    <w:abstractNumId w:val="78240830"/>
  </w:num>
  <w:num w:numId="54472885">
    <w:abstractNumId w:val="52223345"/>
  </w:num>
  <w:num w:numId="79098819">
    <w:abstractNumId w:val="99728361"/>
  </w:num>
  <w:num w:numId="18899098">
    <w:abstractNumId w:val="74523917"/>
  </w:num>
  <w:num w:numId="41408476">
    <w:abstractNumId w:val="12452132"/>
  </w:num>
  <w:num w:numId="49468918">
    <w:abstractNumId w:val="30804063"/>
  </w:num>
  <w:num w:numId="64691478">
    <w:abstractNumId w:val="34374807"/>
  </w:num>
  <w:num w:numId="36328719">
    <w:abstractNumId w:val="50628485"/>
  </w:num>
  <w:num w:numId="65014680">
    <w:abstractNumId w:val="57699814"/>
  </w:num>
  <w:num w:numId="16194171">
    <w:abstractNumId w:val="76848130"/>
  </w:num>
  <w:num w:numId="56581221">
    <w:abstractNumId w:val="53541210"/>
  </w:num>
  <w:num w:numId="81860605">
    <w:abstractNumId w:val="71395248"/>
  </w:num>
  <w:num w:numId="89596432">
    <w:abstractNumId w:val="33726624"/>
  </w:num>
  <w:num w:numId="43534959">
    <w:abstractNumId w:val="18472004"/>
  </w:num>
  <w:num w:numId="98868682">
    <w:abstractNumId w:val="17899940"/>
  </w:num>
  <w:num w:numId="34873381">
    <w:abstractNumId w:val="78633183"/>
  </w:num>
  <w:num w:numId="15779394">
    <w:abstractNumId w:val="40867490"/>
  </w:num>
  <w:num w:numId="71624180">
    <w:abstractNumId w:val="53719343"/>
  </w:num>
  <w:num w:numId="40751562">
    <w:abstractNumId w:val="46430407"/>
  </w:num>
  <w:num w:numId="49287490">
    <w:abstractNumId w:val="80214097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text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text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text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text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  <w:style w:type="table" w:styleId="1836568">
    <w:uiPriority w:val="1"/>
    <w:tblPr>
      <w:tbl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blBorders>
    </w:tblPr>
    <w:tcPr>
      <w:tcBorders>
        <w:top w:val="single" w:color="000000" w:sz="6"/>
        <w:left w:val="single" w:color="000000" w:sz="6"/>
        <w:bottom w:val="single" w:color="000000" w:sz="6"/>
        <w:right w:val="single" w:color="000000" w:sz="6"/>
        <w:insideH w:val="single" w:color="000000" w:sz="6"/>
        <w:insideV w:val="single" w:color="000000" w:sz="6"/>
      </w:tcBorders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header1.xml" Type="http://schemas.openxmlformats.org/officeDocument/2006/relationships/header" /><Relationship Id="rId7" Target="footer2.xml" Type="http://schemas.openxmlformats.org/officeDocument/2006/relationships/footer" /></Relationships>
</file>

<file path=word/_rels/fontTable.xml.rels><?xml version='1.0' encoding='UTF-8' ?><Relationships xmlns="http://schemas.openxmlformats.org/package/2006/relationships"><Relationship Id="rId86229aa5-8518-022f-6169-1c44068ce577" Target="fonts/Roboto.ttf" Type="http://schemas.openxmlformats.org/officeDocument/2006/relationships/font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