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  <w:r w:rsidR="00000000" w:rsidDel="00000000" w:rsidRPr="00000000">
        <w:rPr>
          <w:rFonts w:ascii="Noto Serif JP Regular" w:eastAsia="Noto Serif JP Regular" w:hAnsi="Noto Serif JP Regular" w:cs="Noto Serif JP Regular"/>
          <w:color w:val="000000"/>
          <w:sz w:val="48.0"/>
          <w:shd w:fill="FFFFFF" w:val="clear" w:color="auto"/>
          <w:vertAlign w:val="baseline"/>
        </w:rPr>
        <w:t xml:space="preserve">MongoDB Sizing Questionnaire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  <w:r w:rsidR="00000000" w:rsidDel="00000000" w:rsidRPr="00000000">
        <w:rPr>
          <w:rFonts w:ascii="Lexend Deca Medium Regular" w:eastAsia="Lexend Deca Medium Regular" w:hAnsi="Lexend Deca Medium Regular" w:cs="Lexend Deca Medium Regular"/>
          <w:color w:val="00684A"/>
          <w:sz w:val="30.0"/>
          <w:shd w:fill="FFFFFF" w:val="clear" w:color="auto"/>
          <w:vertAlign w:val="baseline"/>
        </w:rPr>
        <w:t xml:space="preserve">TAPP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</w:p>
    <w:tbl>
      <w:tblPr>
        <w:tblStyle w:val="1836568"/>
        <w:tblW w:w="9360" w:type="dxa"/>
        <w:tblInd w:w="0" w:type="dxa"/>
        <w:tblLayout w:type="fixed"/>
        <w:tblLook w:val="00000600"/>
      </w:tblPr>
      <w:tblGrid>
        <w:gridCol w:w="4680"/>
        <w:gridCol w:w="4680"/>
      </w:tblGrid>
      <w:tr>
        <w:trPr>
          <w:cantSplit w:val="1"/>
        </w:trPr>
        <w:tc>
          <w:tcPr>
            <w:tcW w:w="936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Datos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Cantidad total de datos (sin comprimir)? Expresado en GB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Estimación preliminar: 4,8-7,2 GB/año sin comprimir.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Con índices y 30% de margen: 8-11 GB. Capacidad inicial sugerida: 20 GB por nodo.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Tamaño promedio de un documento/registro escrito (bytes/KB/MB)?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Promedio estimado: 2 KB por documento.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Usar 3 KB como valor conservador para dimensionamiento.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Tamaño promedio de un documento/registro leído (bytes/KB/MB)?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Promedio estimado: 2 KB por documento leído.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Usar 3 KB como valor conservador.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Duración del período pico de escritura/ingesta (horas/días/Segundos) 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Supuesto preliminar: 2 horas diarias de pico.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Pendiente de confirmar con métricas reales.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Número de documentos escritos por segundos/minuto/hora/día durante el período pico?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Promedio de documentos nuevos: 0,077/s; 4,6/min; 278/h; 6 667/día.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Con 4 eventos/transacción y factor pico 10x: ~3,1 upserts/s; 185/min; 11 100/h. Prueba mínima: 5 escrituras/s.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Duración del período pico de lectura/consulta (segundos/minuto/horas/días)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Supuesto preliminar: 2 horas diarias, alineadas al pico transaccional.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Número de documentos/filas leídos por segundos/minuto/hora/día durante el período pico?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Estimación pico: ~3 documentos/s; 180/min; 10 800/h.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Prueba mínima recomendada: 5 lecturas/s.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Tamaño total del índice (KB/MB/GB) si aplica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Estimación: 0,5-1 GB para 2,4 millones de documentos.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Incluye un índice único compuesto y un índice TTL.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Período de tiempo para datos activos (hot data) (</w:t>
            </w:r>
            <w:r w:rsidR="00000000" w:rsidDel="00000000" w:rsidRPr="00000000">
              <w:rPr>
                <w:b w:val="true"/>
                <w:rFonts w:ascii="Lexend Deca" w:eastAsia="Lexend Deca" w:hAnsi="Lexend Deca" w:cs="Lexend Deca"/>
                <w:i w:val="true"/>
                <w:color w:val="000000"/>
                <w:sz w:val="22.0"/>
                <w:vertAlign w:val="baseline"/>
              </w:rPr>
              <w:t xml:space="preserve">días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) {Si hay muchos datos, esto se vuelve más importante ya que controla la cantidad de memoria que se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 necesita}?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Hot data propuesto: 30 días.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Retención total: 365 días mediante TTL.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% de consultas que son analíticas/rollups (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color w:val="000000"/>
                <w:sz w:val="22.0"/>
                <w:vertAlign w:val="baseline"/>
              </w:rPr>
              <w:t xml:space="preserve">aggregation framework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) vs. búsquedas simples CRUD operations?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95% consultas CRUD o búsquedas puntuales; 5% agregaciones/analítica.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Número promedio de filas/documentos en cada resultado de consulta? {predeterminado: 1}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Promedio: 1 documento por consulta.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Un ListAccount puede contener varias cuentas dentro de la respuesta funcional.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Tiempo promedio de una sesión de usuario en la aplicación (minutos)? {predeterminado: 20 min}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Supuesto preliminar: 20 minutos.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Para el backend son más relevantes concurrencia y solicitudes por segundo.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¿Cómo se cargará la base de datos? ¿Con qué frecuencia? ¿Cuánto?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Carga continua desde Kafka mediante upsert idempotente.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200 000 documentos nuevos/mes; ~800 000 actualizaciones/mes si existen 4 eventos por transacción. Backfill inicial: una vez.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¿Las transacciones tienen un SLA?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Sí, propuesto y pendiente de aprobación.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Proyección Kafka-MongoDB: p95 &lt;= 500 ms; p99 &lt;= 1 000 ms.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¿Existe algún SLA o expectativa de rendimiento específica que deba cumplirse? Expresado en milisegundos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Objetivos propuestos: lectura MongoDB/API p95 &lt;= 100 ms y p99 &lt;= 200 ms; escritura MongoDB p95 &lt;= 100 ms; proyección extremo a extremo p95 &lt;= 500 ms.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¿Las consultas son estáticas (definidas en el código de la aplicación) vs. ad-hoc (definidas por el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 usuario en tiempo de ejecución)? {relevante para casos de uso analíticos}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Estáticas y definidas en el código de la aplicación.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No se prevén consultas ad-hoc de usuario.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Ventana de carga por lotes (Batch) o masiva (Bulk) (hora del día)?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No existe batch recurrente; la ingesta es continua.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Para carga inicial/backfill se propone 00:00-04:00, hora de Lima.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¿Existe una estrategia de archivamiento/purga de datos?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Sí. Purga automática mediante TTL a los 365 días desde completed_at.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Si se requiere mayor retención, archivar antes del vencimiento.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¿Estrategia de copia de seguridad esperada? (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color w:val="000000"/>
                <w:sz w:val="22.0"/>
                <w:vertAlign w:val="baseline"/>
              </w:rPr>
              <w:t xml:space="preserve">none/snapshot/continuous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)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Producción: continuous backup/PITR más snapshots diarios.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RPO propuesto &lt;= 5 min; RTO propuesto &lt;= 60 min. Pendiente de política corporativa.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shd w:fill="FFFF00" w:val="clear" w:color="auto"/>
                <w:vertAlign w:val="baseline"/>
              </w:rPr>
              <w:t xml:space="preserve">Enumere todos los entornos no productivos requeridos (Dev,staging,QA)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DEV, QA/SIT, UAT/Staging y Performance.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Disaster Recovery se considera parte de la continuidad productiva.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shd w:fill="FFFF00" w:val="clear" w:color="auto"/>
                <w:vertAlign w:val="baseline"/>
              </w:rPr>
              <w:t xml:space="preserve">¿Cuáles son los requisitos de almacenamiento para las plataformas no productivas? En % respecto a producción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 xml:space="preserve">DEV: 10%; QA/SIT: 25%; UAT/Staging: 50%; Performance: 100% temporalmente durante las pruebas.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  <w:r w:rsidR="00000000" w:rsidDel="00000000" w:rsidRPr="00000000">
        <w:rPr>
          <w:rFonts w:ascii="WordVisiCarriageReturn_MSFontService Regular" w:eastAsia="WordVisiCarriageReturn_MSFontService Regular" w:hAnsi="WordVisiCarriageReturn_MSFontService Regular" w:cs="WordVisiCarriageReturn_MSFontService Regular"/>
          <w:color w:val="000000"/>
          <w:sz w:val="22.0"/>
          <w:shd w:fill="FFFFFF" w:val="clear" w:color="auto"/>
          <w:vertAlign w:val="baseline"/>
        </w:rPr>
        <w:t xml:space="preserve"> </w:t>
      </w:r>
      <w:r w:rsidR="00000000" w:rsidDel="00000000" w:rsidRPr="00000000">
        <w:br w:type="line"/>
      </w:r>
      <w:r w:rsidR="00000000" w:rsidDel="00000000" w:rsidRPr="00000000">
        <w:rPr>
          <w:rFonts w:ascii="WordVisiCarriageReturn_MSFontService Regular" w:eastAsia="WordVisiCarriageReturn_MSFontService Regular" w:hAnsi="WordVisiCarriageReturn_MSFontService Regular" w:cs="WordVisiCarriageReturn_MSFontService Regular"/>
          <w:color w:val="000000"/>
          <w:sz w:val="22.0"/>
          <w:shd w:fill="FFFFFF" w:val="clear" w:color="auto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86229aa5-8518-022f-6169-1c44068ce577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8309767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052433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027722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68481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2408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66260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45213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500926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63399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372662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39524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43748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062848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021409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080406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354121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89994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769981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309677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4304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086749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67173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76305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452391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33087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662850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766056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72836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371934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47200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22233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63318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6771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95849159">
    <w:abstractNumId w:val="17660567"/>
  </w:num>
  <w:num w:numId="47168346">
    <w:abstractNumId w:val="78677187"/>
  </w:num>
  <w:num w:numId="79032629">
    <w:abstractNumId w:val="65671738"/>
  </w:num>
  <w:num w:numId="44448080">
    <w:abstractNumId w:val="25009268"/>
  </w:num>
  <w:num w:numId="32066419">
    <w:abstractNumId w:val="99633996"/>
  </w:num>
  <w:num w:numId="62374340">
    <w:abstractNumId w:val="67630537"/>
  </w:num>
  <w:num w:numId="79937027">
    <w:abstractNumId w:val="63096772"/>
  </w:num>
  <w:num w:numId="11630199">
    <w:abstractNumId w:val="83097679"/>
  </w:num>
  <w:num w:numId="40115679">
    <w:abstractNumId w:val="70524335"/>
  </w:num>
  <w:num w:numId="79803303">
    <w:abstractNumId w:val="86628504"/>
  </w:num>
  <w:num w:numId="48795298">
    <w:abstractNumId w:val="60277226"/>
  </w:num>
  <w:num w:numId="30597607">
    <w:abstractNumId w:val="81662607"/>
  </w:num>
  <w:num w:numId="69576116">
    <w:abstractNumId w:val="57330875"/>
  </w:num>
  <w:num w:numId="61738361">
    <w:abstractNumId w:val="78240830"/>
  </w:num>
  <w:num w:numId="54472885">
    <w:abstractNumId w:val="52223345"/>
  </w:num>
  <w:num w:numId="79098819">
    <w:abstractNumId w:val="99728361"/>
  </w:num>
  <w:num w:numId="18899098">
    <w:abstractNumId w:val="74523917"/>
  </w:num>
  <w:num w:numId="41408476">
    <w:abstractNumId w:val="12452132"/>
  </w:num>
  <w:num w:numId="49468918">
    <w:abstractNumId w:val="30804063"/>
  </w:num>
  <w:num w:numId="64691478">
    <w:abstractNumId w:val="34374807"/>
  </w:num>
  <w:num w:numId="36328719">
    <w:abstractNumId w:val="50628485"/>
  </w:num>
  <w:num w:numId="65014680">
    <w:abstractNumId w:val="57699814"/>
  </w:num>
  <w:num w:numId="16194171">
    <w:abstractNumId w:val="76848130"/>
  </w:num>
  <w:num w:numId="56581221">
    <w:abstractNumId w:val="53541210"/>
  </w:num>
  <w:num w:numId="81860605">
    <w:abstractNumId w:val="71395248"/>
  </w:num>
  <w:num w:numId="89596432">
    <w:abstractNumId w:val="33726624"/>
  </w:num>
  <w:num w:numId="43534959">
    <w:abstractNumId w:val="18472004"/>
  </w:num>
  <w:num w:numId="98868682">
    <w:abstractNumId w:val="17899940"/>
  </w:num>
  <w:num w:numId="34873381">
    <w:abstractNumId w:val="78633183"/>
  </w:num>
  <w:num w:numId="15779394">
    <w:abstractNumId w:val="40867490"/>
  </w:num>
  <w:num w:numId="71624180">
    <w:abstractNumId w:val="53719343"/>
  </w:num>
  <w:num w:numId="40751562">
    <w:abstractNumId w:val="46430407"/>
  </w:num>
  <w:num w:numId="49287490">
    <w:abstractNumId w:val="8021409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table" w:styleId="1836568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86229aa5-8518-022f-6169-1c44068ce577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