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calle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>{{ no_exterior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no_interior }}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>{{ colonia_barrio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>{{ codigo_postal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Pr="001E7185">
        <w:rPr>
          <w:b/>
          <w:bCs/>
          <w:sz w:val="24"/>
          <w:szCs w:val="24"/>
        </w:rPr>
        <w:fldChar w:fldCharType="begin"/>
      </w:r>
      <w:r w:rsidRPr="001E7185">
        <w:rPr>
          <w:b/>
          <w:bCs/>
          <w:sz w:val="24"/>
          <w:szCs w:val="24"/>
        </w:rPr>
        <w:instrText xml:space="preserve"> MERGEFIELD Turnos </w:instrText>
      </w:r>
      <w:r w:rsidRPr="001E7185">
        <w:rPr>
          <w:b/>
          <w:bCs/>
          <w:sz w:val="24"/>
          <w:szCs w:val="24"/>
        </w:rPr>
        <w:fldChar w:fldCharType="separate"/>
      </w:r>
      <w:r w:rsidRPr="00957F12">
        <w:rPr>
          <w:b/>
          <w:bCs/>
          <w:noProof/>
          <w:sz w:val="24"/>
          <w:szCs w:val="24"/>
        </w:rPr>
        <w:t>TRES</w:t>
      </w:r>
      <w:r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1D802B80" w14:textId="77777777" w:rsidR="00912BF9" w:rsidRPr="00D9228F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59119BCD" w14:textId="77777777" w:rsidR="00912BF9" w:rsidRPr="00D9228F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1392DA32" w14:textId="77777777" w:rsidR="00912BF9" w:rsidRPr="007E1588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30E3912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33B05EE7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no_exterior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no_interior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colonia_barrio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codigo_postal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descrip_gi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descrp_li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descrip_lc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descrip_sc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valor_gi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valor_li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valor_lc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valor_sc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087FCA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087FCA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49B46" w14:textId="77777777" w:rsidR="00087FCA" w:rsidRDefault="00087FCA">
      <w:pPr>
        <w:spacing w:after="0" w:line="240" w:lineRule="auto"/>
      </w:pPr>
      <w:r>
        <w:separator/>
      </w:r>
    </w:p>
  </w:endnote>
  <w:endnote w:type="continuationSeparator" w:id="0">
    <w:p w14:paraId="60F3F1F8" w14:textId="77777777" w:rsidR="00087FCA" w:rsidRDefault="0008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8717BA5" w:rsidR="00E11BBA" w:rsidRPr="009806B7" w:rsidRDefault="00D77926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319983CD">
              <wp:simplePos x="0" y="0"/>
              <wp:positionH relativeFrom="column">
                <wp:posOffset>2340398</wp:posOffset>
              </wp:positionH>
              <wp:positionV relativeFrom="paragraph">
                <wp:posOffset>4868</wp:posOffset>
              </wp:positionV>
              <wp:extent cx="2050627" cy="550334"/>
              <wp:effectExtent l="0" t="0" r="0" b="254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0627" cy="550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84.3pt;margin-top:.4pt;width:161.45pt;height:4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J4FwIAACw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1FEB4310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DC393A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DC393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DC393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DC393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 xml:space="preserve">CORREO: </w:t>
                          </w:r>
                          <w:r w:rsidRPr="009806B7">
                            <w:rPr>
                              <w:sz w:val="18"/>
                              <w:szCs w:val="18"/>
                            </w:rPr>
                            <w:t>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943CD" w14:textId="77777777" w:rsidR="00087FCA" w:rsidRDefault="00087FCA">
      <w:pPr>
        <w:spacing w:after="0" w:line="240" w:lineRule="auto"/>
      </w:pPr>
      <w:r>
        <w:separator/>
      </w:r>
    </w:p>
  </w:footnote>
  <w:footnote w:type="continuationSeparator" w:id="0">
    <w:p w14:paraId="6D86E8DE" w14:textId="77777777" w:rsidR="00087FCA" w:rsidRDefault="0008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25243001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>PROGRAMA INTERNO DE PROTECCIÓN CIVIL 2024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color w:val="00B0F0"/>
      </w:rPr>
      <w:t>{{ razon_social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r w:rsidRPr="00E11BBA">
      <w:rPr>
        <w:b/>
        <w:bCs/>
        <w:color w:val="00B0F0"/>
      </w:rPr>
      <w:t>{{ nombre_comercial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DC393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DC393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DC393A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270"/>
    <w:rsid w:val="00155EF4"/>
    <w:rsid w:val="001A016A"/>
    <w:rsid w:val="001E1C20"/>
    <w:rsid w:val="001E6314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C27DA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77926"/>
    <w:rsid w:val="00D83D44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</cp:revision>
  <dcterms:created xsi:type="dcterms:W3CDTF">2024-03-17T21:56:00Z</dcterms:created>
  <dcterms:modified xsi:type="dcterms:W3CDTF">2025-02-05T01:22:00Z</dcterms:modified>
</cp:coreProperties>
</file>