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 xml:space="preserve"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r w:rsidRPr="009C3AE2">
              <w:rPr>
                <w:b/>
                <w:bCs/>
              </w:rPr>
              <w:t xml:space="preserve">CR 3758 PUEBLA OFICINA PRINCIPAL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r w:rsidR="0016698D" w:rsidRPr="0016698D">
              <w:t xml:space="preserve">08:30 A 16:00 HORAS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23 empleados fijos y afluencia durante el día de 400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r>
              <w:t xml:space="preserve"/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 xml:space="preserve"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r>
              <w:t xml:space="preserve"/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 xml:space="preserve"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r>
              <w:t xml:space="preserve"/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 xml:space="preserve"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r w:rsidR="00EB5E9E" w:rsidRPr="00EB5E9E">
              <w:t xml:space="preserve">CR 3758 PUEBLA OFICINA PRINCIPAL</w:t>
            </w:r>
            <w:r w:rsidRPr="008F5A54">
              <w:t xml:space="preserve"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r w:rsidRPr="008F5A54">
              <w:t xml:space="preserve"/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r w:rsidRPr="008F5A54">
              <w:t xml:space="preserve"/>
            </w:r>
          </w:p>
        </w:tc>
      </w:tr>
    </w:tbl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65FB88E2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>.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r w:rsidRPr="007F4B43">
              <w:t xml:space="preserve"/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 xml:space="preserve"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 xml:space="preserve"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 xml:space="preserve"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 xml:space="preserve"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 xml:space="preserve"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 xml:space="preserve"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 xml:space="preserve">Sucursal</w:t>
      </w:r>
      <w:proofErr w:type="spellEnd"/>
      <w:r w:rsidRPr="008D658C">
        <w:rPr>
          <w:b/>
          <w:sz w:val="32"/>
          <w:lang w:val="en-US"/>
        </w:rPr>
        <w:t xml:space="preserve"> CR 3758 PUEBLA OFICINA PRINCIPAL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 xml:space="preserve"/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CR 3758 PUEBLA OFICINA PRINCIPAL</w:t>
      </w:r>
    </w:p>
    <w:p w14:paraId="7CA32FEF" w14:textId="0FB3753B" w:rsidR="005A5F53" w:rsidRPr="00366D78" w:rsidRDefault="000D6D5E" w:rsidP="000D6D5E">
      <w:pPr>
        <w:jc w:val="center"/>
      </w:pPr>
      <w:r w:rsidRPr="008D658C">
        <w:rPr>
          <w:b/>
        </w:rPr>
        <w:t xml:space="preserve">REFORMA No. 113 A</w:t>
      </w:r>
      <w:r w:rsidR="007B649E">
        <w:rPr>
          <w:b/>
        </w:rPr>
        <w:t xml:space="preserve"> </w:t>
      </w:r>
      <w:r w:rsidRPr="008D658C">
        <w:rPr>
          <w:b/>
        </w:rPr>
        <w:t xml:space="preserve">0, Col. CENTRO, PUEBLA, PUEBLA</w:t>
      </w:r>
      <w:r w:rsidRPr="0025181A">
        <w:rPr>
          <w:b/>
        </w:rPr>
        <w:t>.</w:t>
      </w:r>
    </w:p>
    <w:sectPr w:rsidR="005A5F53" w:rsidRPr="00366D78" w:rsidSect="003A64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B2B2F" w14:textId="77777777" w:rsidR="003A6489" w:rsidRDefault="003A6489" w:rsidP="00CA2E04">
      <w:pPr>
        <w:spacing w:before="0"/>
      </w:pPr>
      <w:r>
        <w:separator/>
      </w:r>
    </w:p>
  </w:endnote>
  <w:endnote w:type="continuationSeparator" w:id="0">
    <w:p w14:paraId="3B4D41A4" w14:textId="77777777" w:rsidR="003A6489" w:rsidRDefault="003A6489" w:rsidP="00CA2E04">
      <w:pPr>
        <w:spacing w:before="0"/>
      </w:pPr>
      <w:r>
        <w:continuationSeparator/>
      </w:r>
    </w:p>
  </w:endnote>
  <w:endnote w:type="continuationNotice" w:id="1">
    <w:p w14:paraId="1E93D085" w14:textId="77777777" w:rsidR="003A6489" w:rsidRDefault="003A64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1B49" w14:textId="77777777" w:rsidR="003A6489" w:rsidRDefault="003A6489" w:rsidP="00CA2E04">
      <w:pPr>
        <w:spacing w:before="0"/>
      </w:pPr>
      <w:r>
        <w:separator/>
      </w:r>
    </w:p>
  </w:footnote>
  <w:footnote w:type="continuationSeparator" w:id="0">
    <w:p w14:paraId="35F8A212" w14:textId="77777777" w:rsidR="003A6489" w:rsidRDefault="003A6489" w:rsidP="00CA2E04">
      <w:pPr>
        <w:spacing w:before="0"/>
      </w:pPr>
      <w:r>
        <w:continuationSeparator/>
      </w:r>
    </w:p>
  </w:footnote>
  <w:footnote w:type="continuationNotice" w:id="1">
    <w:p w14:paraId="0BE48E37" w14:textId="77777777" w:rsidR="003A6489" w:rsidRDefault="003A648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CR 3758 PUEBLA OFICINA PRINCIPAL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9 DE FEBRERO DE 2024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REG. PROTECCION CIVIL TERCER ACREDITADO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SGyDU-DGRPC-PREGIR-21/2024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A6489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B649E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07819"/>
    <w:rsid w:val="00A54BBC"/>
    <w:rsid w:val="00A744C1"/>
    <w:rsid w:val="00AA32A7"/>
    <w:rsid w:val="00AF1114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41719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25</cp:revision>
  <dcterms:created xsi:type="dcterms:W3CDTF">2021-01-26T05:37:00Z</dcterms:created>
  <dcterms:modified xsi:type="dcterms:W3CDTF">2024-04-16T06:35:00Z</dcterms:modified>
  <dc:identifier/>
  <dc:language/>
</cp:coreProperties>
</file>