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ESTAFETA MEXICANA SA DE CV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190F5028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 xml:space="preserve">PROLONGACION 5 DE MAYO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44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</w:t>
      </w:r>
      <w:r w:rsidR="008D3693">
        <w:rPr>
          <w:b/>
          <w:sz w:val="24"/>
          <w:szCs w:val="24"/>
        </w:rPr>
        <w:t xml:space="preserve"> 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SAN JERONIMO CALERAS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72100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RECEPCIÓN, ALMACENAMIENTO, CONTROL DE INVENTARIOS, PREPARACIÓN DE PEDIDOS, EMBALAJE Y DESPACHO DE PRODUCTOS PARA GARANTIZAR UNA ENTREGA EFICIENTE Y PRECISA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 xml:space="preserve">60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5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VISITANTES:</w:t>
      </w:r>
      <w:r>
        <w:rPr>
          <w:b/>
          <w:bCs/>
          <w:sz w:val="24"/>
          <w:szCs w:val="24"/>
        </w:rPr>
        <w:t xml:space="preserve"> 40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10700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ESTAFETA MEXICANA SA DE CV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PROLONGACION 5 DE MAYO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44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0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SAN JERONIMO CALERAS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72100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BODEGA DE DISTRIBUCION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COP PUEBLA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GASOLINA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8000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14000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60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40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5.714285714285714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0.9333333333333333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DICIEMBRE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2024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10700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ALTO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ESTAFETA MEXICANA SA DE CV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COP PUEBLA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3417143" cy="54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7143" cy="5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D3693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D4D72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</cp:revision>
  <dcterms:created xsi:type="dcterms:W3CDTF">2024-03-18T02:09:00Z</dcterms:created>
  <dcterms:modified xsi:type="dcterms:W3CDTF">2024-08-10T19:52:00Z</dcterms:modified>
  <dc:identifier/>
  <dc:language/>
</cp:coreProperties>
</file>