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lwn38e8fa0p8" w:id="0"/>
      <w:bookmarkEnd w:id="0"/>
      <w:r w:rsidDel="00000000" w:rsidR="00000000" w:rsidRPr="00000000">
        <w:rPr>
          <w:rFonts w:ascii="Inter Medium" w:cs="Inter Medium" w:eastAsia="Inter Medium" w:hAnsi="Inter Medium"/>
          <w:b w:val="0"/>
          <w:i w:val="0"/>
          <w:smallCaps w:val="0"/>
          <w:strike w:val="0"/>
          <w:color w:val="1f1f1f"/>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pStyle w:val="Title"/>
        <w:rPr/>
      </w:pPr>
      <w:bookmarkStart w:colFirst="0" w:colLast="0" w:name="_o1ig4gn3mdow" w:id="1"/>
      <w:bookmarkEnd w:id="1"/>
      <w:r w:rsidDel="00000000" w:rsidR="00000000" w:rsidRPr="00000000">
        <w:rPr>
          <w:rtl w:val="0"/>
        </w:rPr>
        <w:t xml:space="preserve">IS.4.5 Corrección de Defectos y Pruebas Unitarias Exitosas</w:t>
      </w:r>
    </w:p>
    <w:p w:rsidR="00000000" w:rsidDel="00000000" w:rsidP="00000000" w:rsidRDefault="00000000" w:rsidRPr="00000000" w14:paraId="00000003">
      <w:pPr>
        <w:pStyle w:val="Heading1"/>
        <w:rPr/>
      </w:pPr>
      <w:bookmarkStart w:colFirst="0" w:colLast="0" w:name="_lh7nm8vrcgto" w:id="2"/>
      <w:bookmarkEnd w:id="2"/>
      <w:r w:rsidDel="00000000" w:rsidR="00000000" w:rsidRPr="00000000">
        <w:rPr>
          <w:rtl w:val="0"/>
        </w:rPr>
        <w:t xml:space="preserve">Introducción</w:t>
      </w:r>
    </w:p>
    <w:p w:rsidR="00000000" w:rsidDel="00000000" w:rsidP="00000000" w:rsidRDefault="00000000" w:rsidRPr="00000000" w14:paraId="00000004">
      <w:pPr>
        <w:rPr/>
      </w:pPr>
      <w:r w:rsidDel="00000000" w:rsidR="00000000" w:rsidRPr="00000000">
        <w:rPr>
          <w:rtl w:val="0"/>
        </w:rPr>
        <w:t xml:space="preserve">Este documento detalla el proceso de corrección de los defectos identificados en el "IS.4.4 Informe de Pruebas de Componentes de Software - Aplicación Móvil La Flor de Córdoba" y la aplicación de pruebas unitarias adicionales hasta lograr los criterios de salida exitosos. El objetivo es asegurar el correcto funcionamiento de todos los componentes de la aplicación móvil "La Flor de Córdoba".</w:t>
      </w:r>
    </w:p>
    <w:p w:rsidR="00000000" w:rsidDel="00000000" w:rsidP="00000000" w:rsidRDefault="00000000" w:rsidRPr="00000000" w14:paraId="00000005">
      <w:pPr>
        <w:pStyle w:val="Heading1"/>
        <w:rPr/>
      </w:pPr>
      <w:bookmarkStart w:colFirst="0" w:colLast="0" w:name="_j164kp7b4csr" w:id="3"/>
      <w:bookmarkEnd w:id="3"/>
      <w:r w:rsidDel="00000000" w:rsidR="00000000" w:rsidRPr="00000000">
        <w:rPr>
          <w:rtl w:val="0"/>
        </w:rPr>
        <w:t xml:space="preserve">Defectos Identificados</w:t>
      </w:r>
    </w:p>
    <w:p w:rsidR="00000000" w:rsidDel="00000000" w:rsidP="00000000" w:rsidRDefault="00000000" w:rsidRPr="00000000" w14:paraId="00000006">
      <w:pPr>
        <w:rPr/>
      </w:pPr>
      <w:r w:rsidDel="00000000" w:rsidR="00000000" w:rsidRPr="00000000">
        <w:rPr>
          <w:rtl w:val="0"/>
        </w:rPr>
        <w:t xml:space="preserve">Basándonos en el informe IS.4.4, se identificaron los siguientes defectos:</w:t>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numPr>
          <w:ilvl w:val="0"/>
          <w:numId w:val="3"/>
        </w:numPr>
        <w:ind w:left="720" w:hanging="360"/>
        <w:rPr>
          <w:rFonts w:ascii="Arial" w:cs="Arial" w:eastAsia="Arial" w:hAnsi="Arial"/>
          <w:color w:val="000000"/>
          <w:sz w:val="22"/>
          <w:szCs w:val="22"/>
        </w:rPr>
      </w:pPr>
      <w:r w:rsidDel="00000000" w:rsidR="00000000" w:rsidRPr="00000000">
        <w:rPr>
          <w:b w:val="1"/>
          <w:rtl w:val="0"/>
        </w:rPr>
        <w:t xml:space="preserve">[LFDC-FE-003] Funcionalidades Principales:</w:t>
      </w:r>
      <w:r w:rsidDel="00000000" w:rsidR="00000000" w:rsidRPr="00000000">
        <w:rPr>
          <w:rtl w:val="0"/>
        </w:rPr>
        <w:t xml:space="preserve"> Error en el cálculo de puntos.</w:t>
      </w:r>
    </w:p>
    <w:p w:rsidR="00000000" w:rsidDel="00000000" w:rsidP="00000000" w:rsidRDefault="00000000" w:rsidRPr="00000000" w14:paraId="00000009">
      <w:pPr>
        <w:numPr>
          <w:ilvl w:val="0"/>
          <w:numId w:val="3"/>
        </w:numPr>
        <w:ind w:left="720" w:hanging="360"/>
        <w:rPr>
          <w:rFonts w:ascii="Arial" w:cs="Arial" w:eastAsia="Arial" w:hAnsi="Arial"/>
          <w:color w:val="000000"/>
          <w:sz w:val="22"/>
          <w:szCs w:val="22"/>
        </w:rPr>
      </w:pPr>
      <w:r w:rsidDel="00000000" w:rsidR="00000000" w:rsidRPr="00000000">
        <w:rPr>
          <w:b w:val="1"/>
          <w:rtl w:val="0"/>
        </w:rPr>
        <w:t xml:space="preserve">[LFDC-BE-003] Backend de Usuario:</w:t>
      </w:r>
      <w:r w:rsidDel="00000000" w:rsidR="00000000" w:rsidRPr="00000000">
        <w:rPr>
          <w:rtl w:val="0"/>
        </w:rPr>
        <w:t xml:space="preserve"> Error en el proceso de inicio de sesión.</w:t>
      </w:r>
    </w:p>
    <w:p w:rsidR="00000000" w:rsidDel="00000000" w:rsidP="00000000" w:rsidRDefault="00000000" w:rsidRPr="00000000" w14:paraId="0000000A">
      <w:pPr>
        <w:numPr>
          <w:ilvl w:val="0"/>
          <w:numId w:val="3"/>
        </w:numPr>
        <w:ind w:left="720" w:hanging="360"/>
        <w:rPr>
          <w:rFonts w:ascii="Arial" w:cs="Arial" w:eastAsia="Arial" w:hAnsi="Arial"/>
          <w:color w:val="000000"/>
          <w:sz w:val="22"/>
          <w:szCs w:val="22"/>
        </w:rPr>
      </w:pPr>
      <w:r w:rsidDel="00000000" w:rsidR="00000000" w:rsidRPr="00000000">
        <w:rPr>
          <w:b w:val="1"/>
          <w:rtl w:val="0"/>
        </w:rPr>
        <w:t xml:space="preserve">[LFDC-BE-007] Microservicio de Notificaciones:</w:t>
      </w:r>
      <w:r w:rsidDel="00000000" w:rsidR="00000000" w:rsidRPr="00000000">
        <w:rPr>
          <w:rtl w:val="0"/>
        </w:rPr>
        <w:t xml:space="preserve"> Error en el envío de notificaciones push.</w:t>
      </w:r>
    </w:p>
    <w:p w:rsidR="00000000" w:rsidDel="00000000" w:rsidP="00000000" w:rsidRDefault="00000000" w:rsidRPr="00000000" w14:paraId="0000000B">
      <w:pPr>
        <w:pStyle w:val="Heading1"/>
        <w:rPr/>
      </w:pPr>
      <w:bookmarkStart w:colFirst="0" w:colLast="0" w:name="_tqj39gmof5v3" w:id="4"/>
      <w:bookmarkEnd w:id="4"/>
      <w:r w:rsidDel="00000000" w:rsidR="00000000" w:rsidRPr="00000000">
        <w:rPr>
          <w:rtl w:val="0"/>
        </w:rPr>
        <w:t xml:space="preserve">Proceso de Corrección y Pruebas</w:t>
      </w:r>
    </w:p>
    <w:p w:rsidR="00000000" w:rsidDel="00000000" w:rsidP="00000000" w:rsidRDefault="00000000" w:rsidRPr="00000000" w14:paraId="0000000C">
      <w:pPr>
        <w:rPr/>
      </w:pPr>
      <w:r w:rsidDel="00000000" w:rsidR="00000000" w:rsidRPr="00000000">
        <w:rPr>
          <w:rtl w:val="0"/>
        </w:rPr>
        <w:t xml:space="preserve">El siguiente proceso fue seguido para corregir los defectos y asegurar pruebas unitarias exitosas:</w:t>
      </w:r>
    </w:p>
    <w:p w:rsidR="00000000" w:rsidDel="00000000" w:rsidP="00000000" w:rsidRDefault="00000000" w:rsidRPr="00000000" w14:paraId="0000000D">
      <w:pPr>
        <w:widowControl w:val="0"/>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Arial" w:cs="Arial" w:eastAsia="Arial" w:hAnsi="Arial"/>
          <w:color w:val="000000"/>
          <w:sz w:val="22"/>
          <w:szCs w:val="22"/>
        </w:rPr>
      </w:pPr>
      <w:r w:rsidDel="00000000" w:rsidR="00000000" w:rsidRPr="00000000">
        <w:rPr>
          <w:b w:val="1"/>
          <w:rtl w:val="0"/>
        </w:rPr>
        <w:t xml:space="preserve">Análisis y Diagnóstico:</w:t>
      </w:r>
      <w:r w:rsidDel="00000000" w:rsidR="00000000" w:rsidRPr="00000000">
        <w:rPr>
          <w:rtl w:val="0"/>
        </w:rPr>
        <w:t xml:space="preserve"> Se realizó un análisis detallado de cada defecto para identificar la causa raíz.</w:t>
      </w:r>
    </w:p>
    <w:p w:rsidR="00000000" w:rsidDel="00000000" w:rsidP="00000000" w:rsidRDefault="00000000" w:rsidRPr="00000000" w14:paraId="0000000F">
      <w:pPr>
        <w:numPr>
          <w:ilvl w:val="0"/>
          <w:numId w:val="1"/>
        </w:numPr>
        <w:ind w:left="720" w:hanging="360"/>
        <w:rPr>
          <w:rFonts w:ascii="Arial" w:cs="Arial" w:eastAsia="Arial" w:hAnsi="Arial"/>
          <w:color w:val="000000"/>
          <w:sz w:val="22"/>
          <w:szCs w:val="22"/>
        </w:rPr>
      </w:pPr>
      <w:r w:rsidDel="00000000" w:rsidR="00000000" w:rsidRPr="00000000">
        <w:rPr>
          <w:b w:val="1"/>
          <w:rtl w:val="0"/>
        </w:rPr>
        <w:t xml:space="preserve">Corrección de Código:</w:t>
      </w:r>
      <w:r w:rsidDel="00000000" w:rsidR="00000000" w:rsidRPr="00000000">
        <w:rPr>
          <w:rtl w:val="0"/>
        </w:rPr>
        <w:t xml:space="preserve"> Se realizaron las modificaciones necesarias en el código para corregir los defectos identificados.</w:t>
      </w:r>
    </w:p>
    <w:p w:rsidR="00000000" w:rsidDel="00000000" w:rsidP="00000000" w:rsidRDefault="00000000" w:rsidRPr="00000000" w14:paraId="00000010">
      <w:pPr>
        <w:numPr>
          <w:ilvl w:val="0"/>
          <w:numId w:val="1"/>
        </w:numPr>
        <w:ind w:left="720" w:hanging="360"/>
        <w:rPr>
          <w:rFonts w:ascii="Arial" w:cs="Arial" w:eastAsia="Arial" w:hAnsi="Arial"/>
          <w:color w:val="000000"/>
          <w:sz w:val="22"/>
          <w:szCs w:val="22"/>
        </w:rPr>
      </w:pPr>
      <w:r w:rsidDel="00000000" w:rsidR="00000000" w:rsidRPr="00000000">
        <w:rPr>
          <w:b w:val="1"/>
          <w:rtl w:val="0"/>
        </w:rPr>
        <w:t xml:space="preserve">Pruebas Unitarias Iniciales:</w:t>
      </w:r>
      <w:r w:rsidDel="00000000" w:rsidR="00000000" w:rsidRPr="00000000">
        <w:rPr>
          <w:rtl w:val="0"/>
        </w:rPr>
        <w:t xml:space="preserve"> Se aplicaron nuevamente los casos de prueba unitaria para verificar si las correcciones solucionaron los problemas.</w:t>
      </w:r>
    </w:p>
    <w:p w:rsidR="00000000" w:rsidDel="00000000" w:rsidP="00000000" w:rsidRDefault="00000000" w:rsidRPr="00000000" w14:paraId="00000011">
      <w:pPr>
        <w:numPr>
          <w:ilvl w:val="0"/>
          <w:numId w:val="1"/>
        </w:numPr>
        <w:ind w:left="720" w:hanging="360"/>
        <w:rPr>
          <w:rFonts w:ascii="Arial" w:cs="Arial" w:eastAsia="Arial" w:hAnsi="Arial"/>
          <w:color w:val="000000"/>
          <w:sz w:val="22"/>
          <w:szCs w:val="22"/>
        </w:rPr>
      </w:pPr>
      <w:r w:rsidDel="00000000" w:rsidR="00000000" w:rsidRPr="00000000">
        <w:rPr>
          <w:b w:val="1"/>
          <w:rtl w:val="0"/>
        </w:rPr>
        <w:t xml:space="preserve">Depuración y Ajustes:</w:t>
      </w:r>
      <w:r w:rsidDel="00000000" w:rsidR="00000000" w:rsidRPr="00000000">
        <w:rPr>
          <w:rtl w:val="0"/>
        </w:rPr>
        <w:t xml:space="preserve"> En caso de persistir errores, se realizó depuración adicional y ajustes en el código.</w:t>
      </w:r>
    </w:p>
    <w:p w:rsidR="00000000" w:rsidDel="00000000" w:rsidP="00000000" w:rsidRDefault="00000000" w:rsidRPr="00000000" w14:paraId="00000012">
      <w:pPr>
        <w:numPr>
          <w:ilvl w:val="0"/>
          <w:numId w:val="1"/>
        </w:numPr>
        <w:ind w:left="720" w:hanging="360"/>
        <w:rPr>
          <w:rFonts w:ascii="Arial" w:cs="Arial" w:eastAsia="Arial" w:hAnsi="Arial"/>
          <w:color w:val="000000"/>
          <w:sz w:val="22"/>
          <w:szCs w:val="22"/>
        </w:rPr>
      </w:pPr>
      <w:r w:rsidDel="00000000" w:rsidR="00000000" w:rsidRPr="00000000">
        <w:rPr>
          <w:b w:val="1"/>
          <w:rtl w:val="0"/>
        </w:rPr>
        <w:t xml:space="preserve">Pruebas Unitarias Finales:</w:t>
      </w:r>
      <w:r w:rsidDel="00000000" w:rsidR="00000000" w:rsidRPr="00000000">
        <w:rPr>
          <w:rtl w:val="0"/>
        </w:rPr>
        <w:t xml:space="preserve"> Se aplicaron los casos de prueba unitaria finales para asegurar que se cumplen los criterios de salida exitosos.</w:t>
      </w:r>
    </w:p>
    <w:p w:rsidR="00000000" w:rsidDel="00000000" w:rsidP="00000000" w:rsidRDefault="00000000" w:rsidRPr="00000000" w14:paraId="00000013">
      <w:pPr>
        <w:pStyle w:val="Heading1"/>
        <w:rPr/>
      </w:pPr>
      <w:bookmarkStart w:colFirst="0" w:colLast="0" w:name="_utz17elm1slt" w:id="5"/>
      <w:bookmarkEnd w:id="5"/>
      <w:r w:rsidDel="00000000" w:rsidR="00000000" w:rsidRPr="00000000">
        <w:rPr>
          <w:rtl w:val="0"/>
        </w:rPr>
        <w:t xml:space="preserve">Resultados de las Pruebas Unitarias Después de la Corrección</w:t>
      </w:r>
    </w:p>
    <w:p w:rsidR="00000000" w:rsidDel="00000000" w:rsidP="00000000" w:rsidRDefault="00000000" w:rsidRPr="00000000" w14:paraId="00000014">
      <w:pPr>
        <w:rPr/>
      </w:pPr>
      <w:r w:rsidDel="00000000" w:rsidR="00000000" w:rsidRPr="00000000">
        <w:rPr>
          <w:rtl w:val="0"/>
        </w:rPr>
        <w:t xml:space="preserve">A continuación, se presentan los resultados de las pruebas unitarias después de las correcciones realizadas.</w:t>
      </w:r>
    </w:p>
    <w:p w:rsidR="00000000" w:rsidDel="00000000" w:rsidP="00000000" w:rsidRDefault="00000000" w:rsidRPr="00000000" w14:paraId="00000015">
      <w:pPr>
        <w:pStyle w:val="Heading2"/>
        <w:rPr/>
      </w:pPr>
      <w:bookmarkStart w:colFirst="0" w:colLast="0" w:name="_odagjwdcveuh" w:id="6"/>
      <w:bookmarkEnd w:id="6"/>
      <w:r w:rsidDel="00000000" w:rsidR="00000000" w:rsidRPr="00000000">
        <w:rPr>
          <w:rtl w:val="0"/>
        </w:rPr>
        <w:t xml:space="preserve">Componentes del Front-End (Aplicación Móvil)</w:t>
      </w:r>
    </w:p>
    <w:tbl>
      <w:tblPr>
        <w:tblStyle w:val="Table1"/>
        <w:tblW w:w="17500.0" w:type="dxa"/>
        <w:jc w:val="left"/>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gridCol w:w="3500"/>
        <w:gridCol w:w="3500"/>
        <w:tblGridChange w:id="0">
          <w:tblGrid>
            <w:gridCol w:w="3500"/>
            <w:gridCol w:w="3500"/>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16">
            <w:pPr>
              <w:rPr/>
            </w:pPr>
            <w:r w:rsidDel="00000000" w:rsidR="00000000" w:rsidRPr="00000000">
              <w:rPr>
                <w:rtl w:val="0"/>
              </w:rPr>
              <w:t xml:space="preserve">Componente</w:t>
            </w:r>
          </w:p>
        </w:tc>
        <w:tc>
          <w:tcPr/>
          <w:p w:rsidR="00000000" w:rsidDel="00000000" w:rsidP="00000000" w:rsidRDefault="00000000" w:rsidRPr="00000000" w14:paraId="00000017">
            <w:pPr>
              <w:rPr/>
            </w:pPr>
            <w:r w:rsidDel="00000000" w:rsidR="00000000" w:rsidRPr="00000000">
              <w:rPr>
                <w:rtl w:val="0"/>
              </w:rPr>
              <w:t xml:space="preserve">ID Unificado</w:t>
            </w:r>
          </w:p>
        </w:tc>
        <w:tc>
          <w:tcPr/>
          <w:p w:rsidR="00000000" w:rsidDel="00000000" w:rsidP="00000000" w:rsidRDefault="00000000" w:rsidRPr="00000000" w14:paraId="00000018">
            <w:pPr>
              <w:rPr/>
            </w:pPr>
            <w:r w:rsidDel="00000000" w:rsidR="00000000" w:rsidRPr="00000000">
              <w:rPr>
                <w:rtl w:val="0"/>
              </w:rPr>
              <w:t xml:space="preserve">Caso de Prueba</w:t>
            </w:r>
          </w:p>
        </w:tc>
        <w:tc>
          <w:tcPr/>
          <w:p w:rsidR="00000000" w:rsidDel="00000000" w:rsidP="00000000" w:rsidRDefault="00000000" w:rsidRPr="00000000" w14:paraId="00000019">
            <w:pPr>
              <w:rPr/>
            </w:pPr>
            <w:r w:rsidDel="00000000" w:rsidR="00000000" w:rsidRPr="00000000">
              <w:rPr>
                <w:rtl w:val="0"/>
              </w:rPr>
              <w:t xml:space="preserve">Resultado</w:t>
            </w:r>
          </w:p>
        </w:tc>
        <w:tc>
          <w:tcPr/>
          <w:p w:rsidR="00000000" w:rsidDel="00000000" w:rsidP="00000000" w:rsidRDefault="00000000" w:rsidRPr="00000000" w14:paraId="0000001A">
            <w:pPr>
              <w:rPr/>
            </w:pPr>
            <w:r w:rsidDel="00000000" w:rsidR="00000000" w:rsidRPr="00000000">
              <w:rPr>
                <w:rtl w:val="0"/>
              </w:rPr>
              <w:t xml:space="preserve">Observaciones</w:t>
            </w:r>
          </w:p>
        </w:tc>
      </w:tr>
      <w:tr>
        <w:trPr>
          <w:cantSplit w:val="0"/>
          <w:trHeight w:val="564.48" w:hRule="atLeast"/>
          <w:tblHeader w:val="0"/>
        </w:trPr>
        <w:tc>
          <w:tcPr/>
          <w:p w:rsidR="00000000" w:rsidDel="00000000" w:rsidP="00000000" w:rsidRDefault="00000000" w:rsidRPr="00000000" w14:paraId="0000001B">
            <w:pPr>
              <w:rPr/>
            </w:pPr>
            <w:r w:rsidDel="00000000" w:rsidR="00000000" w:rsidRPr="00000000">
              <w:rPr>
                <w:rtl w:val="0"/>
              </w:rPr>
              <w:t xml:space="preserve">Funcionalidades Principales</w:t>
            </w:r>
          </w:p>
        </w:tc>
        <w:tc>
          <w:tcPr/>
          <w:p w:rsidR="00000000" w:rsidDel="00000000" w:rsidP="00000000" w:rsidRDefault="00000000" w:rsidRPr="00000000" w14:paraId="0000001C">
            <w:pPr>
              <w:rPr/>
            </w:pPr>
            <w:r w:rsidDel="00000000" w:rsidR="00000000" w:rsidRPr="00000000">
              <w:rPr>
                <w:rtl w:val="0"/>
              </w:rPr>
              <w:t xml:space="preserve">[LFDC-FE-003]</w:t>
            </w:r>
          </w:p>
        </w:tc>
        <w:tc>
          <w:tcPr/>
          <w:p w:rsidR="00000000" w:rsidDel="00000000" w:rsidP="00000000" w:rsidRDefault="00000000" w:rsidRPr="00000000" w14:paraId="0000001D">
            <w:pPr>
              <w:rPr/>
            </w:pPr>
            <w:r w:rsidDel="00000000" w:rsidR="00000000" w:rsidRPr="00000000">
              <w:rPr>
                <w:rtl w:val="0"/>
              </w:rPr>
              <w:t xml:space="preserve">Acumulación de puntos</w:t>
            </w:r>
          </w:p>
        </w:tc>
        <w:tc>
          <w:tcPr/>
          <w:p w:rsidR="00000000" w:rsidDel="00000000" w:rsidP="00000000" w:rsidRDefault="00000000" w:rsidRPr="00000000" w14:paraId="0000001E">
            <w:pPr>
              <w:rPr/>
            </w:pPr>
            <w:r w:rsidDel="00000000" w:rsidR="00000000" w:rsidRPr="00000000">
              <w:rPr>
                <w:rtl w:val="0"/>
              </w:rPr>
              <w:t xml:space="preserve">Éxito</w:t>
            </w:r>
          </w:p>
        </w:tc>
        <w:tc>
          <w:tcPr/>
          <w:p w:rsidR="00000000" w:rsidDel="00000000" w:rsidP="00000000" w:rsidRDefault="00000000" w:rsidRPr="00000000" w14:paraId="0000001F">
            <w:pPr>
              <w:rPr/>
            </w:pPr>
            <w:r w:rsidDel="00000000" w:rsidR="00000000" w:rsidRPr="00000000">
              <w:rPr>
                <w:rtl w:val="0"/>
              </w:rPr>
              <w:t xml:space="preserve">El cálculo de puntos ahora funciona correctamente.</w:t>
            </w:r>
          </w:p>
        </w:tc>
      </w:tr>
    </w:tbl>
    <w:p w:rsidR="00000000" w:rsidDel="00000000" w:rsidP="00000000" w:rsidRDefault="00000000" w:rsidRPr="00000000" w14:paraId="00000020">
      <w:pPr>
        <w:pStyle w:val="Heading2"/>
        <w:rPr/>
      </w:pPr>
      <w:bookmarkStart w:colFirst="0" w:colLast="0" w:name="_m93urc86fuc5" w:id="7"/>
      <w:bookmarkEnd w:id="7"/>
      <w:r w:rsidDel="00000000" w:rsidR="00000000" w:rsidRPr="00000000">
        <w:rPr>
          <w:rtl w:val="0"/>
        </w:rPr>
        <w:t xml:space="preserve">Componentes del Back-End</w:t>
      </w:r>
    </w:p>
    <w:tbl>
      <w:tblPr>
        <w:tblStyle w:val="Table2"/>
        <w:tblW w:w="17500.0" w:type="dxa"/>
        <w:jc w:val="left"/>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gridCol w:w="3500"/>
        <w:gridCol w:w="3500"/>
        <w:tblGridChange w:id="0">
          <w:tblGrid>
            <w:gridCol w:w="3500"/>
            <w:gridCol w:w="3500"/>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21">
            <w:pPr>
              <w:rPr/>
            </w:pPr>
            <w:r w:rsidDel="00000000" w:rsidR="00000000" w:rsidRPr="00000000">
              <w:rPr>
                <w:rtl w:val="0"/>
              </w:rPr>
              <w:t xml:space="preserve">Componente</w:t>
            </w:r>
          </w:p>
        </w:tc>
        <w:tc>
          <w:tcPr/>
          <w:p w:rsidR="00000000" w:rsidDel="00000000" w:rsidP="00000000" w:rsidRDefault="00000000" w:rsidRPr="00000000" w14:paraId="00000022">
            <w:pPr>
              <w:rPr/>
            </w:pPr>
            <w:r w:rsidDel="00000000" w:rsidR="00000000" w:rsidRPr="00000000">
              <w:rPr>
                <w:rtl w:val="0"/>
              </w:rPr>
              <w:t xml:space="preserve">ID Unificado</w:t>
            </w:r>
          </w:p>
        </w:tc>
        <w:tc>
          <w:tcPr/>
          <w:p w:rsidR="00000000" w:rsidDel="00000000" w:rsidP="00000000" w:rsidRDefault="00000000" w:rsidRPr="00000000" w14:paraId="00000023">
            <w:pPr>
              <w:rPr/>
            </w:pPr>
            <w:r w:rsidDel="00000000" w:rsidR="00000000" w:rsidRPr="00000000">
              <w:rPr>
                <w:rtl w:val="0"/>
              </w:rPr>
              <w:t xml:space="preserve">Caso de Prueba</w:t>
            </w:r>
          </w:p>
        </w:tc>
        <w:tc>
          <w:tcPr/>
          <w:p w:rsidR="00000000" w:rsidDel="00000000" w:rsidP="00000000" w:rsidRDefault="00000000" w:rsidRPr="00000000" w14:paraId="00000024">
            <w:pPr>
              <w:rPr/>
            </w:pPr>
            <w:r w:rsidDel="00000000" w:rsidR="00000000" w:rsidRPr="00000000">
              <w:rPr>
                <w:rtl w:val="0"/>
              </w:rPr>
              <w:t xml:space="preserve">Resultado</w:t>
            </w:r>
          </w:p>
        </w:tc>
        <w:tc>
          <w:tcPr/>
          <w:p w:rsidR="00000000" w:rsidDel="00000000" w:rsidP="00000000" w:rsidRDefault="00000000" w:rsidRPr="00000000" w14:paraId="00000025">
            <w:pPr>
              <w:rPr/>
            </w:pPr>
            <w:r w:rsidDel="00000000" w:rsidR="00000000" w:rsidRPr="00000000">
              <w:rPr>
                <w:rtl w:val="0"/>
              </w:rPr>
              <w:t xml:space="preserve">Observaciones</w:t>
            </w:r>
          </w:p>
        </w:tc>
      </w:tr>
      <w:tr>
        <w:trPr>
          <w:cantSplit w:val="0"/>
          <w:trHeight w:val="564.48" w:hRule="atLeast"/>
          <w:tblHeader w:val="0"/>
        </w:trPr>
        <w:tc>
          <w:tcPr/>
          <w:p w:rsidR="00000000" w:rsidDel="00000000" w:rsidP="00000000" w:rsidRDefault="00000000" w:rsidRPr="00000000" w14:paraId="00000026">
            <w:pPr>
              <w:rPr/>
            </w:pPr>
            <w:r w:rsidDel="00000000" w:rsidR="00000000" w:rsidRPr="00000000">
              <w:rPr>
                <w:rtl w:val="0"/>
              </w:rPr>
              <w:t xml:space="preserve">Backend de Usuario</w:t>
            </w:r>
          </w:p>
        </w:tc>
        <w:tc>
          <w:tcPr/>
          <w:p w:rsidR="00000000" w:rsidDel="00000000" w:rsidP="00000000" w:rsidRDefault="00000000" w:rsidRPr="00000000" w14:paraId="00000027">
            <w:pPr>
              <w:rPr/>
            </w:pPr>
            <w:r w:rsidDel="00000000" w:rsidR="00000000" w:rsidRPr="00000000">
              <w:rPr>
                <w:rtl w:val="0"/>
              </w:rPr>
              <w:t xml:space="preserve">[LFDC-BE-003]</w:t>
            </w:r>
          </w:p>
        </w:tc>
        <w:tc>
          <w:tcPr/>
          <w:p w:rsidR="00000000" w:rsidDel="00000000" w:rsidP="00000000" w:rsidRDefault="00000000" w:rsidRPr="00000000" w14:paraId="00000028">
            <w:pPr>
              <w:rPr/>
            </w:pPr>
            <w:r w:rsidDel="00000000" w:rsidR="00000000" w:rsidRPr="00000000">
              <w:rPr>
                <w:rtl w:val="0"/>
              </w:rPr>
              <w:t xml:space="preserve">Inicio de sesión de usuario</w:t>
            </w:r>
          </w:p>
        </w:tc>
        <w:tc>
          <w:tcPr/>
          <w:p w:rsidR="00000000" w:rsidDel="00000000" w:rsidP="00000000" w:rsidRDefault="00000000" w:rsidRPr="00000000" w14:paraId="00000029">
            <w:pPr>
              <w:rPr/>
            </w:pPr>
            <w:r w:rsidDel="00000000" w:rsidR="00000000" w:rsidRPr="00000000">
              <w:rPr>
                <w:rtl w:val="0"/>
              </w:rPr>
              <w:t xml:space="preserve">Éxito</w:t>
            </w:r>
          </w:p>
        </w:tc>
        <w:tc>
          <w:tcPr/>
          <w:p w:rsidR="00000000" w:rsidDel="00000000" w:rsidP="00000000" w:rsidRDefault="00000000" w:rsidRPr="00000000" w14:paraId="0000002A">
            <w:pPr>
              <w:rPr/>
            </w:pPr>
            <w:r w:rsidDel="00000000" w:rsidR="00000000" w:rsidRPr="00000000">
              <w:rPr>
                <w:rtl w:val="0"/>
              </w:rPr>
              <w:t xml:space="preserve">El proceso de inicio de sesión ahora funciona correctamente.</w:t>
            </w:r>
          </w:p>
        </w:tc>
      </w:tr>
      <w:tr>
        <w:trPr>
          <w:cantSplit w:val="0"/>
          <w:trHeight w:val="564.48" w:hRule="atLeast"/>
          <w:tblHeader w:val="0"/>
        </w:trPr>
        <w:tc>
          <w:tcPr/>
          <w:p w:rsidR="00000000" w:rsidDel="00000000" w:rsidP="00000000" w:rsidRDefault="00000000" w:rsidRPr="00000000" w14:paraId="0000002B">
            <w:pPr>
              <w:rPr/>
            </w:pPr>
            <w:r w:rsidDel="00000000" w:rsidR="00000000" w:rsidRPr="00000000">
              <w:rPr>
                <w:rtl w:val="0"/>
              </w:rPr>
              <w:t xml:space="preserve">Microservicio de Notificaciones</w:t>
            </w:r>
          </w:p>
        </w:tc>
        <w:tc>
          <w:tcPr/>
          <w:p w:rsidR="00000000" w:rsidDel="00000000" w:rsidP="00000000" w:rsidRDefault="00000000" w:rsidRPr="00000000" w14:paraId="0000002C">
            <w:pPr>
              <w:rPr/>
            </w:pPr>
            <w:r w:rsidDel="00000000" w:rsidR="00000000" w:rsidRPr="00000000">
              <w:rPr>
                <w:rtl w:val="0"/>
              </w:rPr>
              <w:t xml:space="preserve">[LFDC-BE-007]</w:t>
            </w:r>
          </w:p>
        </w:tc>
        <w:tc>
          <w:tcPr/>
          <w:p w:rsidR="00000000" w:rsidDel="00000000" w:rsidP="00000000" w:rsidRDefault="00000000" w:rsidRPr="00000000" w14:paraId="0000002D">
            <w:pPr>
              <w:rPr/>
            </w:pPr>
            <w:r w:rsidDel="00000000" w:rsidR="00000000" w:rsidRPr="00000000">
              <w:rPr>
                <w:rtl w:val="0"/>
              </w:rPr>
              <w:t xml:space="preserve">Enviar notificación push</w:t>
            </w:r>
          </w:p>
        </w:tc>
        <w:tc>
          <w:tcPr/>
          <w:p w:rsidR="00000000" w:rsidDel="00000000" w:rsidP="00000000" w:rsidRDefault="00000000" w:rsidRPr="00000000" w14:paraId="0000002E">
            <w:pPr>
              <w:rPr/>
            </w:pPr>
            <w:r w:rsidDel="00000000" w:rsidR="00000000" w:rsidRPr="00000000">
              <w:rPr>
                <w:rtl w:val="0"/>
              </w:rPr>
              <w:t xml:space="preserve">Éxito</w:t>
            </w:r>
          </w:p>
        </w:tc>
        <w:tc>
          <w:tcPr/>
          <w:p w:rsidR="00000000" w:rsidDel="00000000" w:rsidP="00000000" w:rsidRDefault="00000000" w:rsidRPr="00000000" w14:paraId="0000002F">
            <w:pPr>
              <w:rPr/>
            </w:pPr>
            <w:r w:rsidDel="00000000" w:rsidR="00000000" w:rsidRPr="00000000">
              <w:rPr>
                <w:rtl w:val="0"/>
              </w:rPr>
              <w:t xml:space="preserve">El envío de notificaciones push ahora funciona correctamente.</w:t>
            </w:r>
          </w:p>
        </w:tc>
      </w:tr>
    </w:tbl>
    <w:p w:rsidR="00000000" w:rsidDel="00000000" w:rsidP="00000000" w:rsidRDefault="00000000" w:rsidRPr="00000000" w14:paraId="00000030">
      <w:pPr>
        <w:pStyle w:val="Heading1"/>
        <w:rPr/>
      </w:pPr>
      <w:bookmarkStart w:colFirst="0" w:colLast="0" w:name="_psc2llyc8y84" w:id="8"/>
      <w:bookmarkEnd w:id="8"/>
      <w:r w:rsidDel="00000000" w:rsidR="00000000" w:rsidRPr="00000000">
        <w:rPr>
          <w:rtl w:val="0"/>
        </w:rPr>
        <w:t xml:space="preserve">Conclusiones</w:t>
      </w:r>
    </w:p>
    <w:p w:rsidR="00000000" w:rsidDel="00000000" w:rsidP="00000000" w:rsidRDefault="00000000" w:rsidRPr="00000000" w14:paraId="00000031">
      <w:pPr>
        <w:rPr/>
      </w:pPr>
      <w:r w:rsidDel="00000000" w:rsidR="00000000" w:rsidRPr="00000000">
        <w:rPr>
          <w:rtl w:val="0"/>
        </w:rPr>
        <w:t xml:space="preserve">Todos los defectos identificados en el informe IS.4.4 han sido corregidos y verificados mediante pruebas unitarias exitosas. Se han cumplido los criterios de salida establecidos para cada componente.</w:t>
      </w:r>
    </w:p>
    <w:p w:rsidR="00000000" w:rsidDel="00000000" w:rsidP="00000000" w:rsidRDefault="00000000" w:rsidRPr="00000000" w14:paraId="00000032">
      <w:pPr>
        <w:pStyle w:val="Heading1"/>
        <w:rPr/>
      </w:pPr>
      <w:bookmarkStart w:colFirst="0" w:colLast="0" w:name="_nidvvu926chx" w:id="9"/>
      <w:bookmarkEnd w:id="9"/>
      <w:r w:rsidDel="00000000" w:rsidR="00000000" w:rsidRPr="00000000">
        <w:rPr>
          <w:rtl w:val="0"/>
        </w:rPr>
        <w:t xml:space="preserve">Próximos Pasos</w:t>
      </w:r>
    </w:p>
    <w:p w:rsidR="00000000" w:rsidDel="00000000" w:rsidP="00000000" w:rsidRDefault="00000000" w:rsidRPr="00000000" w14:paraId="00000033">
      <w:pPr>
        <w:numPr>
          <w:ilvl w:val="0"/>
          <w:numId w:val="2"/>
        </w:numPr>
        <w:ind w:left="720" w:hanging="360"/>
        <w:rPr>
          <w:rFonts w:ascii="Arial" w:cs="Arial" w:eastAsia="Arial" w:hAnsi="Arial"/>
          <w:color w:val="000000"/>
          <w:sz w:val="22"/>
          <w:szCs w:val="22"/>
        </w:rPr>
      </w:pPr>
      <w:r w:rsidDel="00000000" w:rsidR="00000000" w:rsidRPr="00000000">
        <w:rPr>
          <w:rtl w:val="0"/>
        </w:rPr>
        <w:t xml:space="preserve">Realizar pruebas de integración para asegurar la correcta interacción entre los componentes corregidos.</w:t>
      </w:r>
    </w:p>
    <w:p w:rsidR="00000000" w:rsidDel="00000000" w:rsidP="00000000" w:rsidRDefault="00000000" w:rsidRPr="00000000" w14:paraId="00000034">
      <w:pPr>
        <w:numPr>
          <w:ilvl w:val="0"/>
          <w:numId w:val="2"/>
        </w:numPr>
        <w:ind w:left="720" w:hanging="360"/>
        <w:rPr>
          <w:rFonts w:ascii="Arial" w:cs="Arial" w:eastAsia="Arial" w:hAnsi="Arial"/>
          <w:color w:val="000000"/>
          <w:sz w:val="22"/>
          <w:szCs w:val="22"/>
        </w:rPr>
      </w:pPr>
      <w:r w:rsidDel="00000000" w:rsidR="00000000" w:rsidRPr="00000000">
        <w:rPr>
          <w:rtl w:val="0"/>
        </w:rPr>
        <w:t xml:space="preserve">Documentar los resultados de las pruebas de integración.</w:t>
      </w:r>
    </w:p>
    <w:p w:rsidR="00000000" w:rsidDel="00000000" w:rsidP="00000000" w:rsidRDefault="00000000" w:rsidRPr="00000000" w14:paraId="00000035">
      <w:pPr>
        <w:numPr>
          <w:ilvl w:val="0"/>
          <w:numId w:val="2"/>
        </w:numPr>
        <w:ind w:left="720" w:hanging="360"/>
        <w:rPr>
          <w:rFonts w:ascii="Arial" w:cs="Arial" w:eastAsia="Arial" w:hAnsi="Arial"/>
          <w:color w:val="000000"/>
          <w:sz w:val="22"/>
          <w:szCs w:val="22"/>
        </w:rPr>
      </w:pPr>
      <w:r w:rsidDel="00000000" w:rsidR="00000000" w:rsidRPr="00000000">
        <w:rPr>
          <w:rtl w:val="0"/>
        </w:rPr>
        <w:t xml:space="preserve">Preparar el entorno para pruebas de aceptación por el usuario (UAT).</w:t>
      </w:r>
    </w:p>
    <w:p w:rsidR="00000000" w:rsidDel="00000000" w:rsidP="00000000" w:rsidRDefault="00000000" w:rsidRPr="00000000" w14:paraId="00000036">
      <w:pPr>
        <w:rPr>
          <w:rFonts w:ascii="Arial" w:cs="Arial" w:eastAsia="Arial" w:hAnsi="Arial"/>
          <w:color w:val="000000"/>
          <w:sz w:val="22"/>
          <w:szCs w:val="22"/>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4"/>
        <w:szCs w:val="24"/>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4"/>
        <w:szCs w:val="24"/>
        <w:u w:val="none"/>
        <w:shd w:fill="auto" w:val="clear"/>
        <w:vertAlign w:val="baseline"/>
      </w:rPr>
      <w:tcPr>
        <w:tcBorders>
          <w:top w:color="000000" w:space="0" w:sz="0" w:val="nil"/>
        </w:tcBorders>
        <w:shd w:fill="f2f2ef" w:val="clear"/>
        <w:vAlign w:val="center"/>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4"/>
        <w:szCs w:val="24"/>
        <w:u w:val="none"/>
        <w:shd w:fill="auto" w:val="clear"/>
        <w:vertAlign w:val="baseline"/>
      </w:rPr>
      <w:tcPr>
        <w:tcBorders>
          <w:top w:color="000000" w:space="0" w:sz="0" w:val="nil"/>
        </w:tcBorders>
        <w:shd w:fill="f2f2ef" w:val="clear"/>
        <w:vAlign w:val="cente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