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gzsubkdgvaft" w:id="0"/>
      <w:bookmarkEnd w:id="0"/>
      <w:r w:rsidDel="00000000" w:rsidR="00000000" w:rsidRPr="00000000">
        <w:rPr>
          <w:rFonts w:ascii="Inter Medium" w:cs="Inter Medium" w:eastAsia="Inter Medium" w:hAnsi="Inter Medium"/>
          <w:b w:val="0"/>
          <w:i w:val="0"/>
          <w:smallCaps w:val="0"/>
          <w:strike w:val="0"/>
          <w:color w:val="1f1f1f"/>
          <w:sz w:val="52"/>
          <w:szCs w:val="52"/>
          <w:u w:val="none"/>
          <w:shd w:fill="auto" w:val="clear"/>
          <w:vertAlign w:val="baseline"/>
          <w:rtl w:val="0"/>
        </w:rPr>
        <w:t xml:space="preserve">Pestaña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oleqswuql97i" w:id="1"/>
      <w:bookmarkEnd w:id="1"/>
      <w:r w:rsidDel="00000000" w:rsidR="00000000" w:rsidRPr="00000000">
        <w:rPr>
          <w:rtl w:val="0"/>
        </w:rPr>
        <w:t xml:space="preserve">Manual de Operación de la Aplicación Móvil La Flor de Córdoba</w:t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n4fcw5qii6lg" w:id="2"/>
      <w:bookmarkEnd w:id="2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Este manual proporciona la información necesaria para instalar y gestionar el software de la aplicación móvil "La Flor de Córdoba". Está diseñado para el personal responsable de la operación y soporte de la aplicación.</w:t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llo7k2nta3g3" w:id="3"/>
      <w:bookmarkEnd w:id="3"/>
      <w:r w:rsidDel="00000000" w:rsidR="00000000" w:rsidRPr="00000000">
        <w:rPr>
          <w:rtl w:val="0"/>
        </w:rPr>
        <w:t xml:space="preserve">Criterios para la Operación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La aplicación móvil "La Flor de Córdoba" ha sido diseñada para facilitar la interacción de los clientes con la cafetería, permitiendo la acumulación y canje de puntos, pagos mediante recargas, y la localización de sucursales. Su correcto funcionamiento depende de la estabilidad de la infraestructura del backend y la correcta configuración de los dispositivos móviles.</w:t>
      </w:r>
    </w:p>
    <w:p w:rsidR="00000000" w:rsidDel="00000000" w:rsidP="00000000" w:rsidRDefault="00000000" w:rsidRPr="00000000" w14:paraId="00000007">
      <w:pPr>
        <w:pStyle w:val="Heading1"/>
        <w:rPr/>
      </w:pPr>
      <w:bookmarkStart w:colFirst="0" w:colLast="0" w:name="_fvayz4ubugb1" w:id="4"/>
      <w:bookmarkEnd w:id="4"/>
      <w:r w:rsidDel="00000000" w:rsidR="00000000" w:rsidRPr="00000000">
        <w:rPr>
          <w:rtl w:val="0"/>
        </w:rPr>
        <w:t xml:space="preserve">Descripción de Cómo Operar el Producto</w:t>
      </w:r>
    </w:p>
    <w:p w:rsidR="00000000" w:rsidDel="00000000" w:rsidP="00000000" w:rsidRDefault="00000000" w:rsidRPr="00000000" w14:paraId="00000008">
      <w:pPr>
        <w:pStyle w:val="Heading2"/>
        <w:rPr/>
      </w:pPr>
      <w:bookmarkStart w:colFirst="0" w:colLast="0" w:name="_5y1iols7ogmj" w:id="5"/>
      <w:bookmarkEnd w:id="5"/>
      <w:r w:rsidDel="00000000" w:rsidR="00000000" w:rsidRPr="00000000">
        <w:rPr>
          <w:rtl w:val="0"/>
        </w:rPr>
        <w:t xml:space="preserve">Entorno Operativo Requerido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Front-End (Aplicación Móvil):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Dispositivos Android con versión 5.0 o superior.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Dispositivos iOS con versión 10.0 o superior.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Conexión a Internet (Wi-Fi o datos móviles).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Back-End: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Servidores con capacidad para manejar la carga de usuarios y transacciones.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Base de datos PostgreSQL.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Redis Cache para mejorar el rendimiento.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Kong API Gateway para la gestión de solicitudes.</w:t>
      </w:r>
    </w:p>
    <w:p w:rsidR="00000000" w:rsidDel="00000000" w:rsidP="00000000" w:rsidRDefault="00000000" w:rsidRPr="00000000" w14:paraId="00000012">
      <w:pPr>
        <w:pStyle w:val="Heading2"/>
        <w:rPr/>
      </w:pPr>
      <w:bookmarkStart w:colFirst="0" w:colLast="0" w:name="_7wcpzitf01qn" w:id="6"/>
      <w:bookmarkEnd w:id="6"/>
      <w:r w:rsidDel="00000000" w:rsidR="00000000" w:rsidRPr="00000000">
        <w:rPr>
          <w:rtl w:val="0"/>
        </w:rPr>
        <w:t xml:space="preserve">Herramienta y Material de Apoyo Requerido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Manuales de usuario (este documento).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Acceso a la documentación técnica de las APIs del backend.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Acceso a la consola de administración de Kong API Gateway.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Acceso a la consola de administración de la base de datos PostgreSQL.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Herramientas de monitoreo para el rendimiento del backend (ej., herramientas de monitoreo de logs y métricas).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Cuenta de Twilio para el envío de notificaciones SMS.</w:t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3vaduhr8sbbj" w:id="7"/>
      <w:bookmarkEnd w:id="7"/>
      <w:r w:rsidDel="00000000" w:rsidR="00000000" w:rsidRPr="00000000">
        <w:rPr>
          <w:rtl w:val="0"/>
        </w:rPr>
        <w:t xml:space="preserve">Posibles Alertas de Seguridad (Safety)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Asegurar que los datos sensibles (información de usuario, transacciones) estén protegidos con cifrado y autenticación 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Proteger el backend contra ataques y acceso no autorizado.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Realizar copias de seguridad regulares de la base de datos 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Monitorear los logs del sistema para detectar actividades sospechosas.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Mantener actualizadas las versiones del software (tanto el front-end como el back-end).</w:t>
      </w:r>
    </w:p>
    <w:p w:rsidR="00000000" w:rsidDel="00000000" w:rsidP="00000000" w:rsidRDefault="00000000" w:rsidRPr="00000000" w14:paraId="0000001F">
      <w:pPr>
        <w:pStyle w:val="Heading2"/>
        <w:rPr/>
      </w:pPr>
      <w:bookmarkStart w:colFirst="0" w:colLast="0" w:name="_9zqt3xfjijen" w:id="8"/>
      <w:bookmarkEnd w:id="8"/>
      <w:r w:rsidDel="00000000" w:rsidR="00000000" w:rsidRPr="00000000">
        <w:rPr>
          <w:rtl w:val="0"/>
        </w:rPr>
        <w:t xml:space="preserve">Preparativos y Secuencia para la Puesta en Marcha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Instalación del Back-End: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Configurar los servidores.</w:t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Instalar y configurar PostgreSQL.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Instalar y configurar Redis Cache.</w:t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Instalar y configurar Kong API Gateway.</w:t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Desplegar los microservicios del backend (Backend de Usuario, Backend de Tienda, Microservicio de Notificaciones).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Configuración del Front-End (Aplicación Móvil):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Distribuir la aplicación a través de las tiendas de aplicaciones (Google Play Store, Apple App Store).</w:t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Configurar la conexión de la aplicación con el API Gateway.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Pruebas: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Realizar pruebas funcionales y de rendimiento.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Verificar la correcta integración de los componentes.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Lanzamiento: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Hacer la aplicación disponible para los usuarios.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Monitorear el rendimiento y solucionar problemas.</w:t>
      </w:r>
    </w:p>
    <w:p w:rsidR="00000000" w:rsidDel="00000000" w:rsidP="00000000" w:rsidRDefault="00000000" w:rsidRPr="00000000" w14:paraId="0000002F">
      <w:pPr>
        <w:pStyle w:val="Heading2"/>
        <w:rPr/>
      </w:pPr>
      <w:bookmarkStart w:colFirst="0" w:colLast="0" w:name="_qpktahlu5dch" w:id="9"/>
      <w:bookmarkEnd w:id="9"/>
      <w:r w:rsidDel="00000000" w:rsidR="00000000" w:rsidRPr="00000000">
        <w:rPr>
          <w:rtl w:val="0"/>
        </w:rPr>
        <w:t xml:space="preserve">Preguntas Frecuentes (FAQ)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¿Cómo se actualiza la aplicación móvil?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Las actualizaciones se distribuyen a través de las tiendas de aplicaciones. Los usuarios deben tener activadas las actualizaciones automáticas o realizar la actualización manualmente.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¿Qué hacer si la aplicación no responde?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Verificar la conexión a Internet.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Reiniciar la aplicación.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Contactar al soporte técnico si el problema persiste.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¿Cómo se gestionan los errores en el Microservicio de Notificaciones?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El microservicio incluye un manejo de errores robusto para asegurar la entrega de notificaciones. Se deben monitorear los logs para identificar y solucionar problemas.</w:t>
      </w:r>
    </w:p>
    <w:p w:rsidR="00000000" w:rsidDel="00000000" w:rsidP="00000000" w:rsidRDefault="00000000" w:rsidRPr="00000000" w14:paraId="00000038">
      <w:pPr>
        <w:pStyle w:val="Heading2"/>
        <w:rPr/>
      </w:pPr>
      <w:bookmarkStart w:colFirst="0" w:colLast="0" w:name="_g93h3c9zg553" w:id="10"/>
      <w:bookmarkEnd w:id="10"/>
      <w:r w:rsidDel="00000000" w:rsidR="00000000" w:rsidRPr="00000000">
        <w:rPr>
          <w:rtl w:val="0"/>
        </w:rPr>
        <w:t xml:space="preserve">Fuentes de Información Adicional y Ayuda para Operar el Producto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Documentación técnica de las APIs del backend.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Consola de administración de Kong API Gateway.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Consola de administración de PostgreSQL.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Documentación de Twilio.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Contactar al equipo de desarrollo para soporte adicional.</w:t>
      </w:r>
    </w:p>
    <w:p w:rsidR="00000000" w:rsidDel="00000000" w:rsidP="00000000" w:rsidRDefault="00000000" w:rsidRPr="00000000" w14:paraId="0000003E">
      <w:pPr>
        <w:pStyle w:val="Heading2"/>
        <w:rPr/>
      </w:pPr>
      <w:bookmarkStart w:colFirst="0" w:colLast="0" w:name="_d6oku479rj5z" w:id="11"/>
      <w:bookmarkEnd w:id="11"/>
      <w:r w:rsidDel="00000000" w:rsidR="00000000" w:rsidRPr="00000000">
        <w:rPr>
          <w:rtl w:val="0"/>
        </w:rPr>
        <w:t xml:space="preserve">Certificación y Aprobaciones de Seguridad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La aplicación debe cumplir con las regulaciones de seguridad de datos y privacidad aplicables en la región.</w:t>
      </w:r>
    </w:p>
    <w:p w:rsidR="00000000" w:rsidDel="00000000" w:rsidP="00000000" w:rsidRDefault="00000000" w:rsidRPr="00000000" w14:paraId="00000040">
      <w:pPr>
        <w:pStyle w:val="Heading2"/>
        <w:rPr/>
      </w:pPr>
      <w:bookmarkStart w:colFirst="0" w:colLast="0" w:name="_kdlfayjx3mw" w:id="12"/>
      <w:bookmarkEnd w:id="12"/>
      <w:r w:rsidDel="00000000" w:rsidR="00000000" w:rsidRPr="00000000">
        <w:rPr>
          <w:rtl w:val="0"/>
        </w:rPr>
        <w:t xml:space="preserve">Garantía e Instrucciones de Reemplazo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La aplicación se proporciona "tal cual".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El equipo de desarrollo se compromete a solucionar errores y mejorar la aplicación continuamente.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En caso de fallos críticos, se proporcionarán actualizaciones correctivas lo antes posible.</w:t>
      </w:r>
    </w:p>
    <w:p w:rsidR="00000000" w:rsidDel="00000000" w:rsidP="00000000" w:rsidRDefault="00000000" w:rsidRPr="00000000" w14:paraId="00000044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Este manual proporciona una guía detallada para el desarrollo y operación de la aplicación móvil "La Flor de Córdoba", asegurando la trazabilidad con los requisitos y el diseño arquitectónico de alto nivel.</w:t>
      </w: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4"/>
        <w:szCs w:val="24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Inter Medium" w:cs="Inter Medium" w:eastAsia="Inter Medium" w:hAnsi="Inter Medium"/>
      <w:i w:val="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Inter Medium" w:cs="Inter Medium" w:eastAsia="Inter Medium" w:hAnsi="Inter Medium"/>
      <w:i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Inter Medium" w:cs="Inter Medium" w:eastAsia="Inter Medium" w:hAnsi="Inter Medium"/>
      <w:i w:val="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Inter Medium" w:cs="Inter Medium" w:eastAsia="Inter Medium" w:hAnsi="Inter Medium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 SemiBold" w:cs="Inter SemiBold" w:eastAsia="Inter SemiBold" w:hAnsi="Inter SemiBold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" w:cs="Inter" w:eastAsia="Inter" w:hAnsi="Inter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rFonts w:ascii="Inter Medium" w:cs="Inter Medium" w:eastAsia="Inter Medium" w:hAnsi="Inter Medium"/>
      <w:i w:val="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Inter" w:cs="Inter" w:eastAsia="Inter" w:hAnsi="Inter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11" Type="http://schemas.openxmlformats.org/officeDocument/2006/relationships/font" Target="fonts/InterMedium-italic.ttf"/><Relationship Id="rId10" Type="http://schemas.openxmlformats.org/officeDocument/2006/relationships/font" Target="fonts/InterMedium-bold.ttf"/><Relationship Id="rId12" Type="http://schemas.openxmlformats.org/officeDocument/2006/relationships/font" Target="fonts/InterMedium-boldItalic.ttf"/><Relationship Id="rId9" Type="http://schemas.openxmlformats.org/officeDocument/2006/relationships/font" Target="fonts/InterMedium-regular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