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120" w:before="240"/>
        <w:jc w:val="center"/>
      </w:pPr>
      <w:r>
        <w:rPr>
          <w:rFonts w:ascii="Calibri" w:cs="Calibri" w:eastAsia="Calibri" w:hAnsi="Calibri"/>
          <w:b/>
          <w:bCs/>
          <w:color w:val="FFFFFF"/>
          <w:sz w:val="40"/>
          <w:szCs w:val="40"/>
        </w:rPr>
        <w:t xml:space="preserve">Acta de Reunión de Seguimiento</w:t>
      </w:r>
    </w:p>
    <w:p>
      <w:pPr>
        <w:shd w:fill="1F3864" w:val="clear"/>
        <w:spacing w:after="240" w:before="0"/>
        <w:jc w:val="center"/>
      </w:pPr>
      <w:r>
        <w:rPr>
          <w:rFonts w:ascii="Calibri" w:cs="Calibri" w:eastAsia="Calibri" w:hAnsi="Calibri"/>
          <w:b w:val="false"/>
          <w:bCs w:val="false"/>
          <w:color w:val="FFFFFF"/>
          <w:sz w:val="28"/>
          <w:szCs w:val="28"/>
        </w:rPr>
        <w:t xml:space="preserve">MDR ERP Manager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Campo</w:t>
            </w:r>
          </w:p>
        </w:tc>
        <w:tc>
          <w:tcPr>
            <w:tcW w:type="dxa" w:w="7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Detalle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Fecha</w:t>
            </w:r>
          </w:p>
        </w:tc>
        <w:tc>
          <w:tcPr>
            <w:tcW w:type="dxa" w:w="7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18 de marzo de 2026</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Participantes</w:t>
            </w:r>
          </w:p>
        </w:tc>
        <w:tc>
          <w:tcPr>
            <w:tcW w:type="dxa" w:w="7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Enrique del Rey (Gerente MDR)  ·  Carmen (Responsable Comercial MDR)  ·  Luis Innovabyte (Desarrollo)</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Estado</w:t>
            </w:r>
          </w:p>
        </w:tc>
        <w:tc>
          <w:tcPr>
            <w:tcW w:type="dxa" w:w="7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Pendiente de planificación y estimación económica</w:t>
            </w:r>
          </w:p>
        </w:tc>
      </w:tr>
    </w:tbl>
    <w:p>
      <w:pPr>
        <w:spacing w:after="200" w:before="0"/>
      </w:pPr>
      <w:r>
        <w:t xml:space="preserve"/>
      </w:r>
    </w:p>
    <w:p>
      <w:pPr>
        <w:pStyle w:val="Heading1"/>
        <w:shd w:fill="1F3864" w:val="clear"/>
        <w:spacing w:after="200" w:before="300"/>
        <w:ind w:left="120" w:right="120"/>
      </w:pPr>
      <w:r>
        <w:rPr>
          <w:rFonts w:ascii="Calibri" w:cs="Calibri" w:eastAsia="Calibri" w:hAnsi="Calibri"/>
          <w:b/>
          <w:bCs/>
          <w:color w:val="FFFFFF"/>
          <w:sz w:val="28"/>
          <w:szCs w:val="28"/>
        </w:rPr>
        <w:t xml:space="preserve">1. Estado actual del proyecto</w:t>
      </w:r>
    </w:p>
    <w:p>
      <w:pPr>
        <w:spacing w:after="160" w:before="0"/>
        <w:jc w:val="left"/>
      </w:pPr>
      <w:r>
        <w:rPr>
          <w:rFonts w:ascii="Calibri" w:cs="Calibri" w:eastAsia="Calibri" w:hAnsi="Calibri"/>
          <w:b w:val="false"/>
          <w:bCs w:val="false"/>
          <w:i w:val="false"/>
          <w:iCs w:val="false"/>
          <w:color w:val="000000"/>
          <w:sz w:val="22"/>
          <w:szCs w:val="22"/>
        </w:rPr>
        <w:t xml:space="preserve">Recorrido completo por los módulos implementados, validados con el cliente durante la reunión.</w:t>
      </w:r>
    </w:p>
    <w:p>
      <w:pPr>
        <w:pStyle w:val="Heading2"/>
        <w:pBdr>
          <w:bottom w:val="single" w:color="2E5FA3" w:sz="6" w:space="2"/>
        </w:pBdr>
        <w:spacing w:after="140" w:before="280"/>
      </w:pPr>
      <w:r>
        <w:rPr>
          <w:rFonts w:ascii="Calibri" w:cs="Calibri" w:eastAsia="Calibri" w:hAnsi="Calibri"/>
          <w:b/>
          <w:bCs/>
          <w:color w:val="2E5FA3"/>
          <w:sz w:val="24"/>
          <w:szCs w:val="24"/>
        </w:rPr>
        <w:t xml:space="preserve">1.1  Gestión de artículos y elementos</w:t>
      </w:r>
    </w:p>
    <w:p>
      <w:pPr>
        <w:pStyle w:val="ListParagraph"/>
        <w:numPr>
          <w:ilvl w:val="0"/>
          <w:numId w:val="2"/>
        </w:numPr>
        <w:spacing w:after="80" w:before="0"/>
      </w:pPr>
      <w:r>
        <w:rPr>
          <w:rFonts w:ascii="Calibri" w:cs="Calibri" w:eastAsia="Calibri" w:hAnsi="Calibri"/>
          <w:color w:val="000000"/>
          <w:sz w:val="22"/>
          <w:szCs w:val="22"/>
        </w:rPr>
        <w:t xml:space="preserve">Alta de artículos con codificación automática, familia, peso medio calculado, imagen, idioma ES/EN.</w:t>
      </w:r>
    </w:p>
    <w:p>
      <w:pPr>
        <w:pStyle w:val="ListParagraph"/>
        <w:numPr>
          <w:ilvl w:val="0"/>
          <w:numId w:val="2"/>
        </w:numPr>
        <w:spacing w:after="80" w:before="0"/>
      </w:pPr>
      <w:r>
        <w:rPr>
          <w:rFonts w:ascii="Calibri" w:cs="Calibri" w:eastAsia="Calibri" w:hAnsi="Calibri"/>
          <w:color w:val="000000"/>
          <w:sz w:val="22"/>
          <w:szCs w:val="22"/>
        </w:rPr>
        <w:t xml:space="preserve">Control de características especiales: kit, no facturar, permitir/bloquear descuentos, precio editable en presupuesto.</w:t>
      </w:r>
    </w:p>
    <w:p>
      <w:pPr>
        <w:pStyle w:val="ListParagraph"/>
        <w:numPr>
          <w:ilvl w:val="0"/>
          <w:numId w:val="2"/>
        </w:numPr>
        <w:spacing w:after="80" w:before="0"/>
      </w:pPr>
      <w:r>
        <w:rPr>
          <w:rFonts w:ascii="Calibri" w:cs="Calibri" w:eastAsia="Calibri" w:hAnsi="Calibri"/>
          <w:color w:val="000000"/>
          <w:sz w:val="22"/>
          <w:szCs w:val="22"/>
        </w:rPr>
        <w:t xml:space="preserve">Herencia de coeficientes desde familia o configuración específica por artículo.</w:t>
      </w:r>
    </w:p>
    <w:p>
      <w:pPr>
        <w:pStyle w:val="ListParagraph"/>
        <w:numPr>
          <w:ilvl w:val="0"/>
          <w:numId w:val="2"/>
        </w:numPr>
        <w:spacing w:after="80" w:before="0"/>
      </w:pPr>
      <w:r>
        <w:rPr>
          <w:rFonts w:ascii="Calibri" w:cs="Calibri" w:eastAsia="Calibri" w:hAnsi="Calibri"/>
          <w:color w:val="000000"/>
          <w:sz w:val="22"/>
          <w:szCs w:val="22"/>
        </w:rPr>
        <w:t xml:space="preserve">Gestión de elementos físicos con estado automático (disponible → preparación → en cliente → retornado).</w:t>
      </w:r>
    </w:p>
    <w:p>
      <w:pPr>
        <w:pStyle w:val="ListParagraph"/>
        <w:numPr>
          <w:ilvl w:val="0"/>
          <w:numId w:val="2"/>
        </w:numPr>
        <w:spacing w:after="80" w:before="0"/>
      </w:pPr>
      <w:r>
        <w:rPr>
          <w:rFonts w:ascii="Calibri" w:cs="Calibri" w:eastAsia="Calibri" w:hAnsi="Calibri"/>
          <w:color w:val="000000"/>
          <w:sz w:val="22"/>
          <w:szCs w:val="22"/>
        </w:rPr>
        <w:t xml:space="preserve">Visualizador de elementos agrupado por estado (disponibles, en reparación, de baja, etc.).</w:t>
      </w:r>
    </w:p>
    <w:p>
      <w:pPr>
        <w:pStyle w:val="ListParagraph"/>
        <w:numPr>
          <w:ilvl w:val="0"/>
          <w:numId w:val="2"/>
        </w:numPr>
        <w:spacing w:after="80" w:before="0"/>
      </w:pPr>
      <w:r>
        <w:rPr>
          <w:rFonts w:ascii="Calibri" w:cs="Calibri" w:eastAsia="Calibri" w:hAnsi="Calibri"/>
          <w:color w:val="000000"/>
          <w:sz w:val="22"/>
          <w:szCs w:val="22"/>
        </w:rPr>
        <w:t xml:space="preserve">Gestión documental de elementos en dos capas diferenciadas:</w:t>
      </w:r>
    </w:p>
    <w:p>
      <w:pPr>
        <w:pStyle w:val="ListParagraph"/>
        <w:numPr>
          <w:ilvl w:val="1"/>
          <w:numId w:val="2"/>
        </w:numPr>
        <w:spacing w:after="80" w:before="0"/>
      </w:pPr>
      <w:r>
        <w:rPr>
          <w:rFonts w:ascii="Calibri" w:cs="Calibri" w:eastAsia="Calibri" w:hAnsi="Calibri"/>
          <w:color w:val="000000"/>
          <w:sz w:val="22"/>
          <w:szCs w:val="22"/>
        </w:rPr>
        <w:t xml:space="preserve">Administración: facturas de compra/reparación, seguros, fotos.</w:t>
      </w:r>
    </w:p>
    <w:p>
      <w:pPr>
        <w:pStyle w:val="ListParagraph"/>
        <w:numPr>
          <w:ilvl w:val="1"/>
          <w:numId w:val="2"/>
        </w:numPr>
        <w:spacing w:after="80" w:before="0"/>
      </w:pPr>
      <w:r>
        <w:rPr>
          <w:rFonts w:ascii="Calibri" w:cs="Calibri" w:eastAsia="Calibri" w:hAnsi="Calibri"/>
          <w:color w:val="000000"/>
          <w:sz w:val="22"/>
          <w:szCs w:val="22"/>
        </w:rPr>
        <w:t xml:space="preserve">Técnicos: manuales de usuario, fichas de seguridad — accesible desde móvil con descarga offline.</w:t>
      </w:r>
    </w:p>
    <w:p>
      <w:pPr>
        <w:spacing w:after="120" w:before="0"/>
      </w:pPr>
      <w:r>
        <w:t xml:space="preserve"/>
      </w:r>
    </w:p>
    <w:p>
      <w:pPr>
        <w:pStyle w:val="Heading2"/>
        <w:pBdr>
          <w:bottom w:val="single" w:color="2E5FA3" w:sz="6" w:space="2"/>
        </w:pBdr>
        <w:spacing w:after="140" w:before="280"/>
      </w:pPr>
      <w:r>
        <w:rPr>
          <w:rFonts w:ascii="Calibri" w:cs="Calibri" w:eastAsia="Calibri" w:hAnsi="Calibri"/>
          <w:b/>
          <w:bCs/>
          <w:color w:val="2E5FA3"/>
          <w:sz w:val="24"/>
          <w:szCs w:val="24"/>
        </w:rPr>
        <w:t xml:space="preserve">1.2  Gestión de presupuestos</w:t>
      </w:r>
    </w:p>
    <w:p>
      <w:pPr>
        <w:pStyle w:val="ListParagraph"/>
        <w:numPr>
          <w:ilvl w:val="0"/>
          <w:numId w:val="2"/>
        </w:numPr>
        <w:spacing w:after="80" w:before="0"/>
      </w:pPr>
      <w:r>
        <w:rPr>
          <w:rFonts w:ascii="Calibri" w:cs="Calibri" w:eastAsia="Calibri" w:hAnsi="Calibri"/>
          <w:color w:val="000000"/>
          <w:sz w:val="22"/>
          <w:szCs w:val="22"/>
        </w:rPr>
        <w:t xml:space="preserve">Cabecera con datos del evento, fechas, forma de pago, referencia de pedido, observaciones de pie (destacadas o normales).</w:t>
      </w:r>
    </w:p>
    <w:p>
      <w:pPr>
        <w:pStyle w:val="ListParagraph"/>
        <w:numPr>
          <w:ilvl w:val="0"/>
          <w:numId w:val="2"/>
        </w:numPr>
        <w:spacing w:after="80" w:before="0"/>
      </w:pPr>
      <w:r>
        <w:rPr>
          <w:rFonts w:ascii="Calibri" w:cs="Calibri" w:eastAsia="Calibri" w:hAnsi="Calibri"/>
          <w:color w:val="000000"/>
          <w:sz w:val="22"/>
          <w:szCs w:val="22"/>
        </w:rPr>
        <w:t xml:space="preserve">Líneas con coeficientes de jornada aplicados automáticamente (toma el tramo inmediatamente superior si no existe el exacto).</w:t>
      </w:r>
    </w:p>
    <w:p>
      <w:pPr>
        <w:pStyle w:val="ListParagraph"/>
        <w:numPr>
          <w:ilvl w:val="0"/>
          <w:numId w:val="2"/>
        </w:numPr>
        <w:spacing w:after="80" w:before="0"/>
      </w:pPr>
      <w:r>
        <w:rPr>
          <w:rFonts w:ascii="Calibri" w:cs="Calibri" w:eastAsia="Calibri" w:hAnsi="Calibri"/>
          <w:color w:val="000000"/>
          <w:sz w:val="22"/>
          <w:szCs w:val="22"/>
        </w:rPr>
        <w:t xml:space="preserve">Versiones operativas (v1 → v2 → v3).</w:t>
      </w:r>
    </w:p>
    <w:p>
      <w:pPr>
        <w:pStyle w:val="ListParagraph"/>
        <w:numPr>
          <w:ilvl w:val="0"/>
          <w:numId w:val="2"/>
        </w:numPr>
        <w:spacing w:after="80" w:before="0"/>
      </w:pPr>
      <w:r>
        <w:rPr>
          <w:rFonts w:ascii="Calibri" w:cs="Calibri" w:eastAsia="Calibri" w:hAnsi="Calibri"/>
          <w:color w:val="000000"/>
          <w:sz w:val="22"/>
          <w:szCs w:val="22"/>
        </w:rPr>
        <w:t xml:space="preserve">Documento dual: presupuesto para cliente final (sin rappel) y documento para intermediario/hotel (con descuento por línea).</w:t>
      </w:r>
    </w:p>
    <w:p>
      <w:pPr>
        <w:pStyle w:val="ListParagraph"/>
        <w:numPr>
          <w:ilvl w:val="0"/>
          <w:numId w:val="2"/>
        </w:numPr>
        <w:spacing w:after="80" w:before="0"/>
      </w:pPr>
      <w:r>
        <w:rPr>
          <w:rFonts w:ascii="Calibri" w:cs="Calibri" w:eastAsia="Calibri" w:hAnsi="Calibri"/>
          <w:color w:val="000000"/>
          <w:sz w:val="22"/>
          <w:szCs w:val="22"/>
        </w:rPr>
        <w:t xml:space="preserve">Control de descuentos configurable por artículo y por presupuesto.</w:t>
      </w:r>
    </w:p>
    <w:p>
      <w:pPr>
        <w:spacing w:after="120" w:before="0"/>
      </w:pPr>
      <w:r>
        <w:t xml:space="preserve"/>
      </w:r>
    </w:p>
    <w:p>
      <w:pPr>
        <w:pStyle w:val="Heading2"/>
        <w:pBdr>
          <w:bottom w:val="single" w:color="2E5FA3" w:sz="6" w:space="2"/>
        </w:pBdr>
        <w:spacing w:after="140" w:before="280"/>
      </w:pPr>
      <w:r>
        <w:rPr>
          <w:rFonts w:ascii="Calibri" w:cs="Calibri" w:eastAsia="Calibri" w:hAnsi="Calibri"/>
          <w:b/>
          <w:bCs/>
          <w:color w:val="2E5FA3"/>
          <w:sz w:val="24"/>
          <w:szCs w:val="24"/>
        </w:rPr>
        <w:t xml:space="preserve">1.3  Informes y analítica</w:t>
      </w:r>
    </w:p>
    <w:p>
      <w:pPr>
        <w:pStyle w:val="ListParagraph"/>
        <w:numPr>
          <w:ilvl w:val="0"/>
          <w:numId w:val="2"/>
        </w:numPr>
        <w:spacing w:after="80" w:before="0"/>
      </w:pPr>
      <w:r>
        <w:rPr>
          <w:rFonts w:ascii="Calibri" w:cs="Calibri" w:eastAsia="Calibri" w:hAnsi="Calibri"/>
          <w:color w:val="000000"/>
          <w:sz w:val="22"/>
          <w:szCs w:val="22"/>
        </w:rPr>
        <w:t xml:space="preserve">Calendario de presupuestos con acceso directo a cada evento.</w:t>
      </w:r>
    </w:p>
    <w:p>
      <w:pPr>
        <w:pStyle w:val="ListParagraph"/>
        <w:numPr>
          <w:ilvl w:val="0"/>
          <w:numId w:val="2"/>
        </w:numPr>
        <w:spacing w:after="80" w:before="0"/>
      </w:pPr>
      <w:r>
        <w:rPr>
          <w:rFonts w:ascii="Calibri" w:cs="Calibri" w:eastAsia="Calibri" w:hAnsi="Calibri"/>
          <w:color w:val="000000"/>
          <w:sz w:val="22"/>
          <w:szCs w:val="22"/>
        </w:rPr>
        <w:t xml:space="preserve">Informe de rotación de inventario: artículos más alquilados, top 10, tendencia mensual, análisis por familia.</w:t>
      </w:r>
    </w:p>
    <w:p>
      <w:pPr>
        <w:pStyle w:val="ListParagraph"/>
        <w:numPr>
          <w:ilvl w:val="0"/>
          <w:numId w:val="2"/>
        </w:numPr>
        <w:spacing w:after="80" w:before="0"/>
      </w:pPr>
      <w:r>
        <w:rPr>
          <w:rFonts w:ascii="Calibri" w:cs="Calibri" w:eastAsia="Calibri" w:hAnsi="Calibri"/>
          <w:color w:val="000000"/>
          <w:sz w:val="22"/>
          <w:szCs w:val="22"/>
        </w:rPr>
        <w:t xml:space="preserve">Informe de ventas por periodo: total aprobado, pendiente de facturar, facturado, comparativa mensual/anual, top clientes.</w:t>
      </w:r>
    </w:p>
    <w:p>
      <w:pPr>
        <w:pStyle w:val="ListParagraph"/>
        <w:numPr>
          <w:ilvl w:val="0"/>
          <w:numId w:val="2"/>
        </w:numPr>
        <w:spacing w:after="80" w:before="0"/>
      </w:pPr>
      <w:r>
        <w:rPr>
          <w:rFonts w:ascii="Calibri" w:cs="Calibri" w:eastAsia="Calibri" w:hAnsi="Calibri"/>
          <w:color w:val="000000"/>
          <w:sz w:val="22"/>
          <w:szCs w:val="22"/>
        </w:rPr>
        <w:t xml:space="preserve">Control de disponibilidad de material por artículo y fecha (confirmado vs. presupuestado).</w:t>
      </w:r>
    </w:p>
    <w:p>
      <w:pPr>
        <w:spacing w:after="120" w:before="0"/>
      </w:pPr>
      <w:r>
        <w:t xml:space="preserve"/>
      </w:r>
    </w:p>
    <w:p>
      <w:pPr>
        <w:pBdr>
          <w:left w:val="single" w:color="C55A11" w:sz="12" w:space="6"/>
        </w:pBdr>
        <w:shd w:fill="FCE4D6" w:val="clear"/>
        <w:spacing w:after="100" w:before="100"/>
        <w:ind w:left="360"/>
      </w:pPr>
      <w:r>
        <w:rPr>
          <w:rFonts w:ascii="Calibri" w:cs="Calibri" w:eastAsia="Calibri" w:hAnsi="Calibri"/>
          <w:color w:val="843C0C"/>
          <w:sz w:val="21"/>
          <w:szCs w:val="21"/>
        </w:rPr>
        <w:t xml:space="preserve">⚠️  Pendiente: cuadrar las cifras del desglose de ventas por familia — se detectó que podrían estar cogiendo una fecha incorrecta.</w:t>
      </w:r>
    </w:p>
    <w:p>
      <w:pPr>
        <w:spacing w:after="120" w:before="0"/>
      </w:pPr>
      <w:r>
        <w:t xml:space="preserve"/>
      </w:r>
    </w:p>
    <w:p>
      <w:pPr>
        <w:pStyle w:val="Heading2"/>
        <w:pBdr>
          <w:bottom w:val="single" w:color="2E5FA3" w:sz="6" w:space="2"/>
        </w:pBdr>
        <w:spacing w:after="140" w:before="280"/>
      </w:pPr>
      <w:r>
        <w:rPr>
          <w:rFonts w:ascii="Calibri" w:cs="Calibri" w:eastAsia="Calibri" w:hAnsi="Calibri"/>
          <w:b/>
          <w:bCs/>
          <w:color w:val="2E5FA3"/>
          <w:sz w:val="24"/>
          <w:szCs w:val="24"/>
        </w:rPr>
        <w:t xml:space="preserve">1.4  Área técnica</w:t>
      </w:r>
    </w:p>
    <w:p>
      <w:pPr>
        <w:pStyle w:val="ListParagraph"/>
        <w:numPr>
          <w:ilvl w:val="0"/>
          <w:numId w:val="2"/>
        </w:numPr>
        <w:spacing w:after="80" w:before="0"/>
      </w:pPr>
      <w:r>
        <w:rPr>
          <w:rFonts w:ascii="Calibri" w:cs="Calibri" w:eastAsia="Calibri" w:hAnsi="Calibri"/>
          <w:color w:val="000000"/>
          <w:sz w:val="22"/>
          <w:szCs w:val="22"/>
        </w:rPr>
        <w:t xml:space="preserve">Kanban operativo en ventana de ±14 días (montaje / en curso / desmontaje).</w:t>
      </w:r>
    </w:p>
    <w:p>
      <w:pPr>
        <w:pStyle w:val="ListParagraph"/>
        <w:numPr>
          <w:ilvl w:val="0"/>
          <w:numId w:val="2"/>
        </w:numPr>
        <w:spacing w:after="80" w:before="0"/>
      </w:pPr>
      <w:r>
        <w:rPr>
          <w:rFonts w:ascii="Calibri" w:cs="Calibri" w:eastAsia="Calibri" w:hAnsi="Calibri"/>
          <w:color w:val="000000"/>
          <w:sz w:val="22"/>
          <w:szCs w:val="22"/>
        </w:rPr>
        <w:t xml:space="preserve">Albarán de carga con peso estimado (promedio para artículos genéricos, suma exacta para kits) y configuración de nivel de detalle.</w:t>
      </w:r>
    </w:p>
    <w:p>
      <w:pPr>
        <w:pStyle w:val="ListParagraph"/>
        <w:numPr>
          <w:ilvl w:val="0"/>
          <w:numId w:val="2"/>
        </w:numPr>
        <w:spacing w:after="80" w:before="0"/>
      </w:pPr>
      <w:r>
        <w:rPr>
          <w:rFonts w:ascii="Calibri" w:cs="Calibri" w:eastAsia="Calibri" w:hAnsi="Calibri"/>
          <w:color w:val="000000"/>
          <w:sz w:val="22"/>
          <w:szCs w:val="22"/>
        </w:rPr>
        <w:t xml:space="preserve">Gestión de elementos: lectura NFC/código, cambio de estado, ubicación (nave, pasillo, altura).</w:t>
      </w:r>
    </w:p>
    <w:p>
      <w:pPr>
        <w:spacing w:after="120" w:before="0"/>
      </w:pPr>
      <w:r>
        <w:t xml:space="preserve"/>
      </w:r>
    </w:p>
    <w:p>
      <w:pPr>
        <w:pStyle w:val="Heading2"/>
        <w:pBdr>
          <w:bottom w:val="single" w:color="2E5FA3" w:sz="6" w:space="2"/>
        </w:pBdr>
        <w:spacing w:after="140" w:before="280"/>
      </w:pPr>
      <w:r>
        <w:rPr>
          <w:rFonts w:ascii="Calibri" w:cs="Calibri" w:eastAsia="Calibri" w:hAnsi="Calibri"/>
          <w:b/>
          <w:bCs/>
          <w:color w:val="2E5FA3"/>
          <w:sz w:val="24"/>
          <w:szCs w:val="24"/>
        </w:rPr>
        <w:t xml:space="preserve">1.5  Gestión de vehículos</w:t>
      </w:r>
    </w:p>
    <w:p>
      <w:pPr>
        <w:pStyle w:val="ListParagraph"/>
        <w:numPr>
          <w:ilvl w:val="0"/>
          <w:numId w:val="2"/>
        </w:numPr>
        <w:spacing w:after="80" w:before="0"/>
      </w:pPr>
      <w:r>
        <w:rPr>
          <w:rFonts w:ascii="Calibri" w:cs="Calibri" w:eastAsia="Calibri" w:hAnsi="Calibri"/>
          <w:color w:val="000000"/>
          <w:sz w:val="22"/>
          <w:szCs w:val="22"/>
        </w:rPr>
        <w:t xml:space="preserve">Alta de furgonetas con matrícula, ITV, seguro, capacidad de carga (m³ y kg), consumo medio, taller habitual.</w:t>
      </w:r>
    </w:p>
    <w:p>
      <w:pPr>
        <w:pStyle w:val="ListParagraph"/>
        <w:numPr>
          <w:ilvl w:val="0"/>
          <w:numId w:val="2"/>
        </w:numPr>
        <w:spacing w:after="80" w:before="0"/>
      </w:pPr>
      <w:r>
        <w:rPr>
          <w:rFonts w:ascii="Calibri" w:cs="Calibri" w:eastAsia="Calibri" w:hAnsi="Calibri"/>
          <w:color w:val="000000"/>
          <w:sz w:val="22"/>
          <w:szCs w:val="22"/>
        </w:rPr>
        <w:t xml:space="preserve">KPIs: total, operativas, bajas, ITV próximas a vencer, seguros próximos a vencer.</w:t>
      </w:r>
    </w:p>
    <w:p>
      <w:pPr>
        <w:pStyle w:val="ListParagraph"/>
        <w:numPr>
          <w:ilvl w:val="0"/>
          <w:numId w:val="2"/>
        </w:numPr>
        <w:spacing w:after="80" w:before="0"/>
      </w:pPr>
      <w:r>
        <w:rPr>
          <w:rFonts w:ascii="Calibri" w:cs="Calibri" w:eastAsia="Calibri" w:hAnsi="Calibri"/>
          <w:color w:val="000000"/>
          <w:sz w:val="22"/>
          <w:szCs w:val="22"/>
        </w:rPr>
        <w:t xml:space="preserve">Registro de kilometraje por vehículo con historial.</w:t>
      </w:r>
    </w:p>
    <w:p>
      <w:pPr>
        <w:spacing w:after="120" w:before="0"/>
      </w:pPr>
      <w:r>
        <w:t xml:space="preserve"/>
      </w:r>
    </w:p>
    <w:p>
      <w:pPr>
        <w:pStyle w:val="Heading2"/>
        <w:pBdr>
          <w:bottom w:val="single" w:color="2E5FA3" w:sz="6" w:space="2"/>
        </w:pBdr>
        <w:spacing w:after="140" w:before="280"/>
      </w:pPr>
      <w:r>
        <w:rPr>
          <w:rFonts w:ascii="Calibri" w:cs="Calibri" w:eastAsia="Calibri" w:hAnsi="Calibri"/>
          <w:b/>
          <w:bCs/>
          <w:color w:val="2E5FA3"/>
          <w:sz w:val="24"/>
          <w:szCs w:val="24"/>
        </w:rPr>
        <w:t xml:space="preserve">1.6  Gestión de clientes</w:t>
      </w:r>
    </w:p>
    <w:p>
      <w:pPr>
        <w:pStyle w:val="ListParagraph"/>
        <w:numPr>
          <w:ilvl w:val="0"/>
          <w:numId w:val="2"/>
        </w:numPr>
        <w:spacing w:after="80" w:before="0"/>
      </w:pPr>
      <w:r>
        <w:rPr>
          <w:rFonts w:ascii="Calibri" w:cs="Calibri" w:eastAsia="Calibri" w:hAnsi="Calibri"/>
          <w:color w:val="000000"/>
          <w:sz w:val="22"/>
          <w:szCs w:val="22"/>
        </w:rPr>
        <w:t xml:space="preserve">Tabla de clientes con dropdown de acciones: editar, contactos, ubicaciones, activar/desactivar.</w:t>
      </w:r>
    </w:p>
    <w:p>
      <w:pPr>
        <w:spacing w:after="200" w:before="0"/>
      </w:pPr>
      <w:r>
        <w:t xml:space="preserve"/>
      </w:r>
    </w:p>
    <w:p>
      <w:pPr>
        <w:pStyle w:val="Heading1"/>
        <w:shd w:fill="1F3864" w:val="clear"/>
        <w:spacing w:after="200" w:before="300"/>
        <w:ind w:left="120" w:right="120"/>
      </w:pPr>
      <w:r>
        <w:rPr>
          <w:rFonts w:ascii="Calibri" w:cs="Calibri" w:eastAsia="Calibri" w:hAnsi="Calibri"/>
          <w:b/>
          <w:bCs/>
          <w:color w:val="FFFFFF"/>
          <w:sz w:val="28"/>
          <w:szCs w:val="28"/>
        </w:rPr>
        <w:t xml:space="preserve">2. Nuevas funcionalidades solicitadas</w:t>
      </w:r>
    </w:p>
    <w:p>
      <w:pPr>
        <w:spacing w:after="80" w:before="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360"/>
        <w:gridCol w:w="4500"/>
        <w:gridCol w:w="1100"/>
        <w:gridCol w:w="2600"/>
      </w:tblGrid>
      <w:tr>
        <w:trPr>
          <w:tblHeader/>
        </w:trPr>
        <w:tc>
          <w:tcPr>
            <w:tcW w:type="dxa" w:w="36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w:t>
            </w:r>
          </w:p>
        </w:tc>
        <w:tc>
          <w:tcPr>
            <w:tcW w:type="dxa" w:w="45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Descripción</w:t>
            </w:r>
          </w:p>
        </w:tc>
        <w:tc>
          <w:tcPr>
            <w:tcW w:type="dxa" w:w="11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Prioridad</w:t>
            </w:r>
          </w:p>
        </w:tc>
        <w:tc>
          <w:tcPr>
            <w:tcW w:type="dxa" w:w="2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Detalle pendiente</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1</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Escaneo masivo NFC con móviles</w:t>
            </w:r>
          </w:p>
        </w:tc>
        <w:tc>
          <w:tcPr>
            <w:tcW w:type="dxa" w:w="11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vAlign w:val="center"/>
          </w:tcPr>
          <w:p>
            <w:pPr>
              <w:jc w:val="left"/>
            </w:pPr>
            <w:r>
              <w:rPr>
                <w:rFonts w:ascii="Calibri" w:cs="Calibri" w:eastAsia="Calibri" w:hAnsi="Calibri"/>
                <w:b/>
                <w:bCs/>
                <w:color w:val="843C0C"/>
                <w:sz w:val="20"/>
                <w:szCs w:val="20"/>
              </w:rPr>
              <w:t xml:space="preserve">Alta</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Sí — sesión dedicada</w:t>
            </w:r>
          </w:p>
        </w:tc>
      </w:tr>
      <w:tr>
        <w:tc>
          <w:tcPr>
            <w:tcW w:type="dxa" w:w="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2</w:t>
            </w:r>
          </w:p>
        </w:tc>
        <w:tc>
          <w:tcPr>
            <w:tcW w:type="dxa" w:w="4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Albaranes de cliente fraccionados por ubicación</w:t>
            </w:r>
          </w:p>
        </w:tc>
        <w:tc>
          <w:tcPr>
            <w:tcW w:type="dxa" w:w="11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vAlign w:val="center"/>
          </w:tcPr>
          <w:p>
            <w:pPr>
              <w:jc w:val="left"/>
            </w:pPr>
            <w:r>
              <w:rPr>
                <w:rFonts w:ascii="Calibri" w:cs="Calibri" w:eastAsia="Calibri" w:hAnsi="Calibri"/>
                <w:b/>
                <w:bCs/>
                <w:color w:val="843C0C"/>
                <w:sz w:val="20"/>
                <w:szCs w:val="20"/>
              </w:rPr>
              <w:t xml:space="preserve">Alta</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No</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3</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Llegada masiva de material al almacén</w:t>
            </w:r>
          </w:p>
        </w:tc>
        <w:tc>
          <w:tcPr>
            <w:tcW w:type="dxa" w:w="11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vAlign w:val="center"/>
          </w:tcPr>
          <w:p>
            <w:pPr>
              <w:jc w:val="left"/>
            </w:pPr>
            <w:r>
              <w:rPr>
                <w:rFonts w:ascii="Calibri" w:cs="Calibri" w:eastAsia="Calibri" w:hAnsi="Calibri"/>
                <w:b/>
                <w:bCs/>
                <w:color w:val="843C0C"/>
                <w:sz w:val="20"/>
                <w:szCs w:val="20"/>
              </w:rPr>
              <w:t xml:space="preserve">Alta</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Relacionado con #1</w:t>
            </w:r>
          </w:p>
        </w:tc>
      </w:tr>
      <w:tr>
        <w:tc>
          <w:tcPr>
            <w:tcW w:type="dxa" w:w="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4</w:t>
            </w:r>
          </w:p>
        </w:tc>
        <w:tc>
          <w:tcPr>
            <w:tcW w:type="dxa" w:w="4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Modificaciones en el albarán de carga</w:t>
            </w:r>
          </w:p>
        </w:tc>
        <w:tc>
          <w:tcPr>
            <w:tcW w:type="dxa" w:w="1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bCs/>
                <w:color w:val="7F6000"/>
                <w:sz w:val="20"/>
                <w:szCs w:val="20"/>
              </w:rPr>
              <w:t xml:space="preserve">Media</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Sí — concretar cambios</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5</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Kanban semana (L–D): Aprobados y Pdte. confirmación</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bCs/>
                <w:color w:val="7F6000"/>
                <w:sz w:val="20"/>
                <w:szCs w:val="20"/>
              </w:rPr>
              <w:t xml:space="preserve">Media</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No</w:t>
            </w:r>
          </w:p>
        </w:tc>
      </w:tr>
      <w:tr>
        <w:tc>
          <w:tcPr>
            <w:tcW w:type="dxa" w:w="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6</w:t>
            </w:r>
          </w:p>
        </w:tc>
        <w:tc>
          <w:tcPr>
            <w:tcW w:type="dxa" w:w="4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Kanban dirección: Aprobados y Pdte. aprobar</w:t>
            </w:r>
          </w:p>
        </w:tc>
        <w:tc>
          <w:tcPr>
            <w:tcW w:type="dxa" w:w="1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bCs/>
                <w:color w:val="7F6000"/>
                <w:sz w:val="20"/>
                <w:szCs w:val="20"/>
              </w:rPr>
              <w:t xml:space="preserve">Media</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No</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7</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Cambio de artículos desde la orden de carga</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bCs/>
                <w:color w:val="7F6000"/>
                <w:sz w:val="20"/>
                <w:szCs w:val="20"/>
              </w:rPr>
              <w:t xml:space="preserve">Media</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No</w:t>
            </w:r>
          </w:p>
        </w:tc>
      </w:tr>
      <w:tr>
        <w:tc>
          <w:tcPr>
            <w:tcW w:type="dxa" w:w="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8</w:t>
            </w:r>
          </w:p>
        </w:tc>
        <w:tc>
          <w:tcPr>
            <w:tcW w:type="dxa" w:w="4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Técnicos asignados a presupuesto + documentación</w:t>
            </w:r>
          </w:p>
        </w:tc>
        <w:tc>
          <w:tcPr>
            <w:tcW w:type="dxa" w:w="1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bCs/>
                <w:color w:val="7F6000"/>
                <w:sz w:val="20"/>
                <w:szCs w:val="20"/>
              </w:rPr>
              <w:t xml:space="preserve">Media</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No</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9</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Responsable de mantenimientos de equipos</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375623"/>
                <w:sz w:val="20"/>
                <w:szCs w:val="20"/>
              </w:rPr>
              <w:t xml:space="preserve">Baja</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No</w:t>
            </w:r>
          </w:p>
        </w:tc>
      </w:tr>
      <w:tr>
        <w:tc>
          <w:tcPr>
            <w:tcW w:type="dxa" w:w="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10</w:t>
            </w:r>
          </w:p>
        </w:tc>
        <w:tc>
          <w:tcPr>
            <w:tcW w:type="dxa" w:w="4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Histórico de salidas por elemento</w:t>
            </w:r>
          </w:p>
        </w:tc>
        <w:tc>
          <w:tcPr>
            <w:tcW w:type="dxa" w:w="1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375623"/>
                <w:sz w:val="20"/>
                <w:szCs w:val="20"/>
              </w:rPr>
              <w:t xml:space="preserve">Baja</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Ampliado — ver §2.10 y §2.13</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11</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Panel 360° del cliente</w:t>
            </w:r>
          </w:p>
        </w:tc>
        <w:tc>
          <w:tcPr>
            <w:tcW w:type="dxa" w:w="11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vAlign w:val="center"/>
          </w:tcPr>
          <w:p>
            <w:pPr>
              <w:jc w:val="left"/>
            </w:pPr>
            <w:r>
              <w:rPr>
                <w:rFonts w:ascii="Calibri" w:cs="Calibri" w:eastAsia="Calibri" w:hAnsi="Calibri"/>
                <w:b/>
                <w:bCs/>
                <w:color w:val="843C0C"/>
                <w:sz w:val="20"/>
                <w:szCs w:val="20"/>
              </w:rPr>
              <w:t xml:space="preserve">Alta</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Documentado — ver §2.11</w:t>
            </w:r>
          </w:p>
        </w:tc>
      </w:tr>
      <w:tr>
        <w:tc>
          <w:tcPr>
            <w:tcW w:type="dxa" w:w="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12</w:t>
            </w:r>
          </w:p>
        </w:tc>
        <w:tc>
          <w:tcPr>
            <w:tcW w:type="dxa" w:w="4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Factura agrupada de múltiples presupuestos</w:t>
            </w:r>
          </w:p>
        </w:tc>
        <w:tc>
          <w:tcPr>
            <w:tcW w:type="dxa" w:w="11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vAlign w:val="center"/>
          </w:tcPr>
          <w:p>
            <w:pPr>
              <w:jc w:val="left"/>
            </w:pPr>
            <w:r>
              <w:rPr>
                <w:rFonts w:ascii="Calibri" w:cs="Calibri" w:eastAsia="Calibri" w:hAnsi="Calibri"/>
                <w:b/>
                <w:bCs/>
                <w:color w:val="843C0C"/>
                <w:sz w:val="20"/>
                <w:szCs w:val="20"/>
              </w:rPr>
              <w:t xml:space="preserve">Alta</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Documentado — ver §2.12</w:t>
            </w:r>
          </w:p>
        </w:tc>
      </w:tr>
      <w:tr>
        <w:tc>
          <w:tcPr>
            <w:tcW w:type="dxa" w:w="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13</w:t>
            </w:r>
          </w:p>
        </w:tc>
        <w:tc>
          <w:tcPr>
            <w:tcW w:type="dxa" w:w="4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DataTable de presupuestos por elemento (ficha de elemento)</w:t>
            </w:r>
          </w:p>
        </w:tc>
        <w:tc>
          <w:tcPr>
            <w:tcW w:type="dxa" w:w="1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bCs/>
                <w:color w:val="7F6000"/>
                <w:sz w:val="20"/>
                <w:szCs w:val="20"/>
              </w:rPr>
              <w:t xml:space="preserve">Media</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Documentado — ver §2.13</w:t>
            </w:r>
          </w:p>
        </w:tc>
      </w:tr>
    </w:tbl>
    <w:p>
      <w:pPr>
        <w:spacing w:after="200" w:before="0"/>
      </w:pPr>
      <w:r>
        <w:t xml:space="preserve"/>
      </w:r>
    </w:p>
    <w:p>
      <w:pPr>
        <w:pStyle w:val="Heading2"/>
        <w:pBdr>
          <w:bottom w:val="single" w:color="2E5FA3" w:sz="6" w:space="2"/>
        </w:pBdr>
        <w:spacing w:after="140" w:before="280"/>
      </w:pPr>
      <w:r>
        <w:rPr>
          <w:rFonts w:ascii="Calibri" w:cs="Calibri" w:eastAsia="Calibri" w:hAnsi="Calibri"/>
          <w:b/>
          <w:bCs/>
          <w:color w:val="2E5FA3"/>
          <w:sz w:val="24"/>
          <w:szCs w:val="24"/>
        </w:rPr>
        <w:t xml:space="preserve">2.1  Escaneo masivo de etiquetas NFC con móviles</w:t>
      </w:r>
    </w:p>
    <w:p>
      <w:pPr>
        <w:spacing w:after="120" w:before="0"/>
        <w:jc w:val="left"/>
      </w:pPr>
      <w:r>
        <w:rPr>
          <w:rFonts w:ascii="Calibri" w:cs="Calibri" w:eastAsia="Calibri" w:hAnsi="Calibri"/>
          <w:b w:val="false"/>
          <w:bCs w:val="false"/>
          <w:i w:val="false"/>
          <w:iCs w:val="false"/>
          <w:color w:val="000000"/>
          <w:sz w:val="22"/>
          <w:szCs w:val="22"/>
        </w:rPr>
        <w:t xml:space="preserve">Registrar e identificar elementos del almacén de forma ágil usando teléfonos móviles, sin pistolas de escaneo especializadas. Afecta a los procesos de salida, retorno y recepción masiva de material.</w:t>
      </w:r>
    </w:p>
    <w:p>
      <w:pPr>
        <w:pStyle w:val="ListParagraph"/>
        <w:numPr>
          <w:ilvl w:val="0"/>
          <w:numId w:val="2"/>
        </w:numPr>
        <w:spacing w:after="80" w:before="0"/>
      </w:pPr>
      <w:r>
        <w:rPr>
          <w:rFonts w:ascii="Calibri" w:cs="Calibri" w:eastAsia="Calibri" w:hAnsi="Calibri"/>
          <w:color w:val="000000"/>
          <w:sz w:val="22"/>
          <w:szCs w:val="22"/>
        </w:rPr>
        <w:t xml:space="preserve">Leer la etiqueta exterior del rack/caja debe desplegar automáticamente todos los elementos del kit, sin escanear cada uno individualmente.</w:t>
      </w:r>
    </w:p>
    <w:p>
      <w:pPr>
        <w:pStyle w:val="ListParagraph"/>
        <w:numPr>
          <w:ilvl w:val="0"/>
          <w:numId w:val="2"/>
        </w:numPr>
        <w:spacing w:after="80" w:before="0"/>
      </w:pPr>
      <w:r>
        <w:rPr>
          <w:rFonts w:ascii="Calibri" w:cs="Calibri" w:eastAsia="Calibri" w:hAnsi="Calibri"/>
          <w:color w:val="000000"/>
          <w:sz w:val="22"/>
          <w:szCs w:val="22"/>
        </w:rPr>
        <w:t xml:space="preserve">El problema identificado está en el retorno: al leer el rack exterior el sistema asumiría que vienen todos los elementos aunque pueda faltar alguno.</w:t>
      </w:r>
    </w:p>
    <w:p>
      <w:pPr>
        <w:pStyle w:val="ListParagraph"/>
        <w:numPr>
          <w:ilvl w:val="0"/>
          <w:numId w:val="2"/>
        </w:numPr>
        <w:spacing w:after="80" w:before="0"/>
      </w:pPr>
      <w:r>
        <w:rPr>
          <w:rFonts w:ascii="Calibri" w:cs="Calibri" w:eastAsia="Calibri" w:hAnsi="Calibri"/>
          <w:b/>
          <w:bCs/>
          <w:sz w:val="22"/>
          <w:szCs w:val="22"/>
        </w:rPr>
        <w:t xml:space="preserve">Solución propuesta: </w:t>
      </w:r>
      <w:r>
        <w:rPr>
          <w:rFonts w:ascii="Calibri" w:cs="Calibri" w:eastAsia="Calibri" w:hAnsi="Calibri"/>
          <w:sz w:val="22"/>
          <w:szCs w:val="22"/>
        </w:rPr>
        <w:t xml:space="preserve">sistema de incidencias vinculado — si al revisar falta algún elemento, se genera una incidencia desde el móvil (texto, foto o nota de voz) que queda registrada y notifica a gerencia/jefe de almacén.</w:t>
      </w:r>
    </w:p>
    <w:p>
      <w:pPr>
        <w:pStyle w:val="ListParagraph"/>
        <w:numPr>
          <w:ilvl w:val="0"/>
          <w:numId w:val="2"/>
        </w:numPr>
        <w:spacing w:after="80" w:before="0"/>
      </w:pPr>
      <w:r>
        <w:rPr>
          <w:rFonts w:ascii="Calibri" w:cs="Calibri" w:eastAsia="Calibri" w:hAnsi="Calibri"/>
          <w:color w:val="000000"/>
          <w:sz w:val="22"/>
          <w:szCs w:val="22"/>
        </w:rPr>
        <w:t xml:space="preserve">Se contempla adjuntar fotos desde el móvil para documentar el estado del material (útil para reclamaciones de seguros).</w:t>
      </w:r>
    </w:p>
    <w:p>
      <w:pPr>
        <w:spacing w:after="80" w:before="0"/>
      </w:pPr>
      <w:r>
        <w:t xml:space="preserve"/>
      </w:r>
    </w:p>
    <w:p>
      <w:pPr>
        <w:pBdr>
          <w:left w:val="single" w:color="F4B942" w:sz="12" w:space="6"/>
        </w:pBdr>
        <w:shd w:fill="FFF2CC" w:val="clear"/>
        <w:spacing w:after="100" w:before="100"/>
        <w:ind w:left="360"/>
      </w:pPr>
      <w:r>
        <w:rPr>
          <w:rFonts w:ascii="Calibri" w:cs="Calibri" w:eastAsia="Calibri" w:hAnsi="Calibri"/>
          <w:color w:val="7F6000"/>
          <w:sz w:val="21"/>
          <w:szCs w:val="21"/>
        </w:rPr>
        <w:t xml:space="preserve">⏳  Pendiente sesión específica para detallar el flujo completo y planificar la implementación.</w:t>
      </w:r>
    </w:p>
    <w:p>
      <w:pPr>
        <w:spacing w:after="120" w:before="0"/>
      </w:pPr>
      <w:r>
        <w:t xml:space="preserve"/>
      </w:r>
    </w:p>
    <w:p>
      <w:pPr>
        <w:pStyle w:val="Heading2"/>
        <w:pBdr>
          <w:bottom w:val="single" w:color="2E5FA3" w:sz="6" w:space="2"/>
        </w:pBdr>
        <w:spacing w:after="140" w:before="280"/>
      </w:pPr>
      <w:r>
        <w:rPr>
          <w:rFonts w:ascii="Calibri" w:cs="Calibri" w:eastAsia="Calibri" w:hAnsi="Calibri"/>
          <w:b/>
          <w:bCs/>
          <w:color w:val="2E5FA3"/>
          <w:sz w:val="24"/>
          <w:szCs w:val="24"/>
        </w:rPr>
        <w:t xml:space="preserve">2.2  Albaranes de cliente fraccionados por ubicación</w:t>
      </w:r>
    </w:p>
    <w:p>
      <w:pPr>
        <w:spacing w:after="120" w:before="0"/>
        <w:jc w:val="left"/>
      </w:pPr>
      <w:r>
        <w:rPr>
          <w:rFonts w:ascii="Calibri" w:cs="Calibri" w:eastAsia="Calibri" w:hAnsi="Calibri"/>
          <w:b w:val="false"/>
          <w:bCs w:val="false"/>
          <w:i w:val="false"/>
          <w:iCs w:val="false"/>
          <w:color w:val="000000"/>
          <w:sz w:val="22"/>
          <w:szCs w:val="22"/>
        </w:rPr>
        <w:t xml:space="preserve">Los albaranes de entrega al cliente deben poder dividirse por ubicaciones del evento. Cada ubicación generará su propio albarán (o sección diferenciada), facilitando la logística en campo cuando un evento ocurre en múltiples espacios físicos.</w:t>
      </w:r>
    </w:p>
    <w:p>
      <w:pPr>
        <w:spacing w:after="120" w:before="0"/>
      </w:pPr>
      <w:r>
        <w:t xml:space="preserve"/>
      </w:r>
    </w:p>
    <w:p>
      <w:pPr>
        <w:pStyle w:val="Heading2"/>
        <w:pBdr>
          <w:bottom w:val="single" w:color="2E5FA3" w:sz="6" w:space="2"/>
        </w:pBdr>
        <w:spacing w:after="140" w:before="280"/>
      </w:pPr>
      <w:r>
        <w:rPr>
          <w:rFonts w:ascii="Calibri" w:cs="Calibri" w:eastAsia="Calibri" w:hAnsi="Calibri"/>
          <w:b/>
          <w:bCs/>
          <w:color w:val="2E5FA3"/>
          <w:sz w:val="24"/>
          <w:szCs w:val="24"/>
        </w:rPr>
        <w:t xml:space="preserve">2.3  Llegada masiva de material al almacén</w:t>
      </w:r>
    </w:p>
    <w:p>
      <w:pPr>
        <w:spacing w:after="120" w:before="0"/>
        <w:jc w:val="left"/>
      </w:pPr>
      <w:r>
        <w:rPr>
          <w:rFonts w:ascii="Calibri" w:cs="Calibri" w:eastAsia="Calibri" w:hAnsi="Calibri"/>
          <w:b w:val="false"/>
          <w:bCs w:val="false"/>
          <w:i w:val="false"/>
          <w:iCs w:val="false"/>
          <w:color w:val="000000"/>
          <w:sz w:val="22"/>
          <w:szCs w:val="22"/>
        </w:rPr>
        <w:t xml:space="preserve">Proceso de recepción masiva al retorno de un servicio: registrar múltiples elementos de forma ágil. Directamente relacionado con el módulo de escaneo masivo (#1). Comparten la misma sesión de planificación pendiente.</w:t>
      </w:r>
    </w:p>
    <w:p>
      <w:pPr>
        <w:spacing w:after="120" w:before="0"/>
      </w:pPr>
      <w:r>
        <w:t xml:space="preserve"/>
      </w:r>
    </w:p>
    <w:p>
      <w:pPr>
        <w:pStyle w:val="Heading2"/>
        <w:pBdr>
          <w:bottom w:val="single" w:color="2E5FA3" w:sz="6" w:space="2"/>
        </w:pBdr>
        <w:spacing w:after="140" w:before="280"/>
      </w:pPr>
      <w:r>
        <w:rPr>
          <w:rFonts w:ascii="Calibri" w:cs="Calibri" w:eastAsia="Calibri" w:hAnsi="Calibri"/>
          <w:b/>
          <w:bCs/>
          <w:color w:val="2E5FA3"/>
          <w:sz w:val="24"/>
          <w:szCs w:val="24"/>
        </w:rPr>
        <w:t xml:space="preserve">2.4  Modificaciones en el albarán de carga</w:t>
      </w:r>
    </w:p>
    <w:p>
      <w:pPr>
        <w:spacing w:after="120" w:before="0"/>
        <w:jc w:val="left"/>
      </w:pPr>
      <w:r>
        <w:rPr>
          <w:rFonts w:ascii="Calibri" w:cs="Calibri" w:eastAsia="Calibri" w:hAnsi="Calibri"/>
          <w:b w:val="false"/>
          <w:bCs w:val="false"/>
          <w:i w:val="false"/>
          <w:iCs w:val="false"/>
          <w:color w:val="000000"/>
          <w:sz w:val="22"/>
          <w:szCs w:val="22"/>
        </w:rPr>
        <w:t xml:space="preserve">Cambios exactos pendientes de concretar. Se mencionó en particular la posibilidad de indicar en el albarán cuando un artículo es un traslado interno dentro del mismo presupuesto (reutilización del mismo elemento en distintas jornadas o salas), para evitar que el sistema cuente más unidades de las realmente necesarias.</w:t>
      </w:r>
    </w:p>
    <w:p>
      <w:pPr>
        <w:pBdr>
          <w:left w:val="single" w:color="F4B942" w:sz="12" w:space="6"/>
        </w:pBdr>
        <w:shd w:fill="FFF2CC" w:val="clear"/>
        <w:spacing w:after="100" w:before="100"/>
        <w:ind w:left="360"/>
      </w:pPr>
      <w:r>
        <w:rPr>
          <w:rFonts w:ascii="Calibri" w:cs="Calibri" w:eastAsia="Calibri" w:hAnsi="Calibri"/>
          <w:color w:val="7F6000"/>
          <w:sz w:val="21"/>
          <w:szCs w:val="21"/>
        </w:rPr>
        <w:t xml:space="preserve">⏳  Pendiente sesión para concretar los cambios exactos.</w:t>
      </w:r>
    </w:p>
    <w:p>
      <w:pPr>
        <w:spacing w:after="120" w:before="0"/>
      </w:pPr>
      <w:r>
        <w:t xml:space="preserve"/>
      </w:r>
    </w:p>
    <w:p>
      <w:pPr>
        <w:pStyle w:val="Heading2"/>
        <w:pBdr>
          <w:bottom w:val="single" w:color="2E5FA3" w:sz="6" w:space="2"/>
        </w:pBdr>
        <w:spacing w:after="140" w:before="280"/>
      </w:pPr>
      <w:r>
        <w:rPr>
          <w:rFonts w:ascii="Calibri" w:cs="Calibri" w:eastAsia="Calibri" w:hAnsi="Calibri"/>
          <w:b/>
          <w:bCs/>
          <w:color w:val="2E5FA3"/>
          <w:sz w:val="24"/>
          <w:szCs w:val="24"/>
        </w:rPr>
        <w:t xml:space="preserve">2.5  Kanban semanal (lunes a domingo)</w:t>
      </w:r>
    </w:p>
    <w:p>
      <w:pPr>
        <w:spacing w:after="120" w:before="0"/>
        <w:jc w:val="left"/>
      </w:pPr>
      <w:r>
        <w:rPr>
          <w:rFonts w:ascii="Calibri" w:cs="Calibri" w:eastAsia="Calibri" w:hAnsi="Calibri"/>
          <w:b w:val="false"/>
          <w:bCs w:val="false"/>
          <w:i w:val="false"/>
          <w:iCs w:val="false"/>
          <w:color w:val="000000"/>
          <w:sz w:val="22"/>
          <w:szCs w:val="22"/>
        </w:rPr>
        <w:t xml:space="preserve">El Kanban operativo debe mostrar exclusivamente la semana en curso (lunes a domingo), filtrando únicamente presupuestos en estado Aprobado y Pendiente de confirmación. Actualmente el sistema muestra una ventana de ±14 días, lo que el cliente considera excesivo para la operativa diaria.</w:t>
      </w:r>
    </w:p>
    <w:p>
      <w:pPr>
        <w:spacing w:after="120" w:before="0"/>
      </w:pPr>
      <w:r>
        <w:t xml:space="preserve"/>
      </w:r>
    </w:p>
    <w:p>
      <w:pPr>
        <w:pStyle w:val="Heading2"/>
        <w:pBdr>
          <w:bottom w:val="single" w:color="2E5FA3" w:sz="6" w:space="2"/>
        </w:pBdr>
        <w:spacing w:after="140" w:before="280"/>
      </w:pPr>
      <w:r>
        <w:rPr>
          <w:rFonts w:ascii="Calibri" w:cs="Calibri" w:eastAsia="Calibri" w:hAnsi="Calibri"/>
          <w:b/>
          <w:bCs/>
          <w:color w:val="2E5FA3"/>
          <w:sz w:val="24"/>
          <w:szCs w:val="24"/>
        </w:rPr>
        <w:t xml:space="preserve">2.6  Kanban de dirección</w:t>
      </w:r>
    </w:p>
    <w:p>
      <w:pPr>
        <w:spacing w:after="120" w:before="0"/>
        <w:jc w:val="left"/>
      </w:pPr>
      <w:r>
        <w:rPr>
          <w:rFonts w:ascii="Calibri" w:cs="Calibri" w:eastAsia="Calibri" w:hAnsi="Calibri"/>
          <w:b w:val="false"/>
          <w:bCs w:val="false"/>
          <w:i w:val="false"/>
          <w:iCs w:val="false"/>
          <w:color w:val="000000"/>
          <w:sz w:val="22"/>
          <w:szCs w:val="22"/>
        </w:rPr>
        <w:t xml:space="preserve">Vista Kanban independiente para gerencia con presupuestos en estado Aprobado y Pendiente de aprobar. Permite a dirección ver qué trabajos están en marcha y cuáles requieren aprobación, sin el detalle operativo del Kanban de técnicos.</w:t>
      </w:r>
    </w:p>
    <w:p>
      <w:pPr>
        <w:spacing w:after="120" w:before="0"/>
      </w:pPr>
      <w:r>
        <w:t xml:space="preserve"/>
      </w:r>
    </w:p>
    <w:p>
      <w:pPr>
        <w:pStyle w:val="Heading2"/>
        <w:pBdr>
          <w:bottom w:val="single" w:color="2E5FA3" w:sz="6" w:space="2"/>
        </w:pBdr>
        <w:spacing w:after="140" w:before="280"/>
      </w:pPr>
      <w:r>
        <w:rPr>
          <w:rFonts w:ascii="Calibri" w:cs="Calibri" w:eastAsia="Calibri" w:hAnsi="Calibri"/>
          <w:b/>
          <w:bCs/>
          <w:color w:val="2E5FA3"/>
          <w:sz w:val="24"/>
          <w:szCs w:val="24"/>
        </w:rPr>
        <w:t xml:space="preserve">2.7  Edición de albaranes de carga</w:t>
      </w:r>
    </w:p>
    <w:p>
      <w:pPr>
        <w:spacing w:after="100" w:before="0"/>
        <w:jc w:val="left"/>
      </w:pPr>
      <w:r>
        <w:rPr>
          <w:rFonts w:ascii="Calibri" w:cs="Calibri" w:eastAsia="Calibri" w:hAnsi="Calibri"/>
          <w:b w:val="false"/>
          <w:bCs w:val="false"/>
          <w:i w:val="false"/>
          <w:iCs w:val="false"/>
          <w:color w:val="000000"/>
          <w:sz w:val="22"/>
          <w:szCs w:val="22"/>
        </w:rPr>
        <w:t xml:space="preserve">Los albaranes de carga son generados a partir del presupuesto pero actualmente no pueden ser modificados por el usuario final. El cliente solicita que sea posible:</w:t>
      </w:r>
    </w:p>
    <w:p>
      <w:pPr>
        <w:pStyle w:val="ListParagraph"/>
        <w:numPr>
          <w:ilvl w:val="0"/>
          <w:numId w:val="2"/>
        </w:numPr>
        <w:spacing w:after="80" w:before="0"/>
      </w:pPr>
      <w:r>
        <w:rPr>
          <w:rFonts w:ascii="Calibri" w:cs="Calibri" w:eastAsia="Calibri" w:hAnsi="Calibri"/>
          <w:color w:val="000000"/>
          <w:sz w:val="22"/>
          <w:szCs w:val="22"/>
        </w:rPr>
        <w:t xml:space="preserve">Sustituir un elemento físico asignado por otro de la misma familia/artículo (ej. cámara-003 por cámara-007 porque la primera está en reparación).</w:t>
      </w:r>
    </w:p>
    <w:p>
      <w:pPr>
        <w:pStyle w:val="ListParagraph"/>
        <w:numPr>
          <w:ilvl w:val="0"/>
          <w:numId w:val="2"/>
        </w:numPr>
        <w:spacing w:after="80" w:before="0"/>
      </w:pPr>
      <w:r>
        <w:rPr>
          <w:rFonts w:ascii="Calibri" w:cs="Calibri" w:eastAsia="Calibri" w:hAnsi="Calibri"/>
          <w:color w:val="000000"/>
          <w:sz w:val="22"/>
          <w:szCs w:val="22"/>
        </w:rPr>
        <w:t xml:space="preserve">Añadir o retirar elementos puntualmente sin tocar el presupuesto original.</w:t>
      </w:r>
    </w:p>
    <w:p>
      <w:pPr>
        <w:pStyle w:val="ListParagraph"/>
        <w:numPr>
          <w:ilvl w:val="0"/>
          <w:numId w:val="2"/>
        </w:numPr>
        <w:spacing w:after="80" w:before="0"/>
      </w:pPr>
      <w:r>
        <w:rPr>
          <w:rFonts w:ascii="Calibri" w:cs="Calibri" w:eastAsia="Calibri" w:hAnsi="Calibri"/>
          <w:color w:val="000000"/>
          <w:sz w:val="22"/>
          <w:szCs w:val="22"/>
        </w:rPr>
        <w:t xml:space="preserve">Ajustar cantidades si en el último momento varía el material que sale físicamente.</w:t>
      </w:r>
    </w:p>
    <w:p>
      <w:pPr>
        <w:spacing w:after="80" w:before="0"/>
      </w:pPr>
      <w:r>
        <w:t xml:space="preserve"/>
      </w:r>
    </w:p>
    <w:p>
      <w:pPr>
        <w:spacing w:after="120" w:before="0"/>
        <w:jc w:val="left"/>
      </w:pPr>
      <w:r>
        <w:rPr>
          <w:rFonts w:ascii="Calibri" w:cs="Calibri" w:eastAsia="Calibri" w:hAnsi="Calibri"/>
          <w:b w:val="false"/>
          <w:bCs w:val="false"/>
          <w:i w:val="false"/>
          <w:iCs w:val="false"/>
          <w:color w:val="000000"/>
          <w:sz w:val="22"/>
          <w:szCs w:val="22"/>
        </w:rPr>
        <w:t xml:space="preserve">Los cambios en el albarán quedarán auditados (quién lo modificó, cuándo, qué cambió) para que el historial sea fiable.</w:t>
      </w:r>
    </w:p>
    <w:p>
      <w:pPr>
        <w:spacing w:after="120" w:before="0"/>
      </w:pPr>
      <w:r>
        <w:t xml:space="preserve"/>
      </w:r>
    </w:p>
    <w:p>
      <w:pPr>
        <w:pStyle w:val="Heading2"/>
        <w:pBdr>
          <w:bottom w:val="single" w:color="2E5FA3" w:sz="6" w:space="2"/>
        </w:pBdr>
        <w:spacing w:after="140" w:before="280"/>
      </w:pPr>
      <w:r>
        <w:rPr>
          <w:rFonts w:ascii="Calibri" w:cs="Calibri" w:eastAsia="Calibri" w:hAnsi="Calibri"/>
          <w:b/>
          <w:bCs/>
          <w:color w:val="2E5FA3"/>
          <w:sz w:val="24"/>
          <w:szCs w:val="24"/>
        </w:rPr>
        <w:t xml:space="preserve">2.8  Técnicos asignados a presupuesto y documentación</w:t>
      </w:r>
    </w:p>
    <w:p>
      <w:pPr>
        <w:spacing w:after="120" w:before="0"/>
        <w:jc w:val="left"/>
      </w:pPr>
      <w:r>
        <w:rPr>
          <w:rFonts w:ascii="Calibri" w:cs="Calibri" w:eastAsia="Calibri" w:hAnsi="Calibri"/>
          <w:b w:val="false"/>
          <w:bCs w:val="false"/>
          <w:i w:val="false"/>
          <w:iCs w:val="false"/>
          <w:color w:val="000000"/>
          <w:sz w:val="22"/>
          <w:szCs w:val="22"/>
        </w:rPr>
        <w:t xml:space="preserve">En cada presupuesto debe poderse indicar qué técnicos van a realizar el trabajo y qué documentación específica aportan para ese servicio (acreditaciones, fichas de seguridad, permisos). Da trazabilidad completa de quién ejecutó cada evento y con qué habilitaciones.</w:t>
      </w:r>
    </w:p>
    <w:p>
      <w:pPr>
        <w:spacing w:after="120" w:before="0"/>
      </w:pPr>
      <w:r>
        <w:t xml:space="preserve"/>
      </w:r>
    </w:p>
    <w:p>
      <w:pPr>
        <w:pStyle w:val="Heading2"/>
        <w:pBdr>
          <w:bottom w:val="single" w:color="2E5FA3" w:sz="6" w:space="2"/>
        </w:pBdr>
        <w:spacing w:after="140" w:before="280"/>
      </w:pPr>
      <w:r>
        <w:rPr>
          <w:rFonts w:ascii="Calibri" w:cs="Calibri" w:eastAsia="Calibri" w:hAnsi="Calibri"/>
          <w:b/>
          <w:bCs/>
          <w:color w:val="2E5FA3"/>
          <w:sz w:val="24"/>
          <w:szCs w:val="24"/>
        </w:rPr>
        <w:t xml:space="preserve">2.9  Responsable de mantenimientos de equipos</w:t>
      </w:r>
    </w:p>
    <w:p>
      <w:pPr>
        <w:spacing w:after="120" w:before="0"/>
        <w:jc w:val="left"/>
      </w:pPr>
      <w:r>
        <w:rPr>
          <w:rFonts w:ascii="Calibri" w:cs="Calibri" w:eastAsia="Calibri" w:hAnsi="Calibri"/>
          <w:b w:val="false"/>
          <w:bCs w:val="false"/>
          <w:i w:val="false"/>
          <w:iCs w:val="false"/>
          <w:color w:val="000000"/>
          <w:sz w:val="22"/>
          <w:szCs w:val="22"/>
        </w:rPr>
        <w:t xml:space="preserve">Al registrar un mantenimiento (preventivo, correctivo o reparación) debe quedar registrado quién lo realizó. Distinguir entre trabajos internos (jefe de almacén / técnico MDR) y externos (SAT, taller externo).</w:t>
      </w:r>
    </w:p>
    <w:p>
      <w:pPr>
        <w:spacing w:after="120" w:before="0"/>
      </w:pPr>
      <w:r>
        <w:t xml:space="preserve"/>
      </w:r>
    </w:p>
    <w:p>
      <w:pPr>
        <w:pStyle w:val="Heading2"/>
        <w:pBdr>
          <w:bottom w:val="single" w:color="2E5FA3" w:sz="6" w:space="2"/>
        </w:pBdr>
        <w:spacing w:after="140" w:before="280"/>
      </w:pPr>
      <w:r>
        <w:rPr>
          <w:rFonts w:ascii="Calibri" w:cs="Calibri" w:eastAsia="Calibri" w:hAnsi="Calibri"/>
          <w:b/>
          <w:bCs/>
          <w:color w:val="2E5FA3"/>
          <w:sz w:val="24"/>
          <w:szCs w:val="24"/>
        </w:rPr>
        <w:t xml:space="preserve">2.10  Histórico de salidas por elemento</w:t>
      </w:r>
    </w:p>
    <w:p>
      <w:pPr>
        <w:spacing w:after="80" w:before="0"/>
        <w:jc w:val="left"/>
      </w:pPr>
      <w:r>
        <w:rPr>
          <w:rFonts w:ascii="Calibri" w:cs="Calibri" w:eastAsia="Calibri" w:hAnsi="Calibri"/>
          <w:b w:val="false"/>
          <w:bCs w:val="false"/>
          <w:i w:val="false"/>
          <w:iCs w:val="false"/>
          <w:color w:val="000000"/>
          <w:sz w:val="22"/>
          <w:szCs w:val="22"/>
        </w:rPr>
        <w:t xml:space="preserve">En la ficha de cada elemento del inventario, añadir un histórico completo de sus salidas: qué presupuestos lo han incluido, fechas de salida y retorno, estado en cada momento y quién lo gestionó.</w:t>
      </w:r>
    </w:p>
    <w:p>
      <w:pPr>
        <w:spacing w:after="120" w:before="0"/>
        <w:jc w:val="left"/>
      </w:pPr>
      <w:r>
        <w:rPr>
          <w:rFonts w:ascii="Calibri" w:cs="Calibri" w:eastAsia="Calibri" w:hAnsi="Calibri"/>
          <w:b w:val="false"/>
          <w:bCs w:val="false"/>
          <w:i/>
          <w:iCs/>
          <w:color w:val="555555"/>
          <w:sz w:val="22"/>
          <w:szCs w:val="22"/>
        </w:rPr>
        <w:t xml:space="preserve">Detalle técnico completo en §2.13 — DataTable de presupuestos por elemento.</w:t>
      </w:r>
    </w:p>
    <w:p>
      <w:pPr>
        <w:spacing w:after="120" w:before="0"/>
      </w:pPr>
      <w:r>
        <w:t xml:space="preserve"/>
      </w:r>
    </w:p>
    <w:p>
      <w:pPr>
        <w:pStyle w:val="Heading2"/>
        <w:pBdr>
          <w:bottom w:val="single" w:color="2E5FA3" w:sz="6" w:space="2"/>
        </w:pBdr>
        <w:spacing w:after="140" w:before="280"/>
      </w:pPr>
      <w:r>
        <w:rPr>
          <w:rFonts w:ascii="Calibri" w:cs="Calibri" w:eastAsia="Calibri" w:hAnsi="Calibri"/>
          <w:b/>
          <w:bCs/>
          <w:color w:val="2E5FA3"/>
          <w:sz w:val="24"/>
          <w:szCs w:val="24"/>
        </w:rPr>
        <w:t xml:space="preserve">2.11  Panel 360° del cliente</w:t>
      </w:r>
    </w:p>
    <w:p>
      <w:pPr>
        <w:spacing w:after="120" w:before="0"/>
        <w:jc w:val="left"/>
      </w:pPr>
      <w:r>
        <w:rPr>
          <w:rFonts w:ascii="Calibri" w:cs="Calibri" w:eastAsia="Calibri" w:hAnsi="Calibri"/>
          <w:b w:val="false"/>
          <w:bCs w:val="false"/>
          <w:i w:val="false"/>
          <w:iCs w:val="false"/>
          <w:color w:val="000000"/>
          <w:sz w:val="22"/>
          <w:szCs w:val="22"/>
        </w:rPr>
        <w:t xml:space="preserve">Ficha centralizada del cliente con toda la información relevante en un único lugar.</w:t>
      </w:r>
    </w:p>
    <w:p>
      <w:pPr>
        <w:pStyle w:val="Heading3"/>
        <w:spacing w:after="100" w:before="220"/>
      </w:pPr>
      <w:r>
        <w:rPr>
          <w:rFonts w:ascii="Calibri" w:cs="Calibri" w:eastAsia="Calibri" w:hAnsi="Calibri"/>
          <w:b/>
          <w:bCs/>
          <w:color w:val="1F3864"/>
          <w:sz w:val="22"/>
          <w:szCs w:val="22"/>
        </w:rPr>
        <w:t xml:space="preserve">Estructura del panel</w:t>
      </w:r>
    </w:p>
    <w:p>
      <w:pPr>
        <w:pStyle w:val="ListParagraph"/>
        <w:numPr>
          <w:ilvl w:val="0"/>
          <w:numId w:val="2"/>
        </w:numPr>
        <w:spacing w:after="80" w:before="0"/>
      </w:pPr>
      <w:r>
        <w:rPr>
          <w:rFonts w:ascii="Calibri" w:cs="Calibri" w:eastAsia="Calibri" w:hAnsi="Calibri"/>
          <w:color w:val="000000"/>
          <w:sz w:val="22"/>
          <w:szCs w:val="22"/>
        </w:rPr>
        <w:t xml:space="preserve">Cabecera fija: nombre, código, NIF, teléfono, email, estado.</w:t>
      </w:r>
    </w:p>
    <w:p>
      <w:pPr>
        <w:pStyle w:val="ListParagraph"/>
        <w:numPr>
          <w:ilvl w:val="0"/>
          <w:numId w:val="2"/>
        </w:numPr>
        <w:spacing w:after="80" w:before="0"/>
      </w:pPr>
      <w:r>
        <w:rPr>
          <w:rFonts w:ascii="Calibri" w:cs="Calibri" w:eastAsia="Calibri" w:hAnsi="Calibri"/>
          <w:color w:val="000000"/>
          <w:sz w:val="22"/>
          <w:szCs w:val="22"/>
        </w:rPr>
        <w:t xml:space="preserve">Bloque KPIs: total presupuestado · facturas emitidas · total cobrado · saldo pendiente.</w:t>
      </w:r>
    </w:p>
    <w:p>
      <w:pPr>
        <w:pStyle w:val="ListParagraph"/>
        <w:numPr>
          <w:ilvl w:val="0"/>
          <w:numId w:val="2"/>
        </w:numPr>
        <w:spacing w:after="80" w:before="0"/>
      </w:pPr>
      <w:r>
        <w:rPr>
          <w:rFonts w:ascii="Calibri" w:cs="Calibri" w:eastAsia="Calibri" w:hAnsi="Calibri"/>
          <w:color w:val="000000"/>
          <w:sz w:val="22"/>
          <w:szCs w:val="22"/>
        </w:rPr>
        <w:t xml:space="preserve">Barra de acciones: nuevo presupuesto prellenado con el cliente; botón factura agrupada.</w:t>
      </w:r>
    </w:p>
    <w:p>
      <w:pPr>
        <w:pStyle w:val="ListParagraph"/>
        <w:numPr>
          <w:ilvl w:val="0"/>
          <w:numId w:val="2"/>
        </w:numPr>
        <w:spacing w:after="80" w:before="0"/>
      </w:pPr>
      <w:r>
        <w:rPr>
          <w:rFonts w:ascii="Calibri" w:cs="Calibri" w:eastAsia="Calibri" w:hAnsi="Calibri"/>
          <w:color w:val="000000"/>
          <w:sz w:val="22"/>
          <w:szCs w:val="22"/>
        </w:rPr>
        <w:t xml:space="preserve">Seis pestañas: Resumen · Presupuestos · Facturas · Pagos · Contactos · Ubicaciones.</w:t>
      </w:r>
    </w:p>
    <w:p>
      <w:pPr>
        <w:spacing w:after="80" w:before="0"/>
      </w:pPr>
      <w:r>
        <w:t xml:space="preserve"/>
      </w:r>
    </w:p>
    <w:p>
      <w:pPr>
        <w:pStyle w:val="Heading3"/>
        <w:spacing w:after="100" w:before="220"/>
      </w:pPr>
      <w:r>
        <w:rPr>
          <w:rFonts w:ascii="Calibri" w:cs="Calibri" w:eastAsia="Calibri" w:hAnsi="Calibri"/>
          <w:b/>
          <w:bCs/>
          <w:color w:val="1F3864"/>
          <w:sz w:val="22"/>
          <w:szCs w:val="22"/>
        </w:rPr>
        <w:t xml:space="preserve">Decisiones pendientes</w:t>
      </w:r>
    </w:p>
    <w:p>
      <w:pPr>
        <w:spacing w:after="80" w:before="0"/>
        <w:ind w:left="360"/>
      </w:pPr>
      <w:r>
        <w:rPr>
          <w:rFonts w:ascii="Calibri" w:cs="Calibri" w:eastAsia="Calibri" w:hAnsi="Calibri"/>
          <w:sz w:val="21"/>
          <w:szCs w:val="21"/>
        </w:rPr>
        <w:t xml:space="preserve">☐  ¿El panel hereda permisos del módulo de clientes o requiere permisos propios?</w:t>
      </w:r>
    </w:p>
    <w:p>
      <w:pPr>
        <w:spacing w:after="80" w:before="0"/>
        <w:ind w:left="360"/>
      </w:pPr>
      <w:r>
        <w:rPr>
          <w:rFonts w:ascii="Calibri" w:cs="Calibri" w:eastAsia="Calibri" w:hAnsi="Calibri"/>
          <w:sz w:val="21"/>
          <w:szCs w:val="21"/>
        </w:rPr>
        <w:t xml:space="preserve">☐  ¿Los KPIs incluyen presupuestos cancelados o solo activos?</w:t>
      </w:r>
    </w:p>
    <w:p>
      <w:pPr>
        <w:spacing w:after="80" w:before="0"/>
        <w:ind w:left="360"/>
      </w:pPr>
      <w:r>
        <w:rPr>
          <w:rFonts w:ascii="Calibri" w:cs="Calibri" w:eastAsia="Calibri" w:hAnsi="Calibri"/>
          <w:sz w:val="21"/>
          <w:szCs w:val="21"/>
        </w:rPr>
        <w:t xml:space="preserve">☐  ¿El tab de Ubicaciones permite editar o solo lectura desde el panel?</w:t>
      </w:r>
    </w:p>
    <w:p>
      <w:pPr>
        <w:spacing w:after="120" w:before="0"/>
      </w:pPr>
      <w:r>
        <w:t xml:space="preserve"/>
      </w:r>
    </w:p>
    <w:p>
      <w:pPr>
        <w:pStyle w:val="Heading2"/>
        <w:pBdr>
          <w:bottom w:val="single" w:color="2E5FA3" w:sz="6" w:space="2"/>
        </w:pBdr>
        <w:spacing w:after="140" w:before="280"/>
      </w:pPr>
      <w:r>
        <w:rPr>
          <w:rFonts w:ascii="Calibri" w:cs="Calibri" w:eastAsia="Calibri" w:hAnsi="Calibri"/>
          <w:b/>
          <w:bCs/>
          <w:color w:val="2E5FA3"/>
          <w:sz w:val="24"/>
          <w:szCs w:val="24"/>
        </w:rPr>
        <w:t xml:space="preserve">2.12  Factura agrupada de múltiples presupuestos</w:t>
      </w:r>
    </w:p>
    <w:p>
      <w:pPr>
        <w:spacing w:after="120" w:before="0"/>
        <w:jc w:val="left"/>
      </w:pPr>
      <w:r>
        <w:rPr>
          <w:rFonts w:ascii="Calibri" w:cs="Calibri" w:eastAsia="Calibri" w:hAnsi="Calibri"/>
          <w:b w:val="false"/>
          <w:bCs w:val="false"/>
          <w:i w:val="false"/>
          <w:iCs w:val="false"/>
          <w:color w:val="000000"/>
          <w:sz w:val="22"/>
          <w:szCs w:val="22"/>
        </w:rPr>
        <w:t xml:space="preserve">Permite agrupar N presupuestos del mismo cliente en una única factura final, contemplando anticipos ya emitidos (reales o proformas).</w:t>
      </w:r>
    </w:p>
    <w:p>
      <w:pPr>
        <w:spacing w:after="120" w:before="0"/>
        <w:jc w:val="left"/>
      </w:pPr>
      <w:r>
        <w:rPr>
          <w:rFonts w:ascii="Calibri" w:cs="Calibri" w:eastAsia="Calibri" w:hAnsi="Calibri"/>
          <w:b w:val="false"/>
          <w:bCs w:val="false"/>
          <w:i w:val="false"/>
          <w:iCs w:val="false"/>
          <w:color w:val="000000"/>
          <w:sz w:val="22"/>
          <w:szCs w:val="22"/>
        </w:rPr>
        <w:t xml:space="preserve">Motivación: clientes como NH o Villaitana facturan mensualmente todos los servicios del periodo en una única factura — el modelo actual centrado en presupuesto individual no puede gestionarlo.</w:t>
      </w:r>
    </w:p>
    <w:p>
      <w:pPr>
        <w:spacing w:after="60" w:before="0"/>
      </w:pPr>
      <w:r>
        <w:t xml:space="preserve"/>
      </w:r>
    </w:p>
    <w:tbl>
      <w:tblPr>
        <w:tblW w:type="dxa" w:w="9564"/>
        <w:tblBorders>
          <w:top w:val="single" w:color="auto" w:sz="4"/>
          <w:left w:val="single" w:color="auto" w:sz="4"/>
          <w:bottom w:val="single" w:color="auto" w:sz="4"/>
          <w:right w:val="single" w:color="auto" w:sz="4"/>
          <w:insideH w:val="single" w:color="auto" w:sz="4"/>
          <w:insideV w:val="single" w:color="auto" w:sz="4"/>
        </w:tblBorders>
      </w:tblPr>
      <w:tblGrid>
        <w:gridCol w:w="3500"/>
        <w:gridCol w:w="6064"/>
      </w:tblGrid>
      <w:tr>
        <w:trPr>
          <w:tblHeader/>
        </w:trPr>
        <w:tc>
          <w:tcPr>
            <w:tcW w:type="dxa" w:w="35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Tipo documento previo</w:t>
            </w:r>
          </w:p>
        </w:tc>
        <w:tc>
          <w:tcPr>
            <w:tcW w:type="dxa" w:w="6064"/>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Acción al generar factura agrupada</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Sin anticipos</w:t>
            </w:r>
          </w:p>
        </w:tc>
        <w:tc>
          <w:tcPr>
            <w:tcW w:type="dxa" w:w="606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Factura por el total completo</w:t>
            </w:r>
          </w:p>
        </w:tc>
      </w:tr>
      <w:tr>
        <w:tc>
          <w:tcPr>
            <w:tcW w:type="dxa" w:w="3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Proforma de anticipo</w:t>
            </w:r>
          </w:p>
        </w:tc>
        <w:tc>
          <w:tcPr>
            <w:tcW w:type="dxa" w:w="6064"/>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Se anula automáticamente. No resta del total</w:t>
            </w:r>
          </w:p>
        </w:tc>
      </w:tr>
      <w:tr>
        <w:tc>
          <w:tcPr>
            <w:tcW w:type="dxa" w:w="3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Anticipo real</w:t>
            </w:r>
          </w:p>
        </w:tc>
        <w:tc>
          <w:tcPr>
            <w:tcW w:type="dxa" w:w="606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Se mantiene activa. Su importe se deduce</w:t>
            </w:r>
          </w:p>
        </w:tc>
      </w:tr>
      <w:tr>
        <w:tc>
          <w:tcPr>
            <w:tcW w:type="dxa" w:w="3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Mezcla de ambos</w:t>
            </w:r>
          </w:p>
        </w:tc>
        <w:tc>
          <w:tcPr>
            <w:tcW w:type="dxa" w:w="6064"/>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Se anulan proformas, se deducen solo los anticipos reales</w:t>
            </w:r>
          </w:p>
        </w:tc>
      </w:tr>
    </w:tbl>
    <w:p>
      <w:pPr>
        <w:spacing w:after="80" w:before="0"/>
      </w:pPr>
      <w:r>
        <w:t xml:space="preserve"/>
      </w:r>
    </w:p>
    <w:p>
      <w:pPr>
        <w:pStyle w:val="Heading3"/>
        <w:spacing w:after="100" w:before="220"/>
      </w:pPr>
      <w:r>
        <w:rPr>
          <w:rFonts w:ascii="Calibri" w:cs="Calibri" w:eastAsia="Calibri" w:hAnsi="Calibri"/>
          <w:b/>
          <w:bCs/>
          <w:color w:val="1F3864"/>
          <w:sz w:val="22"/>
          <w:szCs w:val="22"/>
        </w:rPr>
        <w:t xml:space="preserve">Decisiones pendientes</w:t>
      </w:r>
    </w:p>
    <w:p>
      <w:pPr>
        <w:spacing w:after="80" w:before="0"/>
        <w:ind w:left="360"/>
      </w:pPr>
      <w:r>
        <w:rPr>
          <w:rFonts w:ascii="Calibri" w:cs="Calibri" w:eastAsia="Calibri" w:hAnsi="Calibri"/>
          <w:sz w:val="21"/>
          <w:szCs w:val="21"/>
        </w:rPr>
        <w:t xml:space="preserve">☐  ¿La factura agrupada consume la serie F o una serie específica FA?</w:t>
      </w:r>
    </w:p>
    <w:p>
      <w:pPr>
        <w:spacing w:after="80" w:before="0"/>
        <w:ind w:left="360"/>
      </w:pPr>
      <w:r>
        <w:rPr>
          <w:rFonts w:ascii="Calibri" w:cs="Calibri" w:eastAsia="Calibri" w:hAnsi="Calibri"/>
          <w:sz w:val="21"/>
          <w:szCs w:val="21"/>
        </w:rPr>
        <w:t xml:space="preserve">☐  ¿Se permite abonar la factura agrupada completa o solo presupuesto a presupuesto?</w:t>
      </w:r>
    </w:p>
    <w:p>
      <w:pPr>
        <w:spacing w:after="80" w:before="0"/>
        <w:ind w:left="360"/>
      </w:pPr>
      <w:r>
        <w:rPr>
          <w:rFonts w:ascii="Calibri" w:cs="Calibri" w:eastAsia="Calibri" w:hAnsi="Calibri"/>
          <w:sz w:val="21"/>
          <w:szCs w:val="21"/>
        </w:rPr>
        <w:t xml:space="preserve">☐  ¿El PDF muestra el detalle de líneas de cada presupuesto o solo los totales?</w:t>
      </w:r>
    </w:p>
    <w:p>
      <w:pPr>
        <w:spacing w:after="80" w:before="0"/>
        <w:ind w:left="360"/>
      </w:pPr>
      <w:r>
        <w:rPr>
          <w:rFonts w:ascii="Calibri" w:cs="Calibri" w:eastAsia="Calibri" w:hAnsi="Calibri"/>
          <w:sz w:val="21"/>
          <w:szCs w:val="21"/>
        </w:rPr>
        <w:t xml:space="preserve">☐  ¿La vista de selección de presupuestos parte de la ficha de cliente o es pantalla independiente?</w:t>
      </w:r>
    </w:p>
    <w:p>
      <w:pPr>
        <w:spacing w:after="120" w:before="0"/>
      </w:pPr>
      <w:r>
        <w:t xml:space="preserve"/>
      </w:r>
    </w:p>
    <w:p>
      <w:pPr>
        <w:pStyle w:val="Heading2"/>
        <w:pBdr>
          <w:bottom w:val="single" w:color="2E5FA3" w:sz="6" w:space="2"/>
        </w:pBdr>
        <w:spacing w:after="140" w:before="280"/>
      </w:pPr>
      <w:r>
        <w:rPr>
          <w:rFonts w:ascii="Calibri" w:cs="Calibri" w:eastAsia="Calibri" w:hAnsi="Calibri"/>
          <w:b/>
          <w:bCs/>
          <w:color w:val="2E5FA3"/>
          <w:sz w:val="24"/>
          <w:szCs w:val="24"/>
        </w:rPr>
        <w:t xml:space="preserve">2.13  DataTable de presupuestos por elemento</w:t>
      </w:r>
    </w:p>
    <w:p>
      <w:pPr>
        <w:spacing w:after="120" w:before="0"/>
        <w:jc w:val="left"/>
      </w:pPr>
      <w:r>
        <w:rPr>
          <w:rFonts w:ascii="Calibri" w:cs="Calibri" w:eastAsia="Calibri" w:hAnsi="Calibri"/>
          <w:b w:val="false"/>
          <w:bCs w:val="false"/>
          <w:i w:val="false"/>
          <w:iCs w:val="false"/>
          <w:color w:val="000000"/>
          <w:sz w:val="22"/>
          <w:szCs w:val="22"/>
        </w:rPr>
        <w:t xml:space="preserve">Dentro de la ficha de cada elemento físico del inventario, incluir un DataTable que muestre todos los presupuestos en los que ese elemento ha participado o está actualmente asignado.</w:t>
      </w:r>
    </w:p>
    <w:p>
      <w:pPr>
        <w:spacing w:after="120" w:before="0"/>
        <w:jc w:val="left"/>
      </w:pPr>
      <w:r>
        <w:rPr>
          <w:rFonts w:ascii="Calibri" w:cs="Calibri" w:eastAsia="Calibri" w:hAnsi="Calibri"/>
          <w:b w:val="false"/>
          <w:bCs w:val="false"/>
          <w:i w:val="false"/>
          <w:iCs w:val="false"/>
          <w:color w:val="000000"/>
          <w:sz w:val="22"/>
          <w:szCs w:val="22"/>
        </w:rPr>
        <w:t xml:space="preserve">La asignación real unidad-a-presupuesto se registra en el momento de la preparación del material (albarán de carga). Esto permite mostrar los elementos realmente salidos, no solo los artículos planificados en el presupuesto: trazabilidad exacta por unidad física.</w:t>
      </w:r>
    </w:p>
    <w:p>
      <w:pPr>
        <w:pStyle w:val="Heading3"/>
        <w:spacing w:after="100" w:before="220"/>
      </w:pPr>
      <w:r>
        <w:rPr>
          <w:rFonts w:ascii="Calibri" w:cs="Calibri" w:eastAsia="Calibri" w:hAnsi="Calibri"/>
          <w:b/>
          <w:bCs/>
          <w:color w:val="1F3864"/>
          <w:sz w:val="22"/>
          <w:szCs w:val="22"/>
        </w:rPr>
        <w:t xml:space="preserve">Columnas propuestas del DataTable</w:t>
      </w:r>
    </w:p>
    <w:tbl>
      <w:tblPr>
        <w:tblW w:type="dxa" w:w="7564"/>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564"/>
      </w:tblGrid>
      <w:tr>
        <w:trPr>
          <w:tblHeader/>
        </w:trPr>
        <w:tc>
          <w:tcPr>
            <w:tcW w:type="dxa" w:w="28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Campo</w:t>
            </w:r>
          </w:p>
        </w:tc>
        <w:tc>
          <w:tcPr>
            <w:tcW w:type="dxa" w:w="22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Origen</w:t>
            </w:r>
          </w:p>
        </w:tc>
        <w:tc>
          <w:tcPr>
            <w:tcW w:type="dxa" w:w="2564"/>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Notas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Nº Presupuesto</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Presupuesto</w:t>
            </w:r>
          </w:p>
        </w:tc>
        <w:tc>
          <w:tcPr>
            <w:tcW w:type="dxa" w:w="256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Enlace directo al presupuesto</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Cliente</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Cliente</w:t>
            </w:r>
          </w:p>
        </w:tc>
        <w:tc>
          <w:tcPr>
            <w:tcW w:type="dxa" w:w="2564"/>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Nombre del evento</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Presupuesto</w:t>
            </w:r>
          </w:p>
        </w:tc>
        <w:tc>
          <w:tcPr>
            <w:tcW w:type="dxa" w:w="256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Fecha salida</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Albarán de carga</w:t>
            </w:r>
          </w:p>
        </w:tc>
        <w:tc>
          <w:tcPr>
            <w:tcW w:type="dxa" w:w="2564"/>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Cuándo salió físicamente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Fecha retorno</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Albarán de carga</w:t>
            </w:r>
          </w:p>
        </w:tc>
        <w:tc>
          <w:tcPr>
            <w:tcW w:type="dxa" w:w="256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Cuándo volvió (o «—» si sigue fuera)</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Fecha inicio evento</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Presupuesto</w:t>
            </w:r>
          </w:p>
        </w:tc>
        <w:tc>
          <w:tcPr>
            <w:tcW w:type="dxa" w:w="2564"/>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Fecha fin evento</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Presupuesto</w:t>
            </w:r>
          </w:p>
        </w:tc>
        <w:tc>
          <w:tcPr>
            <w:tcW w:type="dxa" w:w="256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Estado presupuesto</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Estados</w:t>
            </w:r>
          </w:p>
        </w:tc>
        <w:tc>
          <w:tcPr>
            <w:tcW w:type="dxa" w:w="2564"/>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Badge con color</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Estado elemento en esa salida</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Albarán de carga</w:t>
            </w:r>
          </w:p>
        </w:tc>
        <w:tc>
          <w:tcPr>
            <w:tcW w:type="dxa" w:w="256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Disponible · Preparación · Alquilado · Retornado</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Es backup</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Albarán de carga</w:t>
            </w:r>
          </w:p>
        </w:tc>
        <w:tc>
          <w:tcPr>
            <w:tcW w:type="dxa" w:w="2564"/>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Badge si el elemento fue material de sustitución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Empresa emisora</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Empresa</w:t>
            </w:r>
          </w:p>
        </w:tc>
        <w:tc>
          <w:tcPr>
            <w:tcW w:type="dxa" w:w="256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Responsable de salida</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Usuario</w:t>
            </w:r>
          </w:p>
        </w:tc>
        <w:tc>
          <w:tcPr>
            <w:tcW w:type="dxa" w:w="2564"/>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Quién generó el albarán</w:t>
            </w:r>
          </w:p>
        </w:tc>
      </w:tr>
    </w:tbl>
    <w:p>
      <w:pPr>
        <w:spacing w:after="80" w:before="0"/>
      </w:pPr>
      <w:r>
        <w:t xml:space="preserve"/>
      </w:r>
    </w:p>
    <w:p>
      <w:pPr>
        <w:pBdr>
          <w:left w:val="single" w:color="C55A11" w:sz="12" w:space="6"/>
        </w:pBdr>
        <w:shd w:fill="FCE4D6" w:val="clear"/>
        <w:spacing w:after="100" w:before="100"/>
        <w:ind w:left="360"/>
      </w:pPr>
      <w:r>
        <w:rPr>
          <w:rFonts w:ascii="Calibri" w:cs="Calibri" w:eastAsia="Calibri" w:hAnsi="Calibri"/>
          <w:color w:val="843C0C"/>
          <w:sz w:val="21"/>
          <w:szCs w:val="21"/>
        </w:rPr>
        <w:t xml:space="preserve">⚠️  La implementación de la edición de albaranes (§2.7) es prerequisito para que este DataTable muestre datos completamente fiables.</w:t>
      </w:r>
    </w:p>
    <w:p>
      <w:pPr>
        <w:spacing w:after="200" w:before="0"/>
      </w:pPr>
      <w:r>
        <w:t xml:space="preserve"/>
      </w:r>
    </w:p>
    <w:p>
      <w:pPr>
        <w:pStyle w:val="Heading1"/>
        <w:shd w:fill="1F3864" w:val="clear"/>
        <w:spacing w:after="200" w:before="300"/>
        <w:ind w:left="120" w:right="120"/>
      </w:pPr>
      <w:r>
        <w:rPr>
          <w:rFonts w:ascii="Calibri" w:cs="Calibri" w:eastAsia="Calibri" w:hAnsi="Calibri"/>
          <w:b/>
          <w:bCs/>
          <w:color w:val="FFFFFF"/>
          <w:sz w:val="28"/>
          <w:szCs w:val="28"/>
        </w:rPr>
        <w:t xml:space="preserve">3. Temas transversales y conclusiones técnicas</w:t>
      </w:r>
    </w:p>
    <w:p>
      <w:pPr>
        <w:pStyle w:val="Heading2"/>
        <w:pBdr>
          <w:bottom w:val="single" w:color="2E5FA3" w:sz="6" w:space="2"/>
        </w:pBdr>
        <w:spacing w:after="140" w:before="280"/>
      </w:pPr>
      <w:r>
        <w:rPr>
          <w:rFonts w:ascii="Calibri" w:cs="Calibri" w:eastAsia="Calibri" w:hAnsi="Calibri"/>
          <w:b/>
          <w:bCs/>
          <w:color w:val="2E5FA3"/>
          <w:sz w:val="24"/>
          <w:szCs w:val="24"/>
        </w:rPr>
        <w:t xml:space="preserve">3.1  Estrategia de kits y NFC en almacén</w:t>
      </w:r>
    </w:p>
    <w:p>
      <w:pPr>
        <w:spacing w:after="100" w:before="0"/>
        <w:jc w:val="left"/>
      </w:pPr>
      <w:r>
        <w:rPr>
          <w:rFonts w:ascii="Calibri" w:cs="Calibri" w:eastAsia="Calibri" w:hAnsi="Calibri"/>
          <w:b w:val="false"/>
          <w:bCs w:val="false"/>
          <w:i w:val="false"/>
          <w:iCs w:val="false"/>
          <w:color w:val="000000"/>
          <w:sz w:val="22"/>
          <w:szCs w:val="22"/>
        </w:rPr>
        <w:t xml:space="preserve">Acuerdo alcanzado sobre la gestión de racks de inalámbricos (cada rack = kit con elementos fijos):</w:t>
      </w:r>
    </w:p>
    <w:p>
      <w:pPr>
        <w:pStyle w:val="ListParagraph"/>
        <w:numPr>
          <w:ilvl w:val="0"/>
          <w:numId w:val="2"/>
        </w:numPr>
        <w:spacing w:after="80" w:before="0"/>
      </w:pPr>
      <w:r>
        <w:rPr>
          <w:rFonts w:ascii="Calibri" w:cs="Calibri" w:eastAsia="Calibri" w:hAnsi="Calibri"/>
          <w:color w:val="000000"/>
          <w:sz w:val="22"/>
          <w:szCs w:val="22"/>
        </w:rPr>
        <w:t xml:space="preserve">El artículo genérico (kit) se instancia como varios elementos físicos independientes (rack-A, rack-B…), cada uno con etiqueta NFC en el exterior de la caja.</w:t>
      </w:r>
    </w:p>
    <w:p>
      <w:pPr>
        <w:pStyle w:val="ListParagraph"/>
        <w:numPr>
          <w:ilvl w:val="0"/>
          <w:numId w:val="2"/>
        </w:numPr>
        <w:spacing w:after="80" w:before="0"/>
      </w:pPr>
      <w:r>
        <w:rPr>
          <w:rFonts w:ascii="Calibri" w:cs="Calibri" w:eastAsia="Calibri" w:hAnsi="Calibri"/>
          <w:color w:val="000000"/>
          <w:sz w:val="22"/>
          <w:szCs w:val="22"/>
        </w:rPr>
        <w:t xml:space="preserve">Leer la etiqueta del rack despliega automáticamente el contenido completo del kit.</w:t>
      </w:r>
    </w:p>
    <w:p>
      <w:pPr>
        <w:pStyle w:val="ListParagraph"/>
        <w:numPr>
          <w:ilvl w:val="0"/>
          <w:numId w:val="2"/>
        </w:numPr>
        <w:spacing w:after="80" w:before="0"/>
      </w:pPr>
      <w:r>
        <w:rPr>
          <w:rFonts w:ascii="Calibri" w:cs="Calibri" w:eastAsia="Calibri" w:hAnsi="Calibri"/>
          <w:color w:val="000000"/>
          <w:sz w:val="22"/>
          <w:szCs w:val="22"/>
        </w:rPr>
        <w:t xml:space="preserve">El control granular de los elementos individuales del rack se delega al sistema de incidencias: si al retorno falta algo, se genera una incidencia con foto desde el móvil.</w:t>
      </w:r>
    </w:p>
    <w:p>
      <w:pPr>
        <w:pStyle w:val="ListParagraph"/>
        <w:numPr>
          <w:ilvl w:val="0"/>
          <w:numId w:val="2"/>
        </w:numPr>
        <w:spacing w:after="80" w:before="0"/>
      </w:pPr>
      <w:r>
        <w:rPr>
          <w:rFonts w:ascii="Calibri" w:cs="Calibri" w:eastAsia="Calibri" w:hAnsi="Calibri"/>
          <w:color w:val="000000"/>
          <w:sz w:val="22"/>
          <w:szCs w:val="22"/>
        </w:rPr>
        <w:t xml:space="preserve">Los elementos que siempre salen y retornan juntos no necesitan etiqueta individual — la etiqueta va en el contenedor (caja, rack, maleta).</w:t>
      </w:r>
    </w:p>
    <w:p>
      <w:pPr>
        <w:spacing w:after="120" w:before="0"/>
      </w:pPr>
      <w:r>
        <w:t xml:space="preserve"/>
      </w:r>
    </w:p>
    <w:p>
      <w:pPr>
        <w:pStyle w:val="Heading2"/>
        <w:pBdr>
          <w:bottom w:val="single" w:color="2E5FA3" w:sz="6" w:space="2"/>
        </w:pBdr>
        <w:spacing w:after="140" w:before="280"/>
      </w:pPr>
      <w:r>
        <w:rPr>
          <w:rFonts w:ascii="Calibri" w:cs="Calibri" w:eastAsia="Calibri" w:hAnsi="Calibri"/>
          <w:b/>
          <w:bCs/>
          <w:color w:val="2E5FA3"/>
          <w:sz w:val="24"/>
          <w:szCs w:val="24"/>
        </w:rPr>
        <w:t xml:space="preserve">3.2  Disponibilidad de material por jornadas</w:t>
      </w:r>
    </w:p>
    <w:p>
      <w:pPr>
        <w:spacing w:after="100" w:before="0"/>
        <w:jc w:val="left"/>
      </w:pPr>
      <w:r>
        <w:rPr>
          <w:rFonts w:ascii="Calibri" w:cs="Calibri" w:eastAsia="Calibri" w:hAnsi="Calibri"/>
          <w:b w:val="false"/>
          <w:bCs w:val="false"/>
          <w:i w:val="false"/>
          <w:iCs w:val="false"/>
          <w:color w:val="000000"/>
          <w:sz w:val="22"/>
          <w:szCs w:val="22"/>
        </w:rPr>
        <w:t xml:space="preserve">Validado el sistema de disponibilidad día a día dentro del rango montaje–desmontaje. Detecta con precisión solapamientos en fechas concretas y diferencia disponibilidad confirmada (solo aprobados) de disponibilidad presupuestada (todos los activos).</w:t>
      </w:r>
    </w:p>
    <w:p>
      <w:pPr>
        <w:spacing w:after="120" w:before="0"/>
        <w:jc w:val="left"/>
      </w:pPr>
      <w:r>
        <w:rPr>
          <w:rFonts w:ascii="Calibri" w:cs="Calibri" w:eastAsia="Calibri" w:hAnsi="Calibri"/>
          <w:b w:val="false"/>
          <w:bCs w:val="false"/>
          <w:i w:val="false"/>
          <w:iCs w:val="false"/>
          <w:color w:val="000000"/>
          <w:sz w:val="22"/>
          <w:szCs w:val="22"/>
        </w:rPr>
        <w:t xml:space="preserve">Pendiente de resolver: cuando un artículo se reutiliza dentro del mismo presupuesto en distintas jornadas o salas (traslado interno), la contabilización debe evitar duplicar la necesidad. Solución propuesta: flag de "traslado" en el albarán de carga.</w:t>
      </w:r>
    </w:p>
    <w:p>
      <w:pPr>
        <w:spacing w:after="120" w:before="0"/>
      </w:pPr>
      <w:r>
        <w:t xml:space="preserve"/>
      </w:r>
    </w:p>
    <w:p>
      <w:pPr>
        <w:pStyle w:val="Heading2"/>
        <w:pBdr>
          <w:bottom w:val="single" w:color="2E5FA3" w:sz="6" w:space="2"/>
        </w:pBdr>
        <w:spacing w:after="140" w:before="280"/>
      </w:pPr>
      <w:r>
        <w:rPr>
          <w:rFonts w:ascii="Calibri" w:cs="Calibri" w:eastAsia="Calibri" w:hAnsi="Calibri"/>
          <w:b/>
          <w:bCs/>
          <w:color w:val="2E5FA3"/>
          <w:sz w:val="24"/>
          <w:szCs w:val="24"/>
        </w:rPr>
        <w:t xml:space="preserve">3.3  Facturación a intermediarios (hoteles / clientes recurrentes)</w:t>
      </w:r>
    </w:p>
    <w:p>
      <w:pPr>
        <w:spacing w:after="100" w:before="0"/>
        <w:jc w:val="left"/>
      </w:pPr>
      <w:r>
        <w:rPr>
          <w:rFonts w:ascii="Calibri" w:cs="Calibri" w:eastAsia="Calibri" w:hAnsi="Calibri"/>
          <w:b w:val="false"/>
          <w:bCs w:val="false"/>
          <w:i w:val="false"/>
          <w:iCs w:val="false"/>
          <w:color w:val="000000"/>
          <w:sz w:val="22"/>
          <w:szCs w:val="22"/>
        </w:rPr>
        <w:t xml:space="preserve">Flujo de presupuesto dual ya implementado y validado:</w:t>
      </w:r>
    </w:p>
    <w:p>
      <w:pPr>
        <w:pStyle w:val="ListParagraph"/>
        <w:numPr>
          <w:ilvl w:val="0"/>
          <w:numId w:val="2"/>
        </w:numPr>
        <w:spacing w:after="80" w:before="0"/>
      </w:pPr>
      <w:r>
        <w:rPr>
          <w:rFonts w:ascii="Calibri" w:cs="Calibri" w:eastAsia="Calibri" w:hAnsi="Calibri"/>
          <w:b/>
          <w:bCs/>
          <w:sz w:val="22"/>
          <w:szCs w:val="22"/>
        </w:rPr>
        <w:t xml:space="preserve">Documento A (cliente final): </w:t>
      </w:r>
      <w:r>
        <w:rPr>
          <w:rFonts w:ascii="Calibri" w:cs="Calibri" w:eastAsia="Calibri" w:hAnsi="Calibri"/>
          <w:sz w:val="22"/>
          <w:szCs w:val="22"/>
        </w:rPr>
        <w:t xml:space="preserve">precio de tarifa sin rappel.</w:t>
      </w:r>
    </w:p>
    <w:p>
      <w:pPr>
        <w:pStyle w:val="ListParagraph"/>
        <w:numPr>
          <w:ilvl w:val="0"/>
          <w:numId w:val="2"/>
        </w:numPr>
        <w:spacing w:after="80" w:before="0"/>
      </w:pPr>
      <w:r>
        <w:rPr>
          <w:rFonts w:ascii="Calibri" w:cs="Calibri" w:eastAsia="Calibri" w:hAnsi="Calibri"/>
          <w:b/>
          <w:bCs/>
          <w:sz w:val="22"/>
          <w:szCs w:val="22"/>
        </w:rPr>
        <w:t xml:space="preserve">Documento B (intermediario/hotel): </w:t>
      </w:r>
      <w:r>
        <w:rPr>
          <w:rFonts w:ascii="Calibri" w:cs="Calibri" w:eastAsia="Calibri" w:hAnsi="Calibri"/>
          <w:sz w:val="22"/>
          <w:szCs w:val="22"/>
        </w:rPr>
        <w:t xml:space="preserve">rappel acordado aplicado por línea. Es el documento contractual sobre el que se factura.</w:t>
      </w:r>
    </w:p>
    <w:p>
      <w:pPr>
        <w:spacing w:after="120" w:before="0"/>
      </w:pPr>
      <w:r>
        <w:t xml:space="preserve"/>
      </w:r>
    </w:p>
    <w:p>
      <w:pPr>
        <w:pStyle w:val="Heading2"/>
        <w:pBdr>
          <w:bottom w:val="single" w:color="2E5FA3" w:sz="6" w:space="2"/>
        </w:pBdr>
        <w:spacing w:after="140" w:before="280"/>
      </w:pPr>
      <w:r>
        <w:rPr>
          <w:rFonts w:ascii="Calibri" w:cs="Calibri" w:eastAsia="Calibri" w:hAnsi="Calibri"/>
          <w:b/>
          <w:bCs/>
          <w:color w:val="2E5FA3"/>
          <w:sz w:val="24"/>
          <w:szCs w:val="24"/>
        </w:rPr>
        <w:t xml:space="preserve">3.4  Control de kilometraje de vehículos</w:t>
      </w:r>
    </w:p>
    <w:p>
      <w:pPr>
        <w:spacing w:after="120" w:before="0"/>
        <w:jc w:val="left"/>
      </w:pPr>
      <w:r>
        <w:rPr>
          <w:rFonts w:ascii="Calibri" w:cs="Calibri" w:eastAsia="Calibri" w:hAnsi="Calibri"/>
          <w:b w:val="false"/>
          <w:bCs w:val="false"/>
          <w:i w:val="false"/>
          <w:iCs w:val="false"/>
          <w:color w:val="000000"/>
          <w:sz w:val="22"/>
          <w:szCs w:val="22"/>
        </w:rPr>
        <w:t xml:space="preserve">El módulo está construido. El procedimiento operativo queda pendiente de definición interna por MDR. Se acordó como solución pragmática un registro mensual por parte del responsable de almacén, que permite controlar el desgaste diferencial entre vehículos y anticipar revisiones.</w:t>
      </w:r>
    </w:p>
    <w:p>
      <w:pPr>
        <w:spacing w:after="120" w:before="0"/>
      </w:pPr>
      <w:r>
        <w:t xml:space="preserve"/>
      </w:r>
    </w:p>
    <w:p>
      <w:pPr>
        <w:pStyle w:val="Heading2"/>
        <w:pBdr>
          <w:bottom w:val="single" w:color="2E5FA3" w:sz="6" w:space="2"/>
        </w:pBdr>
        <w:spacing w:after="140" w:before="280"/>
      </w:pPr>
      <w:r>
        <w:rPr>
          <w:rFonts w:ascii="Calibri" w:cs="Calibri" w:eastAsia="Calibri" w:hAnsi="Calibri"/>
          <w:b/>
          <w:bCs/>
          <w:color w:val="2E5FA3"/>
          <w:sz w:val="24"/>
          <w:szCs w:val="24"/>
        </w:rPr>
        <w:t xml:space="preserve">3.5  Roles y permisos por módulo</w:t>
      </w:r>
    </w:p>
    <w:p>
      <w:pPr>
        <w:spacing w:after="120" w:before="0"/>
        <w:jc w:val="left"/>
      </w:pPr>
      <w:r>
        <w:rPr>
          <w:rFonts w:ascii="Calibri" w:cs="Calibri" w:eastAsia="Calibri" w:hAnsi="Calibri"/>
          <w:b w:val="false"/>
          <w:bCs w:val="false"/>
          <w:i w:val="false"/>
          <w:iCs w:val="false"/>
          <w:color w:val="000000"/>
          <w:sz w:val="22"/>
          <w:szCs w:val="22"/>
        </w:rPr>
        <w:t xml:space="preserve">Arquitectura de acceso confirmada: gerencia, administración, jefe de almacén y técnicos con permisos diferenciados. El cambio de estado de elementos (mantenimiento, reparación) es exclusivo del jefe de almacén y gerencia. Los técnicos tienen acceso de lectura para localizar material y consultar documentación.</w:t>
      </w:r>
    </w:p>
    <w:p>
      <w:pPr>
        <w:spacing w:after="120" w:before="0"/>
      </w:pPr>
      <w:r>
        <w:t xml:space="preserve"/>
      </w:r>
    </w:p>
    <w:p>
      <w:pPr>
        <w:pStyle w:val="Heading2"/>
        <w:pBdr>
          <w:bottom w:val="single" w:color="2E5FA3" w:sz="6" w:space="2"/>
        </w:pBdr>
        <w:spacing w:after="140" w:before="280"/>
      </w:pPr>
      <w:r>
        <w:rPr>
          <w:rFonts w:ascii="Calibri" w:cs="Calibri" w:eastAsia="Calibri" w:hAnsi="Calibri"/>
          <w:b/>
          <w:bCs/>
          <w:color w:val="2E5FA3"/>
          <w:sz w:val="24"/>
          <w:szCs w:val="24"/>
        </w:rPr>
        <w:t xml:space="preserve">3.6  Firma digital de empleados</w:t>
      </w:r>
    </w:p>
    <w:p>
      <w:pPr>
        <w:spacing w:after="80" w:before="0"/>
        <w:jc w:val="left"/>
      </w:pPr>
      <w:r>
        <w:rPr>
          <w:rFonts w:ascii="Calibri" w:cs="Calibri" w:eastAsia="Calibri" w:hAnsi="Calibri"/>
          <w:b w:val="false"/>
          <w:bCs w:val="false"/>
          <w:i w:val="false"/>
          <w:iCs w:val="false"/>
          <w:color w:val="000000"/>
          <w:sz w:val="22"/>
          <w:szCs w:val="22"/>
        </w:rPr>
        <w:t xml:space="preserve">La firma queda registrada en la ficha de usuario y se usa automáticamente en los documentos que ese empleado genera. Cada empleado puede actualizarla desde su perfil.</w:t>
      </w:r>
    </w:p>
    <w:p>
      <w:pPr>
        <w:pBdr>
          <w:left w:val="single" w:color="C55A11" w:sz="12" w:space="6"/>
        </w:pBdr>
        <w:shd w:fill="FCE4D6" w:val="clear"/>
        <w:spacing w:after="100" w:before="100"/>
        <w:ind w:left="360"/>
      </w:pPr>
      <w:r>
        <w:rPr>
          <w:rFonts w:ascii="Calibri" w:cs="Calibri" w:eastAsia="Calibri" w:hAnsi="Calibri"/>
          <w:color w:val="843C0C"/>
          <w:sz w:val="21"/>
          <w:szCs w:val="21"/>
        </w:rPr>
        <w:t xml:space="preserve">⚠️  Pendiente validar que el guardado funciona correctamente en el entorno de producción.</w:t>
      </w:r>
    </w:p>
    <w:p>
      <w:pPr>
        <w:spacing w:after="120" w:before="0"/>
      </w:pPr>
      <w:r>
        <w:t xml:space="preserve"/>
      </w:r>
    </w:p>
    <w:p>
      <w:pPr>
        <w:pStyle w:val="Heading2"/>
        <w:pBdr>
          <w:bottom w:val="single" w:color="2E5FA3" w:sz="6" w:space="2"/>
        </w:pBdr>
        <w:spacing w:after="140" w:before="280"/>
      </w:pPr>
      <w:r>
        <w:rPr>
          <w:rFonts w:ascii="Calibri" w:cs="Calibri" w:eastAsia="Calibri" w:hAnsi="Calibri"/>
          <w:b/>
          <w:bCs/>
          <w:color w:val="2E5FA3"/>
          <w:sz w:val="24"/>
          <w:szCs w:val="24"/>
        </w:rPr>
        <w:t xml:space="preserve">3.7  Bug detectado: sistema de versiones de presupuesto</w:t>
      </w:r>
    </w:p>
    <w:p>
      <w:pPr>
        <w:spacing w:after="80" w:before="0"/>
        <w:jc w:val="left"/>
      </w:pPr>
      <w:r>
        <w:rPr>
          <w:rFonts w:ascii="Calibri" w:cs="Calibri" w:eastAsia="Calibri" w:hAnsi="Calibri"/>
          <w:b w:val="false"/>
          <w:bCs w:val="false"/>
          <w:i w:val="false"/>
          <w:iCs w:val="false"/>
          <w:color w:val="000000"/>
          <w:sz w:val="22"/>
          <w:szCs w:val="22"/>
        </w:rPr>
        <w:t xml:space="preserve">Detectado el 18/03/2026 durante prueba en entorno de desarrollo.</w:t>
      </w:r>
    </w:p>
    <w:p>
      <w:pPr>
        <w:pStyle w:val="Heading3"/>
        <w:spacing w:after="100" w:before="220"/>
      </w:pPr>
      <w:r>
        <w:rPr>
          <w:rFonts w:ascii="Calibri" w:cs="Calibri" w:eastAsia="Calibri" w:hAnsi="Calibri"/>
          <w:b/>
          <w:bCs/>
          <w:color w:val="1F3864"/>
          <w:sz w:val="22"/>
          <w:szCs w:val="22"/>
        </w:rPr>
        <w:t xml:space="preserve">Reproducción del problema</w:t>
      </w:r>
    </w:p>
    <w:p>
      <w:pPr>
        <w:spacing w:after="80" w:before="0"/>
        <w:ind w:left="360"/>
      </w:pPr>
      <w:r>
        <w:rPr>
          <w:rFonts w:ascii="Calibri" w:cs="Calibri" w:eastAsia="Calibri" w:hAnsi="Calibri"/>
          <w:b/>
          <w:bCs/>
          <w:sz w:val="22"/>
          <w:szCs w:val="22"/>
        </w:rPr>
        <w:t xml:space="preserve">1.  </w:t>
      </w:r>
      <w:r>
        <w:rPr>
          <w:rFonts w:ascii="Calibri" w:cs="Calibri" w:eastAsia="Calibri" w:hAnsi="Calibri"/>
          <w:sz w:val="22"/>
          <w:szCs w:val="22"/>
        </w:rPr>
        <w:t xml:space="preserve">Se generan dos versiones del mismo presupuesto (V1 y V2 como opciones para el cliente final).</w:t>
      </w:r>
    </w:p>
    <w:p>
      <w:pPr>
        <w:spacing w:after="80" w:before="0"/>
        <w:ind w:left="360"/>
      </w:pPr>
      <w:r>
        <w:rPr>
          <w:rFonts w:ascii="Calibri" w:cs="Calibri" w:eastAsia="Calibri" w:hAnsi="Calibri"/>
          <w:b/>
          <w:bCs/>
          <w:sz w:val="22"/>
          <w:szCs w:val="22"/>
        </w:rPr>
        <w:t xml:space="preserve">2.  </w:t>
      </w:r>
      <w:r>
        <w:rPr>
          <w:rFonts w:ascii="Calibri" w:cs="Calibri" w:eastAsia="Calibri" w:hAnsi="Calibri"/>
          <w:sz w:val="22"/>
          <w:szCs w:val="22"/>
        </w:rPr>
        <w:t xml:space="preserve">El cliente rechaza la V2 y aprueba la V1.</w:t>
      </w:r>
    </w:p>
    <w:p>
      <w:pPr>
        <w:spacing w:after="80" w:before="0"/>
        <w:ind w:left="360"/>
      </w:pPr>
      <w:r>
        <w:rPr>
          <w:rFonts w:ascii="Calibri" w:cs="Calibri" w:eastAsia="Calibri" w:hAnsi="Calibri"/>
          <w:b/>
          <w:bCs/>
          <w:sz w:val="22"/>
          <w:szCs w:val="22"/>
        </w:rPr>
        <w:t xml:space="preserve">3.  </w:t>
      </w:r>
      <w:r>
        <w:rPr>
          <w:rFonts w:ascii="Calibri" w:cs="Calibri" w:eastAsia="Calibri" w:hAnsi="Calibri"/>
          <w:sz w:val="22"/>
          <w:szCs w:val="22"/>
        </w:rPr>
        <w:t xml:space="preserve">Al intentar generar los albaranes, el sistema devuelve el error «no hay ninguna versión aprobada».</w:t>
      </w:r>
    </w:p>
    <w:p>
      <w:pPr>
        <w:spacing w:after="80" w:before="0"/>
      </w:pPr>
      <w:r>
        <w:t xml:space="preserve"/>
      </w:r>
    </w:p>
    <w:p>
      <w:pPr>
        <w:pStyle w:val="Heading3"/>
        <w:spacing w:after="100" w:before="220"/>
      </w:pPr>
      <w:r>
        <w:rPr>
          <w:rFonts w:ascii="Calibri" w:cs="Calibri" w:eastAsia="Calibri" w:hAnsi="Calibri"/>
          <w:b/>
          <w:bCs/>
          <w:color w:val="1F3864"/>
          <w:sz w:val="22"/>
          <w:szCs w:val="22"/>
        </w:rPr>
        <w:t xml:space="preserve">Comportamiento correcto esperado</w:t>
      </w:r>
    </w:p>
    <w:p>
      <w:pPr>
        <w:spacing w:after="80" w:before="0"/>
        <w:jc w:val="left"/>
      </w:pPr>
      <w:r>
        <w:rPr>
          <w:rFonts w:ascii="Calibri" w:cs="Calibri" w:eastAsia="Calibri" w:hAnsi="Calibri"/>
          <w:b w:val="false"/>
          <w:bCs w:val="false"/>
          <w:i w:val="false"/>
          <w:iCs w:val="false"/>
          <w:color w:val="000000"/>
          <w:sz w:val="22"/>
          <w:szCs w:val="22"/>
        </w:rPr>
        <w:t xml:space="preserve">La búsqueda de la versión aprobada debe recorrer todas las versiones activas del presupuesto y devolver la que tenga estado aprobada, independientemente de cuántas versiones posteriores existan rechazadas.</w:t>
      </w:r>
    </w:p>
    <w:p>
      <w:pPr>
        <w:spacing w:after="120" w:before="0"/>
        <w:jc w:val="left"/>
      </w:pPr>
      <w:r>
        <w:rPr>
          <w:rFonts w:ascii="Calibri" w:cs="Calibri" w:eastAsia="Calibri" w:hAnsi="Calibri"/>
          <w:b w:val="false"/>
          <w:bCs w:val="false"/>
          <w:i w:val="false"/>
          <w:iCs w:val="false"/>
          <w:color w:val="000000"/>
          <w:sz w:val="22"/>
          <w:szCs w:val="22"/>
        </w:rPr>
        <w:t xml:space="preserve">Ámbito afectado: generación de albaranes, albarán de carga y cualquier proceso que requiera validar la existencia de una versión aprobada.</w:t>
      </w:r>
    </w:p>
    <w:p>
      <w:pPr>
        <w:spacing w:after="200" w:before="0"/>
      </w:pPr>
      <w:r>
        <w:t xml:space="preserve"/>
      </w:r>
    </w:p>
    <w:p>
      <w:pPr>
        <w:pStyle w:val="Heading1"/>
        <w:shd w:fill="1F3864" w:val="clear"/>
        <w:spacing w:after="200" w:before="300"/>
        <w:ind w:left="120" w:right="120"/>
      </w:pPr>
      <w:r>
        <w:rPr>
          <w:rFonts w:ascii="Calibri" w:cs="Calibri" w:eastAsia="Calibri" w:hAnsi="Calibri"/>
          <w:b/>
          <w:bCs/>
          <w:color w:val="FFFFFF"/>
          <w:sz w:val="28"/>
          <w:szCs w:val="28"/>
        </w:rPr>
        <w:t xml:space="preserve">4. Próximos pasos</w:t>
      </w:r>
    </w:p>
    <w:p>
      <w:pPr>
        <w:pStyle w:val="Heading2"/>
        <w:pBdr>
          <w:bottom w:val="single" w:color="2E5FA3" w:sz="6" w:space="2"/>
        </w:pBdr>
        <w:spacing w:after="140" w:before="280"/>
      </w:pPr>
      <w:r>
        <w:rPr>
          <w:rFonts w:ascii="Calibri" w:cs="Calibri" w:eastAsia="Calibri" w:hAnsi="Calibri"/>
          <w:b/>
          <w:bCs/>
          <w:color w:val="2E5FA3"/>
          <w:sz w:val="24"/>
          <w:szCs w:val="24"/>
        </w:rPr>
        <w:t xml:space="preserve">4.1  Acciones inmediatas</w:t>
      </w:r>
    </w:p>
    <w:p>
      <w:pPr>
        <w:spacing w:after="80" w:before="0"/>
        <w:ind w:left="360"/>
      </w:pPr>
      <w:r>
        <w:rPr>
          <w:rFonts w:ascii="Calibri" w:cs="Calibri" w:eastAsia="Calibri" w:hAnsi="Calibri"/>
          <w:sz w:val="22"/>
          <w:szCs w:val="22"/>
        </w:rPr>
        <w:t xml:space="preserve">☐  [BUG] Corregir lógica de versiones (§3.7).</w:t>
      </w:r>
    </w:p>
    <w:p>
      <w:pPr>
        <w:spacing w:after="80" w:before="0"/>
        <w:ind w:left="360"/>
      </w:pPr>
      <w:r>
        <w:rPr>
          <w:rFonts w:ascii="Calibri" w:cs="Calibri" w:eastAsia="Calibri" w:hAnsi="Calibri"/>
          <w:sz w:val="22"/>
          <w:szCs w:val="22"/>
        </w:rPr>
        <w:t xml:space="preserve">☐  Resolver discrepancia de cifras en el informe de ventas por familia (fecha incorrecta).</w:t>
      </w:r>
    </w:p>
    <w:p>
      <w:pPr>
        <w:spacing w:after="80" w:before="0"/>
        <w:ind w:left="360"/>
      </w:pPr>
      <w:r>
        <w:rPr>
          <w:rFonts w:ascii="Calibri" w:cs="Calibri" w:eastAsia="Calibri" w:hAnsi="Calibri"/>
          <w:sz w:val="22"/>
          <w:szCs w:val="22"/>
        </w:rPr>
        <w:t xml:space="preserve">☐  Validar guardado de firma digital de empleados en producción.</w:t>
      </w:r>
    </w:p>
    <w:p>
      <w:pPr>
        <w:spacing w:after="80" w:before="0"/>
        <w:ind w:left="360"/>
      </w:pPr>
      <w:r>
        <w:rPr>
          <w:rFonts w:ascii="Calibri" w:cs="Calibri" w:eastAsia="Calibri" w:hAnsi="Calibri"/>
          <w:sz w:val="22"/>
          <w:szCs w:val="22"/>
        </w:rPr>
        <w:t xml:space="preserve">☐  Resolver preguntas abiertas del Panel 360° (§2.11) y Factura Agrupada (§2.12).</w:t>
      </w:r>
    </w:p>
    <w:p>
      <w:pPr>
        <w:spacing w:after="120" w:before="0"/>
      </w:pPr>
      <w:r>
        <w:t xml:space="preserve"/>
      </w:r>
    </w:p>
    <w:p>
      <w:pPr>
        <w:pStyle w:val="Heading2"/>
        <w:pBdr>
          <w:bottom w:val="single" w:color="2E5FA3" w:sz="6" w:space="2"/>
        </w:pBdr>
        <w:spacing w:after="140" w:before="280"/>
      </w:pPr>
      <w:r>
        <w:rPr>
          <w:rFonts w:ascii="Calibri" w:cs="Calibri" w:eastAsia="Calibri" w:hAnsi="Calibri"/>
          <w:b/>
          <w:bCs/>
          <w:color w:val="2E5FA3"/>
          <w:sz w:val="24"/>
          <w:szCs w:val="24"/>
        </w:rPr>
        <w:t xml:space="preserve">4.2  Sesiones pendientes</w:t>
      </w:r>
    </w:p>
    <w:p>
      <w:pPr>
        <w:spacing w:after="80" w:before="0"/>
        <w:ind w:left="360"/>
      </w:pPr>
      <w:r>
        <w:rPr>
          <w:rFonts w:ascii="Calibri" w:cs="Calibri" w:eastAsia="Calibri" w:hAnsi="Calibri"/>
          <w:sz w:val="22"/>
          <w:szCs w:val="22"/>
        </w:rPr>
        <w:t xml:space="preserve">☐  Sesión dedicada: escaneo masivo NFC + llegada masiva de material (§2.1 y §2.3).</w:t>
      </w:r>
    </w:p>
    <w:p>
      <w:pPr>
        <w:spacing w:after="80" w:before="0"/>
        <w:ind w:left="360"/>
      </w:pPr>
      <w:r>
        <w:rPr>
          <w:rFonts w:ascii="Calibri" w:cs="Calibri" w:eastAsia="Calibri" w:hAnsi="Calibri"/>
          <w:sz w:val="22"/>
          <w:szCs w:val="22"/>
        </w:rPr>
        <w:t xml:space="preserve">☐  Sesión para concretar modificaciones del albarán de carga (§2.4).</w:t>
      </w:r>
    </w:p>
    <w:p>
      <w:pPr>
        <w:spacing w:after="120" w:before="0"/>
      </w:pPr>
      <w:r>
        <w:t xml:space="preserve"/>
      </w:r>
    </w:p>
    <w:p>
      <w:pPr>
        <w:pStyle w:val="Heading2"/>
        <w:pBdr>
          <w:bottom w:val="single" w:color="2E5FA3" w:sz="6" w:space="2"/>
        </w:pBdr>
        <w:spacing w:after="140" w:before="280"/>
      </w:pPr>
      <w:r>
        <w:rPr>
          <w:rFonts w:ascii="Calibri" w:cs="Calibri" w:eastAsia="Calibri" w:hAnsi="Calibri"/>
          <w:b/>
          <w:bCs/>
          <w:color w:val="2E5FA3"/>
          <w:sz w:val="24"/>
          <w:szCs w:val="24"/>
        </w:rPr>
        <w:t xml:space="preserve">4.3  Backlog priorizado</w:t>
      </w:r>
    </w:p>
    <w:tbl>
      <w:tblPr>
        <w:tblW w:type="dxa" w:w="9564"/>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964"/>
      </w:tblGrid>
      <w:tr>
        <w:trPr>
          <w:tblHeader/>
        </w:trPr>
        <w:tc>
          <w:tcPr>
            <w:tcW w:type="dxa" w:w="16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Prioridad</w:t>
            </w:r>
          </w:p>
        </w:tc>
        <w:tc>
          <w:tcPr>
            <w:tcW w:type="dxa" w:w="5000"/>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Trabajo</w:t>
            </w:r>
          </w:p>
        </w:tc>
        <w:tc>
          <w:tcPr>
            <w:tcW w:type="dxa" w:w="2964"/>
            <w:tcBorders>
              <w:top w:val="single" w:color="2E5FA3" w:sz="4"/>
              <w:left w:val="single" w:color="2E5FA3" w:sz="4"/>
              <w:bottom w:val="single" w:color="2E5FA3" w:sz="4"/>
              <w:right w:val="single" w:color="2E5FA3" w:sz="4"/>
            </w:tcBorders>
            <w:shd w:fill="2E5FA3"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Notas</w:t>
            </w:r>
          </w:p>
        </w:tc>
      </w:tr>
      <w:tr>
        <w:tc>
          <w:tcPr>
            <w:tcW w:type="dxa" w:w="16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vAlign w:val="center"/>
          </w:tcPr>
          <w:p>
            <w:pPr>
              <w:jc w:val="left"/>
            </w:pPr>
            <w:r>
              <w:rPr>
                <w:rFonts w:ascii="Calibri" w:cs="Calibri" w:eastAsia="Calibri" w:hAnsi="Calibri"/>
                <w:b/>
                <w:bCs/>
                <w:color w:val="843C0C"/>
                <w:sz w:val="20"/>
                <w:szCs w:val="20"/>
              </w:rPr>
              <w:t xml:space="preserve">0 — Urgente</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[BUG] Versiones: la lógica ignora versiones aprobadas si existe una versión posterior rechazada</w:t>
            </w:r>
          </w:p>
        </w:tc>
        <w:tc>
          <w:tcPr>
            <w:tcW w:type="dxa" w:w="296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Ver §3.7</w:t>
            </w:r>
          </w:p>
        </w:tc>
      </w:tr>
      <w:tr>
        <w:tc>
          <w:tcPr>
            <w:tcW w:type="dxa" w:w="16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vAlign w:val="center"/>
          </w:tcPr>
          <w:p>
            <w:pPr>
              <w:jc w:val="left"/>
            </w:pPr>
            <w:r>
              <w:rPr>
                <w:rFonts w:ascii="Calibri" w:cs="Calibri" w:eastAsia="Calibri" w:hAnsi="Calibri"/>
                <w:b/>
                <w:bCs/>
                <w:color w:val="843C0C"/>
                <w:sz w:val="20"/>
                <w:szCs w:val="20"/>
              </w:rPr>
              <w:t xml:space="preserve">1 — Alta</w:t>
            </w:r>
          </w:p>
        </w:tc>
        <w:tc>
          <w:tcPr>
            <w:tcW w:type="dxa" w:w="5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Panel 360° del cliente</w:t>
            </w:r>
          </w:p>
        </w:tc>
        <w:tc>
          <w:tcPr>
            <w:tcW w:type="dxa" w:w="2964"/>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Diseño técnico completo disponible</w:t>
            </w:r>
          </w:p>
        </w:tc>
      </w:tr>
      <w:tr>
        <w:tc>
          <w:tcPr>
            <w:tcW w:type="dxa" w:w="16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vAlign w:val="center"/>
          </w:tcPr>
          <w:p>
            <w:pPr>
              <w:jc w:val="left"/>
            </w:pPr>
            <w:r>
              <w:rPr>
                <w:rFonts w:ascii="Calibri" w:cs="Calibri" w:eastAsia="Calibri" w:hAnsi="Calibri"/>
                <w:b/>
                <w:bCs/>
                <w:color w:val="843C0C"/>
                <w:sz w:val="20"/>
                <w:szCs w:val="20"/>
              </w:rPr>
              <w:t xml:space="preserve">2 — Alta</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Factura agrupada de múltiples presupuestos</w:t>
            </w:r>
          </w:p>
        </w:tc>
        <w:tc>
          <w:tcPr>
            <w:tcW w:type="dxa" w:w="296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Diseño técnico completo disponible</w:t>
            </w:r>
          </w:p>
        </w:tc>
      </w:tr>
      <w:tr>
        <w:tc>
          <w:tcPr>
            <w:tcW w:type="dxa" w:w="16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vAlign w:val="center"/>
          </w:tcPr>
          <w:p>
            <w:pPr>
              <w:jc w:val="left"/>
            </w:pPr>
            <w:r>
              <w:rPr>
                <w:rFonts w:ascii="Calibri" w:cs="Calibri" w:eastAsia="Calibri" w:hAnsi="Calibri"/>
                <w:b/>
                <w:bCs/>
                <w:color w:val="843C0C"/>
                <w:sz w:val="20"/>
                <w:szCs w:val="20"/>
              </w:rPr>
              <w:t xml:space="preserve">3 — Alta</w:t>
            </w:r>
          </w:p>
        </w:tc>
        <w:tc>
          <w:tcPr>
            <w:tcW w:type="dxa" w:w="5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Escaneo masivo NFC + llegada masiva material</w:t>
            </w:r>
          </w:p>
        </w:tc>
        <w:tc>
          <w:tcPr>
            <w:tcW w:type="dxa" w:w="2964"/>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Pendiente sesión de detalle</w:t>
            </w:r>
          </w:p>
        </w:tc>
      </w:tr>
      <w:tr>
        <w:tc>
          <w:tcPr>
            <w:tcW w:type="dxa" w:w="1600"/>
            <w:tcBorders>
              <w:top w:val="single" w:color="CCCCCC" w:sz="4"/>
              <w:left w:val="single" w:color="CCCCCC" w:sz="4"/>
              <w:bottom w:val="single" w:color="CCCCCC" w:sz="4"/>
              <w:right w:val="single" w:color="CCCCCC" w:sz="4"/>
            </w:tcBorders>
            <w:shd w:fill="FCE4D6" w:val="clear"/>
            <w:tcMar>
              <w:top w:type="dxa" w:w="60"/>
              <w:left w:type="dxa" w:w="120"/>
              <w:bottom w:type="dxa" w:w="60"/>
              <w:right w:type="dxa" w:w="120"/>
            </w:tcMar>
            <w:vAlign w:val="center"/>
          </w:tcPr>
          <w:p>
            <w:pPr>
              <w:jc w:val="left"/>
            </w:pPr>
            <w:r>
              <w:rPr>
                <w:rFonts w:ascii="Calibri" w:cs="Calibri" w:eastAsia="Calibri" w:hAnsi="Calibri"/>
                <w:b/>
                <w:bCs/>
                <w:color w:val="843C0C"/>
                <w:sz w:val="20"/>
                <w:szCs w:val="20"/>
              </w:rPr>
              <w:t xml:space="preserve">4 — Alta</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Albaranes fraccionados por ubicación</w:t>
            </w:r>
          </w:p>
        </w:tc>
        <w:tc>
          <w:tcPr>
            <w:tcW w:type="dxa" w:w="296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Sin pendientes de detalle</w:t>
            </w:r>
          </w:p>
        </w:tc>
      </w:tr>
      <w:t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bCs/>
                <w:color w:val="7F6000"/>
                <w:sz w:val="20"/>
                <w:szCs w:val="20"/>
              </w:rPr>
              <w:t xml:space="preserve">5 — Media</w:t>
            </w:r>
          </w:p>
        </w:tc>
        <w:tc>
          <w:tcPr>
            <w:tcW w:type="dxa" w:w="5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Kanban semanal (L–D)</w:t>
            </w:r>
          </w:p>
        </w:tc>
        <w:tc>
          <w:tcPr>
            <w:tcW w:type="dxa" w:w="2964"/>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Sin pendientes de detalle</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bCs/>
                <w:color w:val="7F6000"/>
                <w:sz w:val="20"/>
                <w:szCs w:val="20"/>
              </w:rPr>
              <w:t xml:space="preserve">6 — Media</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Kanban de dirección</w:t>
            </w:r>
          </w:p>
        </w:tc>
        <w:tc>
          <w:tcPr>
            <w:tcW w:type="dxa" w:w="296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Sin pendientes de detalle</w:t>
            </w:r>
          </w:p>
        </w:tc>
      </w:tr>
      <w:t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bCs/>
                <w:color w:val="7F6000"/>
                <w:sz w:val="20"/>
                <w:szCs w:val="20"/>
              </w:rPr>
              <w:t xml:space="preserve">7 — Media</w:t>
            </w:r>
          </w:p>
        </w:tc>
        <w:tc>
          <w:tcPr>
            <w:tcW w:type="dxa" w:w="5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Cambio de artículos desde orden de carga</w:t>
            </w:r>
          </w:p>
        </w:tc>
        <w:tc>
          <w:tcPr>
            <w:tcW w:type="dxa" w:w="2964"/>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Sin pendientes de detalle</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bCs/>
                <w:color w:val="7F6000"/>
                <w:sz w:val="20"/>
                <w:szCs w:val="20"/>
              </w:rPr>
              <w:t xml:space="preserve">8 — Media</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Técnicos por presupuesto + documentación</w:t>
            </w:r>
          </w:p>
        </w:tc>
        <w:tc>
          <w:tcPr>
            <w:tcW w:type="dxa" w:w="296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Sin pendientes de detalle</w:t>
            </w:r>
          </w:p>
        </w:tc>
      </w:tr>
      <w:t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bCs/>
                <w:color w:val="7F6000"/>
                <w:sz w:val="20"/>
                <w:szCs w:val="20"/>
              </w:rPr>
              <w:t xml:space="preserve">9 — Media</w:t>
            </w:r>
          </w:p>
        </w:tc>
        <w:tc>
          <w:tcPr>
            <w:tcW w:type="dxa" w:w="5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Modificaciones albarán de carga</w:t>
            </w:r>
          </w:p>
        </w:tc>
        <w:tc>
          <w:tcPr>
            <w:tcW w:type="dxa" w:w="2964"/>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Pendiente concretar cambios</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375623"/>
                <w:sz w:val="20"/>
                <w:szCs w:val="20"/>
              </w:rPr>
              <w:t xml:space="preserve">10 — Baja</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Responsable de mantenimientos</w:t>
            </w:r>
          </w:p>
        </w:tc>
        <w:tc>
          <w:tcPr>
            <w:tcW w:type="dxa" w:w="296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Sin pendientes de detalle</w:t>
            </w:r>
          </w:p>
        </w:tc>
      </w:tr>
      <w:tr>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375623"/>
                <w:sz w:val="20"/>
                <w:szCs w:val="20"/>
              </w:rPr>
              <w:t xml:space="preserve">11 — Baja</w:t>
            </w:r>
          </w:p>
        </w:tc>
        <w:tc>
          <w:tcPr>
            <w:tcW w:type="dxa" w:w="5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Histórico de salidas por elemento</w:t>
            </w:r>
          </w:p>
        </w:tc>
        <w:tc>
          <w:tcPr>
            <w:tcW w:type="dxa" w:w="2964"/>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Sin pendientes de detalle</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bCs/>
                <w:color w:val="7F6000"/>
                <w:sz w:val="20"/>
                <w:szCs w:val="20"/>
              </w:rPr>
              <w:t xml:space="preserve">12 — Media</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DataTable de presupuestos por elemento</w:t>
            </w:r>
          </w:p>
        </w:tc>
        <w:tc>
          <w:tcPr>
            <w:tcW w:type="dxa" w:w="296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jc w:val="left"/>
            </w:pPr>
            <w:r>
              <w:rPr>
                <w:rFonts w:ascii="Calibri" w:cs="Calibri" w:eastAsia="Calibri" w:hAnsi="Calibri"/>
                <w:b w:val="false"/>
                <w:bCs w:val="false"/>
                <w:color w:val="000000"/>
                <w:sz w:val="20"/>
                <w:szCs w:val="20"/>
              </w:rPr>
              <w:t xml:space="preserve">Pendiente decisión de enfoque</w:t>
            </w:r>
          </w:p>
        </w:tc>
      </w:tr>
    </w:tbl>
    <w:p>
      <w:pPr>
        <w:spacing w:after="300" w:before="0"/>
      </w:pPr>
      <w:r>
        <w:t xml:space="preserve"/>
      </w:r>
    </w:p>
    <w:p>
      <w:pPr>
        <w:pBdr>
          <w:top w:val="single" w:color="CCCCCC" w:sz="4" w:space="4"/>
        </w:pBdr>
        <w:spacing w:after="0" w:before="200"/>
        <w:jc w:val="center"/>
      </w:pPr>
      <w:r>
        <w:rPr>
          <w:rFonts w:ascii="Calibri" w:cs="Calibri" w:eastAsia="Calibri" w:hAnsi="Calibri"/>
          <w:color w:val="888888"/>
          <w:sz w:val="20"/>
          <w:szCs w:val="20"/>
        </w:rPr>
        <w:t xml:space="preserve">Documento generado por Innovabyte  ·  18/03/2026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rFonts w:ascii="Calibri" w:cs="Calibri" w:eastAsia="Calibri" w:hAnsi="Calibri"/>
        <w:color w:val="888888"/>
        <w:sz w:val="16"/>
        <w:szCs w:val="16"/>
      </w:rPr>
      <w:t xml:space="preserve">Innovabyte  ·  18/03/2026  ·  Confidencial</w:t>
    </w:r>
    <w:r>
      <w:rPr>
        <w:rFonts w:ascii="Calibri" w:cs="Calibri" w:eastAsia="Calibri" w:hAnsi="Calibri"/>
        <w:color w:val="888888"/>
        <w:sz w:val="16"/>
        <w:szCs w:val="16"/>
      </w:rPr>
      <w:t xml:space="preserve">   Página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2"/>
      </w:pBdr>
      <w:spacing w:after="0"/>
    </w:pPr>
    <w:r>
      <w:rPr>
        <w:rFonts w:ascii="Calibri" w:cs="Calibri" w:eastAsia="Calibri" w:hAnsi="Calibri"/>
        <w:color w:val="2E5FA3"/>
        <w:sz w:val="18"/>
        <w:szCs w:val="18"/>
      </w:rPr>
      <w:t xml:space="preserve">ACTA DE REUNIÓN DE SEGUIMIENTO  ·  MDR ERP Manager</w:t>
    </w:r>
    <w:r>
      <w:rPr>
        <w:rFonts w:ascii="Calibri" w:cs="Calibri" w:eastAsia="Calibri" w:hAnsi="Calibri"/>
        <w:color w:val="888888"/>
        <w:sz w:val="18"/>
        <w:szCs w:val="18"/>
      </w:rPr>
      <w:t xml:space="preserve">   18/03/2026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alibri" w:cs="Calibri" w:eastAsia="Calibri" w:hAnsi="Calibri"/>
      <w:b/>
      <w:bCs/>
      <w:color w:val="FFFFFF"/>
      <w:sz w:val="28"/>
      <w:szCs w:val="28"/>
    </w:rPr>
  </w:style>
  <w:style w:type="paragraph" w:styleId="Heading2">
    <w:name w:val="Heading 2"/>
    <w:basedOn w:val="Normal"/>
    <w:next w:val="Normal"/>
    <w:qFormat/>
    <w:pPr>
      <w:spacing w:after="140" w:before="280"/>
      <w:outlineLvl w:val="1"/>
    </w:pPr>
    <w:rPr>
      <w:rFonts w:ascii="Calibri" w:cs="Calibri" w:eastAsia="Calibri" w:hAnsi="Calibri"/>
      <w:b/>
      <w:bCs/>
      <w:color w:val="2E5FA3"/>
      <w:sz w:val="24"/>
      <w:szCs w:val="24"/>
    </w:rPr>
  </w:style>
  <w:style w:type="paragraph" w:styleId="Heading3">
    <w:name w:val="Heading 3"/>
    <w:basedOn w:val="Normal"/>
    <w:next w:val="Normal"/>
    <w:qFormat/>
    <w:pPr>
      <w:spacing w:after="100" w:before="220"/>
      <w:outlineLvl w:val="2"/>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2026-03-22T18:45:53.488Z</dcterms:created>
  <dcterms:modified xsi:type="dcterms:W3CDTF">2026-03-22T18:45:53.502Z</dcterms:modified>
</cp:coreProperties>
</file>

<file path=docProps/custom.xml><?xml version="1.0" encoding="utf-8"?>
<Properties xmlns="http://schemas.openxmlformats.org/officeDocument/2006/custom-properties" xmlns:vt="http://schemas.openxmlformats.org/officeDocument/2006/docPropsVTypes"/>
</file>