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48"/>
          <w:szCs w:val="48"/>
        </w:rPr>
        <w:t xml:space="preserve"/>
      </w:r>
    </w:p>
    <w:p>
      <w:pPr>
        <w:spacing w:after="200" w:before="0"/>
        <w:jc w:val="center"/>
      </w:pPr>
      <w:r>
        <w:rPr>
          <w:rFonts w:ascii="Arial" w:cs="Arial" w:eastAsia="Arial" w:hAnsi="Arial"/>
          <w:b/>
          <w:bCs/>
          <w:color w:val="EA580C"/>
          <w:sz w:val="48"/>
          <w:szCs w:val="48"/>
        </w:rPr>
        <w:t xml:space="preserve">AssetTrack · Innovabyte</w:t>
      </w:r>
    </w:p>
    <w:p>
      <w:pPr>
        <w:spacing w:after="160" w:before="0"/>
        <w:jc w:val="center"/>
      </w:pPr>
      <w:r>
        <w:rPr>
          <w:rFonts w:ascii="Arial" w:cs="Arial" w:eastAsia="Arial" w:hAnsi="Arial"/>
          <w:b/>
          <w:bCs/>
          <w:color w:val="1F2937"/>
          <w:sz w:val="28"/>
          <w:szCs w:val="28"/>
        </w:rPr>
        <w:t xml:space="preserve">RESUMEN EJECUTIVO DEL PROYECTO</w:t>
      </w:r>
    </w:p>
    <w:p>
      <w:pPr>
        <w:spacing w:after="600" w:before="0"/>
        <w:jc w:val="center"/>
      </w:pPr>
      <w:r>
        <w:rPr>
          <w:rFonts w:ascii="Arial" w:cs="Arial" w:eastAsia="Arial" w:hAnsi="Arial"/>
          <w:color w:val="6B7280"/>
          <w:sz w:val="22"/>
          <w:szCs w:val="22"/>
        </w:rPr>
        <w:t xml:space="preserve">Documento de traspaso · Abril 2026</w:t>
      </w:r>
    </w:p>
    <w:p>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D" w:val="clear"/>
            <w:tcMar>
              <w:top w:type="dxa" w:w="140"/>
              <w:left w:type="dxa" w:w="200"/>
              <w:bottom w:type="dxa" w:w="140"/>
              <w:right w:type="dxa" w:w="200"/>
            </w:tcMar>
          </w:tcPr>
          <w:p>
            <w:r>
              <w:rPr>
                <w:rFonts w:ascii="Arial" w:cs="Arial" w:eastAsia="Arial" w:hAnsi="Arial"/>
                <w:color w:val="1F2937"/>
                <w:sz w:val="20"/>
                <w:szCs w:val="20"/>
              </w:rPr>
              <w:t xml:space="preserve">Este documento resume el estado completo del proyecto AssetTrack a fecha de traspaso, incluyendo la campaña de redes sociales activa, la estrategia comercial en curso y todos los recursos necesarios para continuar el trabajo de forma autónoma.</w:t>
            </w:r>
          </w:p>
        </w:tc>
      </w:tr>
    </w:tbl>
    <w:p>
      <w:r>
        <w:rPr>
          <w:sz w:val="24"/>
          <w:szCs w:val="24"/>
        </w:rPr>
        <w:t xml:space="preserve"/>
      </w:r>
    </w:p>
    <w:p>
      <w:r>
        <w:br w:type="page"/>
      </w:r>
    </w:p>
    <w:p>
      <w:pPr>
        <w:pStyle w:val="Heading1"/>
        <w:pBdr>
          <w:bottom w:val="single" w:color="EA580C" w:sz="4" w:space="4"/>
        </w:pBdr>
        <w:spacing w:after="200" w:before="400"/>
      </w:pPr>
      <w:r>
        <w:rPr>
          <w:rFonts w:ascii="Arial" w:cs="Arial" w:eastAsia="Arial" w:hAnsi="Arial"/>
          <w:b/>
          <w:bCs/>
          <w:color w:val="1F2937"/>
          <w:sz w:val="32"/>
          <w:szCs w:val="32"/>
        </w:rPr>
        <w:t xml:space="preserve">1. ¿Qué es AssetTrack?</w:t>
      </w:r>
    </w:p>
    <w:p>
      <w:pPr>
        <w:spacing w:after="80" w:before="80"/>
      </w:pPr>
      <w:r>
        <w:rPr>
          <w:rFonts w:ascii="Arial" w:cs="Arial" w:eastAsia="Arial" w:hAnsi="Arial"/>
          <w:color w:val="374151"/>
          <w:sz w:val="20"/>
          <w:szCs w:val="20"/>
        </w:rPr>
        <w:t xml:space="preserve">AssetTrack es un ERP especializado para empresas del sector del alquiler y montaje de equipos audiovisuales (AV), desarrollado por Innovabyte. Se dirige a un nicho muy concreto: empresas que gestionan flotas de equipos (PA, iluminación, vídeo, rigging), técnicos y eventos con herramientas inadecuadas como Excel o WhatsApp.</w:t>
      </w:r>
    </w:p>
    <w:p>
      <w:r>
        <w:rPr>
          <w:sz w:val="12"/>
          <w:szCs w:val="12"/>
        </w:rPr>
        <w:t xml:space="preserve"/>
      </w:r>
    </w:p>
    <w:p>
      <w:pPr>
        <w:spacing w:after="100" w:before="200"/>
      </w:pPr>
      <w:r>
        <w:rPr>
          <w:rFonts w:ascii="Arial" w:cs="Arial" w:eastAsia="Arial" w:hAnsi="Arial"/>
          <w:b/>
          <w:bCs/>
          <w:color w:val="1F2937"/>
          <w:sz w:val="22"/>
          <w:szCs w:val="22"/>
        </w:rPr>
        <w:t xml:space="preserve">Propuesta de valor central</w:t>
      </w:r>
    </w:p>
    <w:p>
      <w:pPr>
        <w:spacing w:after="80" w:before="80"/>
      </w:pPr>
      <w:r>
        <w:rPr>
          <w:rFonts w:ascii="Arial" w:cs="Arial" w:eastAsia="Arial" w:hAnsi="Arial"/>
          <w:color w:val="374151"/>
          <w:sz w:val="20"/>
          <w:szCs w:val="20"/>
        </w:rPr>
        <w:t xml:space="preserve">Visibilidad total y decisiones informadas. AssetTrack no automatiza la asignación de técnicos, sino que proporciona herramientas visuales (Kanban, órdenes de trabajo digitales) para que los managers tomen mejores decisiones con información en tiempo real.</w:t>
      </w:r>
    </w:p>
    <w:p>
      <w:r>
        <w:rPr>
          <w:sz w:val="12"/>
          <w:szCs w:val="12"/>
        </w:rPr>
        <w:t xml:space="preserve"/>
      </w:r>
    </w:p>
    <w:p>
      <w:pPr>
        <w:spacing w:after="100" w:before="200"/>
      </w:pPr>
      <w:r>
        <w:rPr>
          <w:rFonts w:ascii="Arial" w:cs="Arial" w:eastAsia="Arial" w:hAnsi="Arial"/>
          <w:b/>
          <w:bCs/>
          <w:color w:val="1F2937"/>
          <w:sz w:val="22"/>
          <w:szCs w:val="22"/>
        </w:rPr>
        <w:t xml:space="preserve">Módulos principales</w:t>
      </w:r>
    </w:p>
    <w:p>
      <w:pPr>
        <w:pStyle w:val="ListParagraph"/>
        <w:numPr>
          <w:ilvl w:val="0"/>
          <w:numId w:val="2"/>
        </w:numPr>
        <w:spacing w:after="60" w:before="60"/>
      </w:pPr>
      <w:r>
        <w:rPr>
          <w:rFonts w:ascii="Arial" w:cs="Arial" w:eastAsia="Arial" w:hAnsi="Arial"/>
          <w:b w:val="false"/>
          <w:bCs w:val="false"/>
          <w:color w:val="374151"/>
          <w:sz w:val="20"/>
          <w:szCs w:val="20"/>
        </w:rPr>
        <w:t xml:space="preserve">Presupuestos con versionado automático</w:t>
      </w:r>
    </w:p>
    <w:p>
      <w:pPr>
        <w:pStyle w:val="ListParagraph"/>
        <w:numPr>
          <w:ilvl w:val="0"/>
          <w:numId w:val="2"/>
        </w:numPr>
        <w:spacing w:after="60" w:before="60"/>
      </w:pPr>
      <w:r>
        <w:rPr>
          <w:rFonts w:ascii="Arial" w:cs="Arial" w:eastAsia="Arial" w:hAnsi="Arial"/>
          <w:b w:val="false"/>
          <w:bCs w:val="false"/>
          <w:color w:val="374151"/>
          <w:sz w:val="20"/>
          <w:szCs w:val="20"/>
        </w:rPr>
        <w:t xml:space="preserve">Inventario con tecnología NFC</w:t>
      </w:r>
    </w:p>
    <w:p>
      <w:pPr>
        <w:pStyle w:val="ListParagraph"/>
        <w:numPr>
          <w:ilvl w:val="0"/>
          <w:numId w:val="2"/>
        </w:numPr>
        <w:spacing w:after="60" w:before="60"/>
      </w:pPr>
      <w:r>
        <w:rPr>
          <w:rFonts w:ascii="Arial" w:cs="Arial" w:eastAsia="Arial" w:hAnsi="Arial"/>
          <w:b w:val="false"/>
          <w:bCs w:val="false"/>
          <w:color w:val="374151"/>
          <w:sz w:val="20"/>
          <w:szCs w:val="20"/>
        </w:rPr>
        <w:t xml:space="preserve">Sistema de KITs de equipos</w:t>
      </w:r>
    </w:p>
    <w:p>
      <w:pPr>
        <w:pStyle w:val="ListParagraph"/>
        <w:numPr>
          <w:ilvl w:val="0"/>
          <w:numId w:val="2"/>
        </w:numPr>
        <w:spacing w:after="60" w:before="60"/>
      </w:pPr>
      <w:r>
        <w:rPr>
          <w:rFonts w:ascii="Arial" w:cs="Arial" w:eastAsia="Arial" w:hAnsi="Arial"/>
          <w:b w:val="false"/>
          <w:bCs w:val="false"/>
          <w:color w:val="374151"/>
          <w:sz w:val="20"/>
          <w:szCs w:val="20"/>
        </w:rPr>
        <w:t xml:space="preserve">Logística y coordinación de técnicos</w:t>
      </w:r>
    </w:p>
    <w:p>
      <w:pPr>
        <w:pStyle w:val="ListParagraph"/>
        <w:numPr>
          <w:ilvl w:val="0"/>
          <w:numId w:val="2"/>
        </w:numPr>
        <w:spacing w:after="60" w:before="60"/>
      </w:pPr>
      <w:r>
        <w:rPr>
          <w:rFonts w:ascii="Arial" w:cs="Arial" w:eastAsia="Arial" w:hAnsi="Arial"/>
          <w:b w:val="false"/>
          <w:bCs w:val="false"/>
          <w:color w:val="374151"/>
          <w:sz w:val="20"/>
          <w:szCs w:val="20"/>
        </w:rPr>
        <w:t xml:space="preserve">Facturación adaptada a VeriFact / AEAT</w:t>
      </w:r>
    </w:p>
    <w:p>
      <w:pPr>
        <w:pStyle w:val="ListParagraph"/>
        <w:numPr>
          <w:ilvl w:val="0"/>
          <w:numId w:val="2"/>
        </w:numPr>
        <w:spacing w:after="60" w:before="60"/>
      </w:pPr>
      <w:r>
        <w:rPr>
          <w:rFonts w:ascii="Arial" w:cs="Arial" w:eastAsia="Arial" w:hAnsi="Arial"/>
          <w:b w:val="false"/>
          <w:bCs w:val="false"/>
          <w:color w:val="374151"/>
          <w:sz w:val="20"/>
          <w:szCs w:val="20"/>
        </w:rPr>
        <w:t xml:space="preserve">Kanban visual de eventos y órdenes de trabajo</w:t>
      </w:r>
    </w:p>
    <w:p>
      <w:r>
        <w:rPr>
          <w:sz w:val="12"/>
          <w:szCs w:val="12"/>
        </w:rPr>
        <w:t xml:space="preserve"/>
      </w:r>
    </w:p>
    <w:p>
      <w:pPr>
        <w:spacing w:after="100" w:before="200"/>
      </w:pPr>
      <w:r>
        <w:rPr>
          <w:rFonts w:ascii="Arial" w:cs="Arial" w:eastAsia="Arial" w:hAnsi="Arial"/>
          <w:b/>
          <w:bCs/>
          <w:color w:val="1F2937"/>
          <w:sz w:val="22"/>
          <w:szCs w:val="22"/>
        </w:rPr>
        <w:t xml:space="preserve">Identidad de marca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DDDDDD" w:sz="1"/>
              <w:left w:val="single" w:color="DDDDDD" w:sz="1"/>
              <w:bottom w:val="single" w:color="DDDDDD" w:sz="1"/>
              <w:right w:val="single" w:color="DDDDDD"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Variable</w:t>
            </w:r>
          </w:p>
        </w:tc>
        <w:tc>
          <w:tcPr>
            <w:tcW w:type="dxa" w:w="5526"/>
            <w:tcBorders>
              <w:top w:val="single" w:color="DDDDDD" w:sz="1"/>
              <w:left w:val="single" w:color="DDDDDD" w:sz="1"/>
              <w:bottom w:val="single" w:color="DDDDDD" w:sz="1"/>
              <w:right w:val="single" w:color="DDDDDD"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Estado actual</w:t>
            </w:r>
          </w:p>
        </w:tc>
      </w:tr>
      <w:tr>
        <w:tc>
          <w:tcPr>
            <w:tcW w:type="dxa" w:w="35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color w:val="1F2937"/>
                <w:sz w:val="19"/>
                <w:szCs w:val="19"/>
              </w:rPr>
              <w:t xml:space="preserve">Web</w:t>
            </w:r>
          </w:p>
        </w:tc>
        <w:tc>
          <w:tcPr>
            <w:tcW w:type="dxa" w:w="5526"/>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color w:val="374151"/>
                <w:sz w:val="19"/>
                <w:szCs w:val="19"/>
              </w:rPr>
              <w:t xml:space="preserve">assettrack.innovabyte.es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F2937"/>
                <w:sz w:val="19"/>
                <w:szCs w:val="19"/>
              </w:rPr>
              <w:t xml:space="preserve">Color principal</w:t>
            </w:r>
          </w:p>
        </w:tc>
        <w:tc>
          <w:tcPr>
            <w:tcW w:type="dxa" w:w="5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#EA580C (naranja) + #1F2937 (oscuro)</w:t>
            </w:r>
          </w:p>
        </w:tc>
      </w:tr>
      <w:tr>
        <w:tc>
          <w:tcPr>
            <w:tcW w:type="dxa" w:w="35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color w:val="1F2937"/>
                <w:sz w:val="19"/>
                <w:szCs w:val="19"/>
              </w:rPr>
              <w:t xml:space="preserve">Logo</w:t>
            </w:r>
          </w:p>
        </w:tc>
        <w:tc>
          <w:tcPr>
            <w:tcW w:type="dxa" w:w="5526"/>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color w:val="374151"/>
                <w:sz w:val="19"/>
                <w:szCs w:val="19"/>
              </w:rPr>
              <w:t xml:space="preserve">Cubo naranja 3D con letra A integrada</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F2937"/>
                <w:sz w:val="19"/>
                <w:szCs w:val="19"/>
              </w:rPr>
              <w:t xml:space="preserve">Mercado objetivo</w:t>
            </w:r>
          </w:p>
        </w:tc>
        <w:tc>
          <w:tcPr>
            <w:tcW w:type="dxa" w:w="5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España — empresas AV medianas</w:t>
            </w:r>
          </w:p>
        </w:tc>
      </w:tr>
      <w:tr>
        <w:tc>
          <w:tcPr>
            <w:tcW w:type="dxa" w:w="35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color w:val="1F2937"/>
                <w:sz w:val="19"/>
                <w:szCs w:val="19"/>
              </w:rPr>
              <w:t xml:space="preserve">Tono de comunicación</w:t>
            </w:r>
          </w:p>
        </w:tc>
        <w:tc>
          <w:tcPr>
            <w:tcW w:type="dxa" w:w="5526"/>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color w:val="374151"/>
                <w:sz w:val="19"/>
                <w:szCs w:val="19"/>
              </w:rPr>
              <w:t xml:space="preserve">Profesional, técnico, directo. Sin corporativismo vacío.</w:t>
            </w:r>
          </w:p>
        </w:tc>
      </w:tr>
    </w:tbl>
    <w:p>
      <w:r>
        <w:rPr>
          <w:sz w:val="24"/>
          <w:szCs w:val="24"/>
        </w:rPr>
        <w:t xml:space="preserve"/>
      </w:r>
    </w:p>
    <w:p>
      <w:r>
        <w:br w:type="page"/>
      </w:r>
    </w:p>
    <w:p>
      <w:pPr>
        <w:pStyle w:val="Heading1"/>
        <w:pBdr>
          <w:bottom w:val="single" w:color="EA580C" w:sz="4" w:space="4"/>
        </w:pBdr>
        <w:spacing w:after="200" w:before="400"/>
      </w:pPr>
      <w:r>
        <w:rPr>
          <w:rFonts w:ascii="Arial" w:cs="Arial" w:eastAsia="Arial" w:hAnsi="Arial"/>
          <w:b/>
          <w:bCs/>
          <w:color w:val="1F2937"/>
          <w:sz w:val="32"/>
          <w:szCs w:val="32"/>
        </w:rPr>
        <w:t xml:space="preserve">2. Campaña de Redes Sociales</w:t>
      </w:r>
    </w:p>
    <w:p>
      <w:pPr>
        <w:spacing w:after="80" w:before="80"/>
      </w:pPr>
      <w:r>
        <w:rPr>
          <w:rFonts w:ascii="Arial" w:cs="Arial" w:eastAsia="Arial" w:hAnsi="Arial"/>
          <w:color w:val="374151"/>
          <w:sz w:val="20"/>
          <w:szCs w:val="20"/>
        </w:rPr>
        <w:t xml:space="preserve">Se está ejecutando una campaña de vídeo pre-lanzamiento de 8+ semanas, publicando 1 vídeo semanal (formato 9:16 vertical) en cuatro plataformas simultáneamente.</w:t>
      </w:r>
    </w:p>
    <w:p>
      <w:r>
        <w:rPr>
          <w:sz w:val="12"/>
          <w:szCs w:val="12"/>
        </w:rPr>
        <w:t xml:space="preserve"/>
      </w:r>
    </w:p>
    <w:p>
      <w:pPr>
        <w:spacing w:after="100" w:before="200"/>
      </w:pPr>
      <w:r>
        <w:rPr>
          <w:rFonts w:ascii="Arial" w:cs="Arial" w:eastAsia="Arial" w:hAnsi="Arial"/>
          <w:b/>
          <w:bCs/>
          <w:color w:val="1F2937"/>
          <w:sz w:val="22"/>
          <w:szCs w:val="22"/>
        </w:rPr>
        <w:t xml:space="preserve">Plataformas activas</w:t>
      </w:r>
    </w:p>
    <w:p>
      <w:pPr>
        <w:pStyle w:val="ListParagraph"/>
        <w:numPr>
          <w:ilvl w:val="0"/>
          <w:numId w:val="2"/>
        </w:numPr>
        <w:spacing w:after="60" w:before="60"/>
      </w:pPr>
      <w:r>
        <w:rPr>
          <w:rFonts w:ascii="Arial" w:cs="Arial" w:eastAsia="Arial" w:hAnsi="Arial"/>
          <w:b w:val="false"/>
          <w:bCs w:val="false"/>
          <w:color w:val="374151"/>
          <w:sz w:val="20"/>
          <w:szCs w:val="20"/>
        </w:rPr>
        <w:t xml:space="preserve">Instagram (Reels)</w:t>
      </w:r>
    </w:p>
    <w:p>
      <w:pPr>
        <w:pStyle w:val="ListParagraph"/>
        <w:numPr>
          <w:ilvl w:val="0"/>
          <w:numId w:val="2"/>
        </w:numPr>
        <w:spacing w:after="60" w:before="60"/>
      </w:pPr>
      <w:r>
        <w:rPr>
          <w:rFonts w:ascii="Arial" w:cs="Arial" w:eastAsia="Arial" w:hAnsi="Arial"/>
          <w:b w:val="false"/>
          <w:bCs w:val="false"/>
          <w:color w:val="374151"/>
          <w:sz w:val="20"/>
          <w:szCs w:val="20"/>
        </w:rPr>
        <w:t xml:space="preserve">Facebook (vídeo corto, sin etiqueta 'Reel')</w:t>
      </w:r>
    </w:p>
    <w:p>
      <w:pPr>
        <w:pStyle w:val="ListParagraph"/>
        <w:numPr>
          <w:ilvl w:val="0"/>
          <w:numId w:val="2"/>
        </w:numPr>
        <w:spacing w:after="60" w:before="60"/>
      </w:pPr>
      <w:r>
        <w:rPr>
          <w:rFonts w:ascii="Arial" w:cs="Arial" w:eastAsia="Arial" w:hAnsi="Arial"/>
          <w:b w:val="false"/>
          <w:bCs w:val="false"/>
          <w:color w:val="374151"/>
          <w:sz w:val="20"/>
          <w:szCs w:val="20"/>
        </w:rPr>
        <w:t xml:space="preserve">LinkedIn Página de empresa — Innovabyte (tono corporativo)</w:t>
      </w:r>
    </w:p>
    <w:p>
      <w:pPr>
        <w:pStyle w:val="ListParagraph"/>
        <w:numPr>
          <w:ilvl w:val="0"/>
          <w:numId w:val="2"/>
        </w:numPr>
        <w:spacing w:after="60" w:before="60"/>
      </w:pPr>
      <w:r>
        <w:rPr>
          <w:rFonts w:ascii="Arial" w:cs="Arial" w:eastAsia="Arial" w:hAnsi="Arial"/>
          <w:b w:val="false"/>
          <w:bCs w:val="false"/>
          <w:color w:val="374151"/>
          <w:sz w:val="20"/>
          <w:szCs w:val="20"/>
        </w:rPr>
        <w:t xml:space="preserve">LinkedIn Perfil personal — Luis Carlos Pérez (voz founder, primera persona)</w:t>
      </w:r>
    </w:p>
    <w:p>
      <w:r>
        <w:rPr>
          <w:sz w:val="12"/>
          <w:szCs w:val="12"/>
        </w:rPr>
        <w:t xml:space="preserve"/>
      </w:r>
    </w:p>
    <w:p>
      <w:pPr>
        <w:spacing w:after="100" w:before="200"/>
      </w:pPr>
      <w:r>
        <w:rPr>
          <w:rFonts w:ascii="Arial" w:cs="Arial" w:eastAsia="Arial" w:hAnsi="Arial"/>
          <w:b/>
          <w:bCs/>
          <w:color w:val="1F2937"/>
          <w:sz w:val="22"/>
          <w:szCs w:val="22"/>
        </w:rPr>
        <w:t xml:space="preserve">Estado actual de publicaciones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826"/>
        <w:gridCol w:w="2400"/>
      </w:tblGrid>
      <w:tr>
        <w:tc>
          <w:tcPr>
            <w:tcW w:type="dxa" w:w="600"/>
            <w:tcBorders>
              <w:top w:val="single" w:color="DDDDDD" w:sz="1"/>
              <w:left w:val="single" w:color="DDDDDD" w:sz="1"/>
              <w:bottom w:val="single" w:color="DDDDDD" w:sz="1"/>
              <w:right w:val="single" w:color="DDDDDD" w:sz="1"/>
            </w:tcBorders>
            <w:shd w:fill="EA580C"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200"/>
            <w:tcBorders>
              <w:top w:val="single" w:color="DDDDDD" w:sz="1"/>
              <w:left w:val="single" w:color="DDDDDD" w:sz="1"/>
              <w:bottom w:val="single" w:color="DDDDDD" w:sz="1"/>
              <w:right w:val="single" w:color="DDDDDD" w:sz="1"/>
            </w:tcBorders>
            <w:shd w:fill="EA580C" w:val="clear"/>
            <w:tcMar>
              <w:top w:type="dxa" w:w="80"/>
              <w:left w:type="dxa" w:w="100"/>
              <w:bottom w:type="dxa" w:w="80"/>
              <w:right w:type="dxa" w:w="100"/>
            </w:tcMar>
          </w:tcPr>
          <w:p>
            <w:r>
              <w:rPr>
                <w:rFonts w:ascii="Arial" w:cs="Arial" w:eastAsia="Arial" w:hAnsi="Arial"/>
                <w:b/>
                <w:bCs/>
                <w:color w:val="FFFFFF"/>
                <w:sz w:val="19"/>
                <w:szCs w:val="19"/>
              </w:rPr>
              <w:t xml:space="preserve">Tema</w:t>
            </w:r>
          </w:p>
        </w:tc>
        <w:tc>
          <w:tcPr>
            <w:tcW w:type="dxa" w:w="2826"/>
            <w:tcBorders>
              <w:top w:val="single" w:color="DDDDDD" w:sz="1"/>
              <w:left w:val="single" w:color="DDDDDD" w:sz="1"/>
              <w:bottom w:val="single" w:color="DDDDDD" w:sz="1"/>
              <w:right w:val="single" w:color="DDDDDD" w:sz="1"/>
            </w:tcBorders>
            <w:shd w:fill="EA580C" w:val="clear"/>
            <w:tcMar>
              <w:top w:type="dxa" w:w="80"/>
              <w:left w:type="dxa" w:w="100"/>
              <w:bottom w:type="dxa" w:w="80"/>
              <w:right w:type="dxa" w:w="100"/>
            </w:tcMar>
          </w:tcPr>
          <w:p>
            <w:r>
              <w:rPr>
                <w:rFonts w:ascii="Arial" w:cs="Arial" w:eastAsia="Arial" w:hAnsi="Arial"/>
                <w:b/>
                <w:bCs/>
                <w:color w:val="FFFFFF"/>
                <w:sz w:val="19"/>
                <w:szCs w:val="19"/>
              </w:rPr>
              <w:t xml:space="preserve">Formato</w:t>
            </w:r>
          </w:p>
        </w:tc>
        <w:tc>
          <w:tcPr>
            <w:tcW w:type="dxa" w:w="2400"/>
            <w:tcBorders>
              <w:top w:val="single" w:color="DDDDDD" w:sz="1"/>
              <w:left w:val="single" w:color="DDDDDD" w:sz="1"/>
              <w:bottom w:val="single" w:color="DDDDDD" w:sz="1"/>
              <w:right w:val="single" w:color="DDDDDD" w:sz="1"/>
            </w:tcBorders>
            <w:shd w:fill="EA580C" w:val="clear"/>
            <w:tcMar>
              <w:top w:type="dxa" w:w="80"/>
              <w:left w:type="dxa" w:w="100"/>
              <w:bottom w:type="dxa" w:w="80"/>
              <w:right w:type="dxa" w:w="100"/>
            </w:tcMar>
          </w:tcPr>
          <w:p>
            <w:r>
              <w:rPr>
                <w:rFonts w:ascii="Arial" w:cs="Arial" w:eastAsia="Arial" w:hAnsi="Arial"/>
                <w:b/>
                <w:bCs/>
                <w:color w:val="FFFFFF"/>
                <w:sz w:val="19"/>
                <w:szCs w:val="19"/>
              </w:rPr>
              <w:t xml:space="preserve">Estado</w:t>
            </w:r>
          </w:p>
        </w:tc>
      </w:tr>
      <w:tr>
        <w:tc>
          <w:tcPr>
            <w:tcW w:type="dxa" w:w="600"/>
            <w:tcBorders>
              <w:top w:val="single" w:color="DDDDDD" w:sz="1"/>
              <w:left w:val="single" w:color="DDDDDD" w:sz="1"/>
              <w:bottom w:val="single" w:color="DDDDDD" w:sz="1"/>
              <w:right w:val="single" w:color="DDDDDD"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#1</w:t>
            </w:r>
          </w:p>
        </w:tc>
        <w:tc>
          <w:tcPr>
            <w:tcW w:type="dxa" w:w="3200"/>
            <w:tcBorders>
              <w:top w:val="single" w:color="DDDDDD" w:sz="1"/>
              <w:left w:val="single" w:color="DDDDDD" w:sz="1"/>
              <w:bottom w:val="single" w:color="DDDDDD" w:sz="1"/>
              <w:right w:val="single" w:color="DDDDDD"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¿Qué es AssetTrack?</w:t>
            </w:r>
          </w:p>
        </w:tc>
        <w:tc>
          <w:tcPr>
            <w:tcW w:type="dxa" w:w="2826"/>
            <w:tcBorders>
              <w:top w:val="single" w:color="DDDDDD" w:sz="1"/>
              <w:left w:val="single" w:color="DDDDDD" w:sz="1"/>
              <w:bottom w:val="single" w:color="DDDDDD" w:sz="1"/>
              <w:right w:val="single" w:color="DDDDDD"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Imagen hero + vídeo</w:t>
            </w:r>
          </w:p>
        </w:tc>
        <w:tc>
          <w:tcPr>
            <w:tcW w:type="dxa" w:w="2400"/>
            <w:tcBorders>
              <w:top w:val="single" w:color="DDDDDD" w:sz="1"/>
              <w:left w:val="single" w:color="DDDDDD" w:sz="1"/>
              <w:bottom w:val="single" w:color="DDDDDD" w:sz="1"/>
              <w:right w:val="single" w:color="DDDDDD" w:sz="1"/>
            </w:tcBorders>
            <w:shd w:fill="F3F4F6" w:val="clear"/>
            <w:tcMar>
              <w:top w:type="dxa" w:w="80"/>
              <w:left w:type="dxa" w:w="100"/>
              <w:bottom w:type="dxa" w:w="80"/>
              <w:right w:type="dxa" w:w="100"/>
            </w:tcMar>
          </w:tcPr>
          <w:p>
            <w:r>
              <w:rPr>
                <w:rFonts w:ascii="Arial" w:cs="Arial" w:eastAsia="Arial" w:hAnsi="Arial"/>
                <w:b/>
                <w:bCs/>
                <w:color w:val="16A34A"/>
                <w:sz w:val="18"/>
                <w:szCs w:val="18"/>
              </w:rPr>
              <w:t xml:space="preserve">✅ Publicado</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El caos del Excel en presupuestos</w:t>
            </w:r>
          </w:p>
        </w:tc>
        <w:tc>
          <w:tcPr>
            <w:tcW w:type="dxa" w:w="28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Carrusel 5 slides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16A34A"/>
                <w:sz w:val="18"/>
                <w:szCs w:val="18"/>
              </w:rPr>
              <w:t xml:space="preserve">✅ Publicado</w:t>
            </w:r>
          </w:p>
        </w:tc>
      </w:tr>
      <w:tr>
        <w:tc>
          <w:tcPr>
            <w:tcW w:type="dxa" w:w="600"/>
            <w:tcBorders>
              <w:top w:val="single" w:color="DDDDDD" w:sz="1"/>
              <w:left w:val="single" w:color="DDDDDD" w:sz="1"/>
              <w:bottom w:val="single" w:color="DDDDDD" w:sz="1"/>
              <w:right w:val="single" w:color="DDDDDD"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#3</w:t>
            </w:r>
          </w:p>
        </w:tc>
        <w:tc>
          <w:tcPr>
            <w:tcW w:type="dxa" w:w="3200"/>
            <w:tcBorders>
              <w:top w:val="single" w:color="DDDDDD" w:sz="1"/>
              <w:left w:val="single" w:color="DDDDDD" w:sz="1"/>
              <w:bottom w:val="single" w:color="DDDDDD" w:sz="1"/>
              <w:right w:val="single" w:color="DDDDDD"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Versionado de presupuestos</w:t>
            </w:r>
          </w:p>
        </w:tc>
        <w:tc>
          <w:tcPr>
            <w:tcW w:type="dxa" w:w="2826"/>
            <w:tcBorders>
              <w:top w:val="single" w:color="DDDDDD" w:sz="1"/>
              <w:left w:val="single" w:color="DDDDDD" w:sz="1"/>
              <w:bottom w:val="single" w:color="DDDDDD" w:sz="1"/>
              <w:right w:val="single" w:color="DDDDDD"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Carrusel + captura real</w:t>
            </w:r>
          </w:p>
        </w:tc>
        <w:tc>
          <w:tcPr>
            <w:tcW w:type="dxa" w:w="2400"/>
            <w:tcBorders>
              <w:top w:val="single" w:color="DDDDDD" w:sz="1"/>
              <w:left w:val="single" w:color="DDDDDD" w:sz="1"/>
              <w:bottom w:val="single" w:color="DDDDDD" w:sz="1"/>
              <w:right w:val="single" w:color="DDDDDD" w:sz="1"/>
            </w:tcBorders>
            <w:shd w:fill="F3F4F6" w:val="clear"/>
            <w:tcMar>
              <w:top w:type="dxa" w:w="80"/>
              <w:left w:type="dxa" w:w="100"/>
              <w:bottom w:type="dxa" w:w="80"/>
              <w:right w:type="dxa" w:w="100"/>
            </w:tcMar>
          </w:tcPr>
          <w:p>
            <w:r>
              <w:rPr>
                <w:rFonts w:ascii="Arial" w:cs="Arial" w:eastAsia="Arial" w:hAnsi="Arial"/>
                <w:b/>
                <w:bCs/>
                <w:color w:val="16A34A"/>
                <w:sz w:val="18"/>
                <w:szCs w:val="18"/>
              </w:rPr>
              <w:t xml:space="preserve">✅ Publicado</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Sistema de KITs de equipos</w:t>
            </w:r>
          </w:p>
        </w:tc>
        <w:tc>
          <w:tcPr>
            <w:tcW w:type="dxa" w:w="28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Carrusel proceso</w:t>
            </w:r>
          </w:p>
        </w:tc>
        <w:tc>
          <w:tcPr>
            <w:tcW w:type="dxa" w:w="2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bCs/>
                <w:color w:val="16A34A"/>
                <w:sz w:val="18"/>
                <w:szCs w:val="18"/>
              </w:rPr>
              <w:t xml:space="preserve">✅ Publicado</w:t>
            </w:r>
          </w:p>
        </w:tc>
      </w:tr>
      <w:tr>
        <w:tc>
          <w:tcPr>
            <w:tcW w:type="dxa" w:w="600"/>
            <w:tcBorders>
              <w:top w:val="single" w:color="DDDDDD" w:sz="1"/>
              <w:left w:val="single" w:color="DDDDDD" w:sz="1"/>
              <w:bottom w:val="single" w:color="DDDDDD" w:sz="1"/>
              <w:right w:val="single" w:color="DDDDDD"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#5</w:t>
            </w:r>
          </w:p>
        </w:tc>
        <w:tc>
          <w:tcPr>
            <w:tcW w:type="dxa" w:w="3200"/>
            <w:tcBorders>
              <w:top w:val="single" w:color="DDDDDD" w:sz="1"/>
              <w:left w:val="single" w:color="DDDDDD" w:sz="1"/>
              <w:bottom w:val="single" w:color="DDDDDD" w:sz="1"/>
              <w:right w:val="single" w:color="DDDDDD"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Tecnología NFC</w:t>
            </w:r>
          </w:p>
        </w:tc>
        <w:tc>
          <w:tcPr>
            <w:tcW w:type="dxa" w:w="2826"/>
            <w:tcBorders>
              <w:top w:val="single" w:color="DDDDDD" w:sz="1"/>
              <w:left w:val="single" w:color="DDDDDD" w:sz="1"/>
              <w:bottom w:val="single" w:color="DDDDDD" w:sz="1"/>
              <w:right w:val="single" w:color="DDDDDD"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Reel 30s / Infografía</w:t>
            </w:r>
          </w:p>
        </w:tc>
        <w:tc>
          <w:tcPr>
            <w:tcW w:type="dxa" w:w="2400"/>
            <w:tcBorders>
              <w:top w:val="single" w:color="DDDDDD" w:sz="1"/>
              <w:left w:val="single" w:color="DDDDDD" w:sz="1"/>
              <w:bottom w:val="single" w:color="DDDDDD" w:sz="1"/>
              <w:right w:val="single" w:color="DDDDDD"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 Próximo</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85% menos errores</w:t>
            </w:r>
          </w:p>
        </w:tc>
        <w:tc>
          <w:tcPr>
            <w:tcW w:type="dxa" w:w="28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Gráfico visual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Pendiente</w:t>
            </w:r>
          </w:p>
        </w:tc>
      </w:tr>
      <w:tr>
        <w:tc>
          <w:tcPr>
            <w:tcW w:type="dxa" w:w="600"/>
            <w:tcBorders>
              <w:top w:val="single" w:color="DDDDDD" w:sz="1"/>
              <w:left w:val="single" w:color="DDDDDD" w:sz="1"/>
              <w:bottom w:val="single" w:color="DDDDDD" w:sz="1"/>
              <w:right w:val="single" w:color="DDDDDD"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#7</w:t>
            </w:r>
          </w:p>
        </w:tc>
        <w:tc>
          <w:tcPr>
            <w:tcW w:type="dxa" w:w="3200"/>
            <w:tcBorders>
              <w:top w:val="single" w:color="DDDDDD" w:sz="1"/>
              <w:left w:val="single" w:color="DDDDDD" w:sz="1"/>
              <w:bottom w:val="single" w:color="DDDDDD" w:sz="1"/>
              <w:right w:val="single" w:color="DDDDDD"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Trazabilidad en campo</w:t>
            </w:r>
          </w:p>
        </w:tc>
        <w:tc>
          <w:tcPr>
            <w:tcW w:type="dxa" w:w="2826"/>
            <w:tcBorders>
              <w:top w:val="single" w:color="DDDDDD" w:sz="1"/>
              <w:left w:val="single" w:color="DDDDDD" w:sz="1"/>
              <w:bottom w:val="single" w:color="DDDDDD" w:sz="1"/>
              <w:right w:val="single" w:color="DDDDDD"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Imagen + datos</w:t>
            </w:r>
          </w:p>
        </w:tc>
        <w:tc>
          <w:tcPr>
            <w:tcW w:type="dxa" w:w="2400"/>
            <w:tcBorders>
              <w:top w:val="single" w:color="DDDDDD" w:sz="1"/>
              <w:left w:val="single" w:color="DDDDDD" w:sz="1"/>
              <w:bottom w:val="single" w:color="DDDDDD" w:sz="1"/>
              <w:right w:val="single" w:color="DDDDDD" w:sz="1"/>
            </w:tcBorders>
            <w:shd w:fill="F3F4F6" w:val="clear"/>
            <w:tcMar>
              <w:top w:type="dxa" w:w="80"/>
              <w:left w:type="dxa" w:w="100"/>
              <w:bottom w:type="dxa" w:w="80"/>
              <w:right w:type="dxa" w:w="100"/>
            </w:tcMar>
          </w:tcPr>
          <w:p>
            <w:r>
              <w:rPr>
                <w:rFonts w:ascii="Arial" w:cs="Arial" w:eastAsia="Arial" w:hAnsi="Arial"/>
                <w:b w:val="false"/>
                <w:bCs w:val="false"/>
                <w:color w:val="374151"/>
                <w:sz w:val="18"/>
                <w:szCs w:val="18"/>
              </w:rPr>
              <w:t xml:space="preserve">Pendiente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#8</w:t>
            </w:r>
          </w:p>
        </w:tc>
        <w:tc>
          <w:tcPr>
            <w:tcW w:type="dxa" w:w="3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Flujo ideal de un evento AV</w:t>
            </w:r>
          </w:p>
        </w:tc>
        <w:tc>
          <w:tcPr>
            <w:tcW w:type="dxa" w:w="28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Carrusel educativo</w:t>
            </w:r>
          </w:p>
        </w:tc>
        <w:tc>
          <w:tcPr>
            <w:tcW w:type="dxa" w:w="2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b w:val="false"/>
                <w:bCs w:val="false"/>
                <w:color w:val="374151"/>
                <w:sz w:val="18"/>
                <w:szCs w:val="18"/>
              </w:rPr>
              <w:t xml:space="preserve">Pendiente</w:t>
            </w:r>
          </w:p>
        </w:tc>
      </w:tr>
    </w:tbl>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D" w:val="clear"/>
            <w:tcMar>
              <w:top w:type="dxa" w:w="140"/>
              <w:left w:type="dxa" w:w="200"/>
              <w:bottom w:type="dxa" w:w="140"/>
              <w:right w:type="dxa" w:w="200"/>
            </w:tcMar>
          </w:tcPr>
          <w:p>
            <w:r>
              <w:rPr>
                <w:rFonts w:ascii="Arial" w:cs="Arial" w:eastAsia="Arial" w:hAnsi="Arial"/>
                <w:color w:val="1F2937"/>
                <w:sz w:val="20"/>
                <w:szCs w:val="20"/>
              </w:rPr>
              <w:t xml:space="preserve">NOTA: El Post #5 tiene el prompt de generación de vídeo ya preparado. Es el siguiente en publicarse.</w:t>
            </w:r>
          </w:p>
        </w:tc>
      </w:tr>
    </w:tbl>
    <w:p>
      <w:r>
        <w:rPr>
          <w:sz w:val="12"/>
          <w:szCs w:val="12"/>
        </w:rPr>
        <w:t xml:space="preserve"/>
      </w:r>
    </w:p>
    <w:p>
      <w:pPr>
        <w:spacing w:after="100" w:before="200"/>
      </w:pPr>
      <w:r>
        <w:rPr>
          <w:rFonts w:ascii="Arial" w:cs="Arial" w:eastAsia="Arial" w:hAnsi="Arial"/>
          <w:b/>
          <w:bCs/>
          <w:color w:val="1F2937"/>
          <w:sz w:val="22"/>
          <w:szCs w:val="22"/>
        </w:rPr>
        <w:t xml:space="preserve">Principios de copy y tono por plataforma</w:t>
      </w:r>
    </w:p>
    <w:p>
      <w:pPr>
        <w:pStyle w:val="ListParagraph"/>
        <w:numPr>
          <w:ilvl w:val="0"/>
          <w:numId w:val="2"/>
        </w:numPr>
        <w:spacing w:after="60" w:before="60"/>
      </w:pPr>
      <w:r>
        <w:rPr>
          <w:rFonts w:ascii="Arial" w:cs="Arial" w:eastAsia="Arial" w:hAnsi="Arial"/>
          <w:b w:val="false"/>
          <w:bCs w:val="false"/>
          <w:color w:val="374151"/>
          <w:sz w:val="20"/>
          <w:szCs w:val="20"/>
        </w:rPr>
        <w:t xml:space="preserve">Facebook: captions más largas y explicativas</w:t>
      </w:r>
    </w:p>
    <w:p>
      <w:pPr>
        <w:pStyle w:val="ListParagraph"/>
        <w:numPr>
          <w:ilvl w:val="0"/>
          <w:numId w:val="2"/>
        </w:numPr>
        <w:spacing w:after="60" w:before="60"/>
      </w:pPr>
      <w:r>
        <w:rPr>
          <w:rFonts w:ascii="Arial" w:cs="Arial" w:eastAsia="Arial" w:hAnsi="Arial"/>
          <w:b w:val="false"/>
          <w:bCs w:val="false"/>
          <w:color w:val="374151"/>
          <w:sz w:val="20"/>
          <w:szCs w:val="20"/>
        </w:rPr>
        <w:t xml:space="preserve">Instagram: conciso, directo, hook en primera línea</w:t>
      </w:r>
    </w:p>
    <w:p>
      <w:pPr>
        <w:pStyle w:val="ListParagraph"/>
        <w:numPr>
          <w:ilvl w:val="0"/>
          <w:numId w:val="2"/>
        </w:numPr>
        <w:spacing w:after="60" w:before="60"/>
      </w:pPr>
      <w:r>
        <w:rPr>
          <w:rFonts w:ascii="Arial" w:cs="Arial" w:eastAsia="Arial" w:hAnsi="Arial"/>
          <w:b w:val="false"/>
          <w:bCs w:val="false"/>
          <w:color w:val="374151"/>
          <w:sz w:val="20"/>
          <w:szCs w:val="20"/>
        </w:rPr>
        <w:t xml:space="preserve">LinkedIn empresa: formal, corporativo</w:t>
      </w:r>
    </w:p>
    <w:p>
      <w:pPr>
        <w:pStyle w:val="ListParagraph"/>
        <w:numPr>
          <w:ilvl w:val="0"/>
          <w:numId w:val="2"/>
        </w:numPr>
        <w:spacing w:after="60" w:before="60"/>
      </w:pPr>
      <w:r>
        <w:rPr>
          <w:rFonts w:ascii="Arial" w:cs="Arial" w:eastAsia="Arial" w:hAnsi="Arial"/>
          <w:b w:val="false"/>
          <w:bCs w:val="false"/>
          <w:color w:val="374151"/>
          <w:sz w:val="20"/>
          <w:szCs w:val="20"/>
        </w:rPr>
        <w:t xml:space="preserve">LinkedIn personal: primera persona, voz de founder</w:t>
      </w:r>
    </w:p>
    <w:p>
      <w:r>
        <w:rPr>
          <w:sz w:val="12"/>
          <w:szCs w:val="12"/>
        </w:rPr>
        <w:t xml:space="preserve"/>
      </w:r>
    </w:p>
    <w:p>
      <w:pPr>
        <w:spacing w:after="100" w:before="200"/>
      </w:pPr>
      <w:r>
        <w:rPr>
          <w:rFonts w:ascii="Arial" w:cs="Arial" w:eastAsia="Arial" w:hAnsi="Arial"/>
          <w:b/>
          <w:bCs/>
          <w:color w:val="1F2937"/>
          <w:sz w:val="22"/>
          <w:szCs w:val="22"/>
        </w:rPr>
        <w:t xml:space="preserve">Regla de oro del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6" w:val="clear"/>
            <w:tcMar>
              <w:top w:type="dxa" w:w="140"/>
              <w:left w:type="dxa" w:w="200"/>
              <w:bottom w:type="dxa" w:w="140"/>
              <w:right w:type="dxa" w:w="200"/>
            </w:tcMar>
          </w:tcPr>
          <w:p>
            <w:r>
              <w:rPr>
                <w:rFonts w:ascii="Arial" w:cs="Arial" w:eastAsia="Arial" w:hAnsi="Arial"/>
                <w:color w:val="1F2937"/>
                <w:sz w:val="20"/>
                <w:szCs w:val="20"/>
              </w:rPr>
              <w:t xml:space="preserve">NUNCA usar lenguaje de 'eliminación de caos' o 'asignación automática'. Usar siempre: 'visibilidad total', 'decisiones informadas', 'control en tiempo real'.</w:t>
            </w:r>
          </w:p>
        </w:tc>
      </w:tr>
    </w:tbl>
    <w:p>
      <w:r>
        <w:rPr>
          <w:sz w:val="12"/>
          <w:szCs w:val="12"/>
        </w:rPr>
        <w:t xml:space="preserve"/>
      </w:r>
    </w:p>
    <w:p>
      <w:pPr>
        <w:spacing w:after="100" w:before="200"/>
      </w:pPr>
      <w:r>
        <w:rPr>
          <w:rFonts w:ascii="Arial" w:cs="Arial" w:eastAsia="Arial" w:hAnsi="Arial"/>
          <w:b/>
          <w:bCs/>
          <w:color w:val="1F2937"/>
          <w:sz w:val="22"/>
          <w:szCs w:val="22"/>
        </w:rPr>
        <w:t xml:space="preserve">Archivos de la campaña</w:t>
      </w:r>
    </w:p>
    <w:p>
      <w:pPr>
        <w:pStyle w:val="ListParagraph"/>
        <w:numPr>
          <w:ilvl w:val="0"/>
          <w:numId w:val="2"/>
        </w:numPr>
        <w:spacing w:after="60" w:before="60"/>
      </w:pPr>
      <w:r>
        <w:rPr>
          <w:rFonts w:ascii="Arial" w:cs="Arial" w:eastAsia="Arial" w:hAnsi="Arial"/>
          <w:b w:val="false"/>
          <w:bCs w:val="false"/>
          <w:color w:val="374151"/>
          <w:sz w:val="20"/>
          <w:szCs w:val="20"/>
        </w:rPr>
        <w:t xml:space="preserve">AssetTrack_Plan_Instagram_Completo_v3.docx — Posts #1 a #8 con captions y prompts</w:t>
      </w:r>
    </w:p>
    <w:p>
      <w:pPr>
        <w:pStyle w:val="ListParagraph"/>
        <w:numPr>
          <w:ilvl w:val="0"/>
          <w:numId w:val="2"/>
        </w:numPr>
        <w:spacing w:after="60" w:before="60"/>
      </w:pPr>
      <w:r>
        <w:rPr>
          <w:rFonts w:ascii="Arial" w:cs="Arial" w:eastAsia="Arial" w:hAnsi="Arial"/>
          <w:b w:val="false"/>
          <w:bCs w:val="false"/>
          <w:color w:val="374151"/>
          <w:sz w:val="20"/>
          <w:szCs w:val="20"/>
        </w:rPr>
        <w:t xml:space="preserve">AssetTrack_Posts_9-12_Prompts.txt — Posts #9 a #12</w:t>
      </w:r>
    </w:p>
    <w:p>
      <w:pPr>
        <w:pStyle w:val="ListParagraph"/>
        <w:numPr>
          <w:ilvl w:val="0"/>
          <w:numId w:val="2"/>
        </w:numPr>
        <w:spacing w:after="60" w:before="60"/>
      </w:pPr>
      <w:r>
        <w:rPr>
          <w:rFonts w:ascii="Arial" w:cs="Arial" w:eastAsia="Arial" w:hAnsi="Arial"/>
          <w:b w:val="false"/>
          <w:bCs w:val="false"/>
          <w:color w:val="374151"/>
          <w:sz w:val="20"/>
          <w:szCs w:val="20"/>
        </w:rPr>
        <w:t xml:space="preserve">AssetTrack_Plan_Instagram_2026.pdf — Plan estratégico completo</w:t>
      </w:r>
    </w:p>
    <w:p>
      <w:r>
        <w:rPr>
          <w:sz w:val="24"/>
          <w:szCs w:val="24"/>
        </w:rPr>
        <w:t xml:space="preserve"/>
      </w:r>
    </w:p>
    <w:p>
      <w:r>
        <w:br w:type="page"/>
      </w:r>
    </w:p>
    <w:p>
      <w:pPr>
        <w:pStyle w:val="Heading1"/>
        <w:pBdr>
          <w:bottom w:val="single" w:color="EA580C" w:sz="4" w:space="4"/>
        </w:pBdr>
        <w:spacing w:after="200" w:before="400"/>
      </w:pPr>
      <w:r>
        <w:rPr>
          <w:rFonts w:ascii="Arial" w:cs="Arial" w:eastAsia="Arial" w:hAnsi="Arial"/>
          <w:b/>
          <w:bCs/>
          <w:color w:val="1F2937"/>
          <w:sz w:val="32"/>
          <w:szCs w:val="32"/>
        </w:rPr>
        <w:t xml:space="preserve">3. Estrategia Comercial</w:t>
      </w:r>
    </w:p>
    <w:p>
      <w:pPr>
        <w:spacing w:after="80" w:before="80"/>
      </w:pPr>
      <w:r>
        <w:rPr>
          <w:rFonts w:ascii="Arial" w:cs="Arial" w:eastAsia="Arial" w:hAnsi="Arial"/>
          <w:color w:val="374151"/>
          <w:sz w:val="20"/>
          <w:szCs w:val="20"/>
        </w:rPr>
        <w:t xml:space="preserve">La estrategia comercial está estructurada en tres canales principales, todos operando en paralelo y sin presupuesto de pago actualmente.</w:t>
      </w:r>
    </w:p>
    <w:p>
      <w:r>
        <w:rPr>
          <w:sz w:val="12"/>
          <w:szCs w:val="12"/>
        </w:rPr>
        <w:t xml:space="preserve"/>
      </w:r>
    </w:p>
    <w:p>
      <w:pPr>
        <w:pStyle w:val="Heading2"/>
        <w:spacing w:after="160" w:before="300"/>
      </w:pPr>
      <w:r>
        <w:rPr>
          <w:rFonts w:ascii="Arial" w:cs="Arial" w:eastAsia="Arial" w:hAnsi="Arial"/>
          <w:b/>
          <w:bCs/>
          <w:color w:val="EA580C"/>
          <w:sz w:val="26"/>
          <w:szCs w:val="26"/>
        </w:rPr>
        <w:t xml:space="preserve">3.1 BNI Esferas (Valencia — Canal local)</w:t>
      </w:r>
    </w:p>
    <w:p>
      <w:pPr>
        <w:spacing w:after="80" w:before="80"/>
      </w:pPr>
      <w:r>
        <w:rPr>
          <w:rFonts w:ascii="Arial" w:cs="Arial" w:eastAsia="Arial" w:hAnsi="Arial"/>
          <w:color w:val="374151"/>
          <w:sz w:val="20"/>
          <w:szCs w:val="20"/>
        </w:rPr>
        <w:t xml:space="preserve">Luis Carlos pertenece a BNI Esferas en Valencia. Se ha diseñado un ciclo de 7 presentaciones semanales específicas para AssetTrack, cada una centrada en una funcionalidad diferente del producto, con fechas asignadas hasta el 25/05/2026.</w:t>
      </w:r>
    </w:p>
    <w:p>
      <w:r>
        <w:rPr>
          <w:sz w:val="12"/>
          <w:szCs w:val="12"/>
        </w:rPr>
        <w:t xml:space="preserve"/>
      </w:r>
    </w:p>
    <w:p>
      <w:pPr>
        <w:spacing w:after="100" w:before="200"/>
      </w:pPr>
      <w:r>
        <w:rPr>
          <w:rFonts w:ascii="Arial" w:cs="Arial" w:eastAsia="Arial" w:hAnsi="Arial"/>
          <w:b/>
          <w:bCs/>
          <w:color w:val="1F2937"/>
          <w:sz w:val="22"/>
          <w:szCs w:val="22"/>
        </w:rPr>
        <w:t xml:space="preserve">Estructura del ciclo BNI</w:t>
      </w:r>
    </w:p>
    <w:p>
      <w:pPr>
        <w:pStyle w:val="ListParagraph"/>
        <w:numPr>
          <w:ilvl w:val="0"/>
          <w:numId w:val="2"/>
        </w:numPr>
        <w:spacing w:after="60" w:before="60"/>
      </w:pPr>
      <w:r>
        <w:rPr>
          <w:rFonts w:ascii="Arial" w:cs="Arial" w:eastAsia="Arial" w:hAnsi="Arial"/>
          <w:b w:val="false"/>
          <w:bCs w:val="false"/>
          <w:color w:val="374151"/>
          <w:sz w:val="20"/>
          <w:szCs w:val="20"/>
        </w:rPr>
        <w:t xml:space="preserve">Cada presentación dura 45 segundos (formato BNI estándar)</w:t>
      </w:r>
    </w:p>
    <w:p>
      <w:pPr>
        <w:pStyle w:val="ListParagraph"/>
        <w:numPr>
          <w:ilvl w:val="0"/>
          <w:numId w:val="2"/>
        </w:numPr>
        <w:spacing w:after="60" w:before="60"/>
      </w:pPr>
      <w:r>
        <w:rPr>
          <w:rFonts w:ascii="Arial" w:cs="Arial" w:eastAsia="Arial" w:hAnsi="Arial"/>
          <w:b w:val="false"/>
          <w:bCs w:val="false"/>
          <w:color w:val="374151"/>
          <w:sz w:val="20"/>
          <w:szCs w:val="20"/>
        </w:rPr>
        <w:t xml:space="preserve">Cada semana se muestra una captura real de AssetTrack en monitor simulado</w:t>
      </w:r>
    </w:p>
    <w:p>
      <w:pPr>
        <w:pStyle w:val="ListParagraph"/>
        <w:numPr>
          <w:ilvl w:val="0"/>
          <w:numId w:val="2"/>
        </w:numPr>
        <w:spacing w:after="60" w:before="60"/>
      </w:pPr>
      <w:r>
        <w:rPr>
          <w:rFonts w:ascii="Arial" w:cs="Arial" w:eastAsia="Arial" w:hAnsi="Arial"/>
          <w:b w:val="false"/>
          <w:bCs w:val="false"/>
          <w:color w:val="374151"/>
          <w:sz w:val="20"/>
          <w:szCs w:val="20"/>
        </w:rPr>
        <w:t xml:space="preserve">Se alterna el layout visual semana a semana para mantener la atención</w:t>
      </w:r>
    </w:p>
    <w:p>
      <w:pPr>
        <w:pStyle w:val="ListParagraph"/>
        <w:numPr>
          <w:ilvl w:val="0"/>
          <w:numId w:val="2"/>
        </w:numPr>
        <w:spacing w:after="60" w:before="60"/>
      </w:pPr>
      <w:r>
        <w:rPr>
          <w:rFonts w:ascii="Arial" w:cs="Arial" w:eastAsia="Arial" w:hAnsi="Arial"/>
          <w:b w:val="false"/>
          <w:bCs w:val="false"/>
          <w:color w:val="374151"/>
          <w:sz w:val="20"/>
          <w:szCs w:val="20"/>
        </w:rPr>
        <w:t xml:space="preserve">Cada presentación incluye un borrador de email de seguimiento preparado</w:t>
      </w:r>
    </w:p>
    <w:p>
      <w:pPr>
        <w:pStyle w:val="ListParagraph"/>
        <w:numPr>
          <w:ilvl w:val="0"/>
          <w:numId w:val="2"/>
        </w:numPr>
        <w:spacing w:after="60" w:before="60"/>
      </w:pPr>
      <w:r>
        <w:rPr>
          <w:rFonts w:ascii="Arial" w:cs="Arial" w:eastAsia="Arial" w:hAnsi="Arial"/>
          <w:b w:val="false"/>
          <w:bCs w:val="false"/>
          <w:color w:val="374151"/>
          <w:sz w:val="20"/>
          <w:szCs w:val="20"/>
        </w:rPr>
        <w:t xml:space="preserve">El ciclo cierra el 25/05/2026 con un footer de cierre de ciclo</w:t>
      </w:r>
    </w:p>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D" w:val="clear"/>
            <w:tcMar>
              <w:top w:type="dxa" w:w="140"/>
              <w:left w:type="dxa" w:w="200"/>
              <w:bottom w:type="dxa" w:w="140"/>
              <w:right w:type="dxa" w:w="200"/>
            </w:tcMar>
          </w:tcPr>
          <w:p>
            <w:r>
              <w:rPr>
                <w:rFonts w:ascii="Arial" w:cs="Arial" w:eastAsia="Arial" w:hAnsi="Arial"/>
                <w:color w:val="1F2937"/>
                <w:sz w:val="20"/>
                <w:szCs w:val="20"/>
              </w:rPr>
              <w:t xml:space="preserve">El objetivo de BNI es generar referidos cualificados del sector AV en el ámbito local de Valencia, no ventas directas.</w:t>
            </w:r>
          </w:p>
        </w:tc>
      </w:tr>
    </w:tbl>
    <w:p>
      <w:r>
        <w:rPr>
          <w:sz w:val="12"/>
          <w:szCs w:val="12"/>
        </w:rPr>
        <w:t xml:space="preserve"/>
      </w:r>
    </w:p>
    <w:p>
      <w:pPr>
        <w:pStyle w:val="Heading2"/>
        <w:spacing w:after="160" w:before="300"/>
      </w:pPr>
      <w:r>
        <w:rPr>
          <w:rFonts w:ascii="Arial" w:cs="Arial" w:eastAsia="Arial" w:hAnsi="Arial"/>
          <w:b/>
          <w:bCs/>
          <w:color w:val="EA580C"/>
          <w:sz w:val="26"/>
          <w:szCs w:val="26"/>
        </w:rPr>
        <w:t xml:space="preserve">3.2 LinkedIn Nacional (Canal principal de alcance)</w:t>
      </w:r>
    </w:p>
    <w:p>
      <w:pPr>
        <w:spacing w:after="80" w:before="80"/>
      </w:pPr>
      <w:r>
        <w:rPr>
          <w:rFonts w:ascii="Arial" w:cs="Arial" w:eastAsia="Arial" w:hAnsi="Arial"/>
          <w:color w:val="374151"/>
          <w:sz w:val="20"/>
          <w:szCs w:val="20"/>
        </w:rPr>
        <w:t xml:space="preserve">LinkedIn es el canal de mayor potencial para llegar a decisores AV en toda España. Se trabaja en paralelo el perfil de empresa (Innovabyte) y el perfil personal de Luis Carlos Pérez.</w:t>
      </w:r>
    </w:p>
    <w:p>
      <w:r>
        <w:rPr>
          <w:sz w:val="12"/>
          <w:szCs w:val="12"/>
        </w:rPr>
        <w:t xml:space="preserve"/>
      </w:r>
    </w:p>
    <w:p>
      <w:pPr>
        <w:spacing w:after="100" w:before="200"/>
      </w:pPr>
      <w:r>
        <w:rPr>
          <w:rFonts w:ascii="Arial" w:cs="Arial" w:eastAsia="Arial" w:hAnsi="Arial"/>
          <w:b/>
          <w:bCs/>
          <w:color w:val="1F2937"/>
          <w:sz w:val="22"/>
          <w:szCs w:val="22"/>
        </w:rPr>
        <w:t xml:space="preserve">Optimización del perfil personal recomendada</w:t>
      </w:r>
    </w:p>
    <w:p>
      <w:pPr>
        <w:pStyle w:val="ListParagraph"/>
        <w:numPr>
          <w:ilvl w:val="0"/>
          <w:numId w:val="2"/>
        </w:numPr>
        <w:spacing w:after="60" w:before="60"/>
      </w:pPr>
      <w:r>
        <w:rPr>
          <w:rFonts w:ascii="Arial" w:cs="Arial" w:eastAsia="Arial" w:hAnsi="Arial"/>
          <w:b w:val="false"/>
          <w:bCs w:val="false"/>
          <w:color w:val="374151"/>
          <w:sz w:val="20"/>
          <w:szCs w:val="20"/>
        </w:rPr>
        <w:t xml:space="preserve">Titular: 'Ayudo a empresas de alquiler AV a dejar el Excel atrás | AssetTrack ERP | Innovabyte'</w:t>
      </w:r>
    </w:p>
    <w:p>
      <w:pPr>
        <w:pStyle w:val="ListParagraph"/>
        <w:numPr>
          <w:ilvl w:val="0"/>
          <w:numId w:val="2"/>
        </w:numPr>
        <w:spacing w:after="60" w:before="60"/>
      </w:pPr>
      <w:r>
        <w:rPr>
          <w:rFonts w:ascii="Arial" w:cs="Arial" w:eastAsia="Arial" w:hAnsi="Arial"/>
          <w:b w:val="false"/>
          <w:bCs w:val="false"/>
          <w:color w:val="374151"/>
          <w:sz w:val="20"/>
          <w:szCs w:val="20"/>
        </w:rPr>
        <w:t xml:space="preserve">Banner: imagen de marca AssetTrack con URL assettrack.innovabyte.es</w:t>
      </w:r>
    </w:p>
    <w:p>
      <w:pPr>
        <w:pStyle w:val="ListParagraph"/>
        <w:numPr>
          <w:ilvl w:val="0"/>
          <w:numId w:val="2"/>
        </w:numPr>
        <w:spacing w:after="60" w:before="60"/>
      </w:pPr>
      <w:r>
        <w:rPr>
          <w:rFonts w:ascii="Arial" w:cs="Arial" w:eastAsia="Arial" w:hAnsi="Arial"/>
          <w:b w:val="false"/>
          <w:bCs w:val="false"/>
          <w:color w:val="374151"/>
          <w:sz w:val="20"/>
          <w:szCs w:val="20"/>
        </w:rPr>
        <w:t xml:space="preserve">Extracto: problema del sector → qué es AssetTrack → CTA Calendly</w:t>
      </w:r>
    </w:p>
    <w:p>
      <w:r>
        <w:rPr>
          <w:sz w:val="12"/>
          <w:szCs w:val="12"/>
        </w:rPr>
        <w:t xml:space="preserve"/>
      </w:r>
    </w:p>
    <w:p>
      <w:pPr>
        <w:spacing w:after="100" w:before="200"/>
      </w:pPr>
      <w:r>
        <w:rPr>
          <w:rFonts w:ascii="Arial" w:cs="Arial" w:eastAsia="Arial" w:hAnsi="Arial"/>
          <w:b/>
          <w:bCs/>
          <w:color w:val="1F2937"/>
          <w:sz w:val="22"/>
          <w:szCs w:val="22"/>
        </w:rPr>
        <w:t xml:space="preserve">Sistema de contenido — Regla 70-20-10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DDDDDD" w:sz="1"/>
              <w:left w:val="single" w:color="DDDDDD" w:sz="1"/>
              <w:bottom w:val="single" w:color="DDDDDD" w:sz="1"/>
              <w:right w:val="single" w:color="DDDDDD"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Variable</w:t>
            </w:r>
          </w:p>
        </w:tc>
        <w:tc>
          <w:tcPr>
            <w:tcW w:type="dxa" w:w="5526"/>
            <w:tcBorders>
              <w:top w:val="single" w:color="DDDDDD" w:sz="1"/>
              <w:left w:val="single" w:color="DDDDDD" w:sz="1"/>
              <w:bottom w:val="single" w:color="DDDDDD" w:sz="1"/>
              <w:right w:val="single" w:color="DDDDDD"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Estado actual</w:t>
            </w:r>
          </w:p>
        </w:tc>
      </w:tr>
      <w:tr>
        <w:tc>
          <w:tcPr>
            <w:tcW w:type="dxa" w:w="35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color w:val="1F2937"/>
                <w:sz w:val="19"/>
                <w:szCs w:val="19"/>
              </w:rPr>
              <w:t xml:space="preserve">70%</w:t>
            </w:r>
          </w:p>
        </w:tc>
        <w:tc>
          <w:tcPr>
            <w:tcW w:type="dxa" w:w="5526"/>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color w:val="374151"/>
                <w:sz w:val="19"/>
                <w:szCs w:val="19"/>
              </w:rPr>
              <w:t xml:space="preserve">Sector AV: problemas y tendencias. Sin mencionar AssetTrack.</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F2937"/>
                <w:sz w:val="19"/>
                <w:szCs w:val="19"/>
              </w:rPr>
              <w:t xml:space="preserve">20%</w:t>
            </w:r>
          </w:p>
        </w:tc>
        <w:tc>
          <w:tcPr>
            <w:tcW w:type="dxa" w:w="5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Reflexión sectorial con referencia natural a AssetTrack.</w:t>
            </w:r>
          </w:p>
        </w:tc>
      </w:tr>
      <w:tr>
        <w:tc>
          <w:tcPr>
            <w:tcW w:type="dxa" w:w="35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color w:val="1F2937"/>
                <w:sz w:val="19"/>
                <w:szCs w:val="19"/>
              </w:rPr>
              <w:t xml:space="preserve">10%</w:t>
            </w:r>
          </w:p>
        </w:tc>
        <w:tc>
          <w:tcPr>
            <w:tcW w:type="dxa" w:w="5526"/>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color w:val="374151"/>
                <w:sz w:val="19"/>
                <w:szCs w:val="19"/>
              </w:rPr>
              <w:t xml:space="preserve">Contenido directo de producto: funcionalidades, caso de éxito.</w:t>
            </w:r>
          </w:p>
        </w:tc>
      </w:tr>
    </w:tbl>
    <w:p>
      <w:r>
        <w:rPr>
          <w:sz w:val="12"/>
          <w:szCs w:val="12"/>
        </w:rPr>
        <w:t xml:space="preserve"/>
      </w:r>
    </w:p>
    <w:p>
      <w:pPr>
        <w:spacing w:after="100" w:before="200"/>
      </w:pPr>
      <w:r>
        <w:rPr>
          <w:rFonts w:ascii="Arial" w:cs="Arial" w:eastAsia="Arial" w:hAnsi="Arial"/>
          <w:b/>
          <w:bCs/>
          <w:color w:val="1F2937"/>
          <w:sz w:val="22"/>
          <w:szCs w:val="22"/>
        </w:rPr>
        <w:t xml:space="preserve">Outreach manual (a partir de semana 3+)</w:t>
      </w:r>
    </w:p>
    <w:p>
      <w:pPr>
        <w:spacing w:after="80" w:before="80"/>
      </w:pPr>
      <w:r>
        <w:rPr>
          <w:rFonts w:ascii="Arial" w:cs="Arial" w:eastAsia="Arial" w:hAnsi="Arial"/>
          <w:color w:val="374151"/>
          <w:sz w:val="20"/>
          <w:szCs w:val="20"/>
        </w:rPr>
        <w:t xml:space="preserve">Proceso de 3 pasos antes de contactar a un decisor:</w:t>
      </w:r>
    </w:p>
    <w:p>
      <w:pPr>
        <w:pStyle w:val="ListParagraph"/>
        <w:numPr>
          <w:ilvl w:val="0"/>
          <w:numId w:val="2"/>
        </w:numPr>
        <w:spacing w:after="60" w:before="60"/>
      </w:pPr>
      <w:r>
        <w:rPr>
          <w:rFonts w:ascii="Arial" w:cs="Arial" w:eastAsia="Arial" w:hAnsi="Arial"/>
          <w:b w:val="false"/>
          <w:bCs w:val="false"/>
          <w:color w:val="374151"/>
          <w:sz w:val="20"/>
          <w:szCs w:val="20"/>
        </w:rPr>
        <w:t xml:space="preserve">Paso 1: Seguir a la persona en LinkedIn</w:t>
      </w:r>
    </w:p>
    <w:p>
      <w:pPr>
        <w:pStyle w:val="ListParagraph"/>
        <w:numPr>
          <w:ilvl w:val="0"/>
          <w:numId w:val="2"/>
        </w:numPr>
        <w:spacing w:after="60" w:before="60"/>
      </w:pPr>
      <w:r>
        <w:rPr>
          <w:rFonts w:ascii="Arial" w:cs="Arial" w:eastAsia="Arial" w:hAnsi="Arial"/>
          <w:b w:val="false"/>
          <w:bCs w:val="false"/>
          <w:color w:val="374151"/>
          <w:sz w:val="20"/>
          <w:szCs w:val="20"/>
        </w:rPr>
        <w:t xml:space="preserve">Paso 2: Comentar con valor real uno de sus posts recientes</w:t>
      </w:r>
    </w:p>
    <w:p>
      <w:pPr>
        <w:pStyle w:val="ListParagraph"/>
        <w:numPr>
          <w:ilvl w:val="0"/>
          <w:numId w:val="2"/>
        </w:numPr>
        <w:spacing w:after="60" w:before="60"/>
      </w:pPr>
      <w:r>
        <w:rPr>
          <w:rFonts w:ascii="Arial" w:cs="Arial" w:eastAsia="Arial" w:hAnsi="Arial"/>
          <w:b w:val="false"/>
          <w:bCs w:val="false"/>
          <w:color w:val="374151"/>
          <w:sz w:val="20"/>
          <w:szCs w:val="20"/>
        </w:rPr>
        <w:t xml:space="preserve">Paso 3: A los 5-7 días, enviar mensaje directo sin vender (objetivo: conseguir conversación)</w:t>
      </w:r>
    </w:p>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6" w:val="clear"/>
            <w:tcMar>
              <w:top w:type="dxa" w:w="140"/>
              <w:left w:type="dxa" w:w="200"/>
              <w:bottom w:type="dxa" w:w="140"/>
              <w:right w:type="dxa" w:w="200"/>
            </w:tcMar>
          </w:tcPr>
          <w:p>
            <w:r>
              <w:rPr>
                <w:rFonts w:ascii="Arial" w:cs="Arial" w:eastAsia="Arial" w:hAnsi="Arial"/>
                <w:color w:val="1F2937"/>
                <w:sz w:val="20"/>
                <w:szCs w:val="20"/>
              </w:rPr>
              <w:t xml:space="preserve">Volumen sostenible: 5 conversaciones nuevas por semana. El objetivo no es vender, es abrir conversación.</w:t>
            </w:r>
          </w:p>
        </w:tc>
      </w:tr>
    </w:tbl>
    <w:p>
      <w:r>
        <w:rPr>
          <w:sz w:val="12"/>
          <w:szCs w:val="12"/>
        </w:rPr>
        <w:t xml:space="preserve"/>
      </w:r>
    </w:p>
    <w:p>
      <w:pPr>
        <w:spacing w:after="100" w:before="200"/>
      </w:pPr>
      <w:r>
        <w:rPr>
          <w:rFonts w:ascii="Arial" w:cs="Arial" w:eastAsia="Arial" w:hAnsi="Arial"/>
          <w:b/>
          <w:bCs/>
          <w:color w:val="1F2937"/>
          <w:sz w:val="22"/>
          <w:szCs w:val="22"/>
        </w:rPr>
        <w:t xml:space="preserve">Objetivo a 90 días</w:t>
      </w:r>
    </w:p>
    <w:p>
      <w:pPr>
        <w:pStyle w:val="ListParagraph"/>
        <w:numPr>
          <w:ilvl w:val="0"/>
          <w:numId w:val="2"/>
        </w:numPr>
        <w:spacing w:after="60" w:before="60"/>
      </w:pPr>
      <w:r>
        <w:rPr>
          <w:rFonts w:ascii="Arial" w:cs="Arial" w:eastAsia="Arial" w:hAnsi="Arial"/>
          <w:b w:val="false"/>
          <w:bCs w:val="false"/>
          <w:color w:val="374151"/>
          <w:sz w:val="20"/>
          <w:szCs w:val="20"/>
        </w:rPr>
        <w:t xml:space="preserve">Pasar de 200 a 500 contactos cualificados del sector AV en España</w:t>
      </w:r>
    </w:p>
    <w:p>
      <w:pPr>
        <w:pStyle w:val="ListParagraph"/>
        <w:numPr>
          <w:ilvl w:val="0"/>
          <w:numId w:val="2"/>
        </w:numPr>
        <w:spacing w:after="60" w:before="60"/>
      </w:pPr>
      <w:r>
        <w:rPr>
          <w:rFonts w:ascii="Arial" w:cs="Arial" w:eastAsia="Arial" w:hAnsi="Arial"/>
          <w:b w:val="false"/>
          <w:bCs w:val="false"/>
          <w:color w:val="374151"/>
          <w:sz w:val="20"/>
          <w:szCs w:val="20"/>
        </w:rPr>
        <w:t xml:space="preserve">3 posts por semana con consistencia</w:t>
      </w:r>
    </w:p>
    <w:p>
      <w:pPr>
        <w:pStyle w:val="ListParagraph"/>
        <w:numPr>
          <w:ilvl w:val="0"/>
          <w:numId w:val="2"/>
        </w:numPr>
        <w:spacing w:after="60" w:before="60"/>
      </w:pPr>
      <w:r>
        <w:rPr>
          <w:rFonts w:ascii="Arial" w:cs="Arial" w:eastAsia="Arial" w:hAnsi="Arial"/>
          <w:b w:val="false"/>
          <w:bCs w:val="false"/>
          <w:color w:val="374151"/>
          <w:sz w:val="20"/>
          <w:szCs w:val="20"/>
        </w:rPr>
        <w:t xml:space="preserve">10 conversaciones activas con decisores de empresas AV</w:t>
      </w:r>
    </w:p>
    <w:p>
      <w:pPr>
        <w:pStyle w:val="ListParagraph"/>
        <w:numPr>
          <w:ilvl w:val="0"/>
          <w:numId w:val="2"/>
        </w:numPr>
        <w:spacing w:after="60" w:before="60"/>
      </w:pPr>
      <w:r>
        <w:rPr>
          <w:rFonts w:ascii="Arial" w:cs="Arial" w:eastAsia="Arial" w:hAnsi="Arial"/>
          <w:b w:val="false"/>
          <w:bCs w:val="false"/>
          <w:color w:val="374151"/>
          <w:sz w:val="20"/>
          <w:szCs w:val="20"/>
        </w:rPr>
        <w:t xml:space="preserve">Publicar el caso de éxito del cliente en onboarding</w:t>
      </w:r>
    </w:p>
    <w:p>
      <w:r>
        <w:rPr>
          <w:sz w:val="12"/>
          <w:szCs w:val="12"/>
        </w:rPr>
        <w:t xml:space="preserve"/>
      </w:r>
    </w:p>
    <w:p>
      <w:pPr>
        <w:pStyle w:val="Heading2"/>
        <w:spacing w:after="160" w:before="300"/>
      </w:pPr>
      <w:r>
        <w:rPr>
          <w:rFonts w:ascii="Arial" w:cs="Arial" w:eastAsia="Arial" w:hAnsi="Arial"/>
          <w:b/>
          <w:bCs/>
          <w:color w:val="EA580C"/>
          <w:sz w:val="26"/>
          <w:szCs w:val="26"/>
        </w:rPr>
        <w:t xml:space="preserve">3.3 Caso de éxito (Acelerador principal)</w:t>
      </w:r>
    </w:p>
    <w:p>
      <w:pPr>
        <w:spacing w:after="80" w:before="80"/>
      </w:pPr>
      <w:r>
        <w:rPr>
          <w:rFonts w:ascii="Arial" w:cs="Arial" w:eastAsia="Arial" w:hAnsi="Arial"/>
          <w:color w:val="374151"/>
          <w:sz w:val="20"/>
          <w:szCs w:val="20"/>
        </w:rPr>
        <w:t xml:space="preserve">Existe un cliente real del sector AV actualmente en proceso de onboarding con AssetTrack. Este cliente es el activo comercial más valioso del proyecto en este momento.</w:t>
      </w:r>
    </w:p>
    <w:p>
      <w:r>
        <w:rPr>
          <w:sz w:val="12"/>
          <w:szCs w:val="12"/>
        </w:rPr>
        <w:t xml:space="preserve"/>
      </w:r>
    </w:p>
    <w:p>
      <w:pPr>
        <w:spacing w:after="100" w:before="200"/>
      </w:pPr>
      <w:r>
        <w:rPr>
          <w:rFonts w:ascii="Arial" w:cs="Arial" w:eastAsia="Arial" w:hAnsi="Arial"/>
          <w:b/>
          <w:bCs/>
          <w:color w:val="1F2937"/>
          <w:sz w:val="22"/>
          <w:szCs w:val="22"/>
        </w:rPr>
        <w:t xml:space="preserve">Reutilización planificada del caso de éxito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DDDDDD" w:sz="1"/>
              <w:left w:val="single" w:color="DDDDDD" w:sz="1"/>
              <w:bottom w:val="single" w:color="DDDDDD" w:sz="1"/>
              <w:right w:val="single" w:color="DDDDDD"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Variable</w:t>
            </w:r>
          </w:p>
        </w:tc>
        <w:tc>
          <w:tcPr>
            <w:tcW w:type="dxa" w:w="5526"/>
            <w:tcBorders>
              <w:top w:val="single" w:color="DDDDDD" w:sz="1"/>
              <w:left w:val="single" w:color="DDDDDD" w:sz="1"/>
              <w:bottom w:val="single" w:color="DDDDDD" w:sz="1"/>
              <w:right w:val="single" w:color="DDDDDD"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Estado actual</w:t>
            </w:r>
          </w:p>
        </w:tc>
      </w:tr>
      <w:tr>
        <w:tc>
          <w:tcPr>
            <w:tcW w:type="dxa" w:w="35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color w:val="1F2937"/>
                <w:sz w:val="19"/>
                <w:szCs w:val="19"/>
              </w:rPr>
              <w:t xml:space="preserve">LinkedIn personal</w:t>
            </w:r>
          </w:p>
        </w:tc>
        <w:tc>
          <w:tcPr>
            <w:tcW w:type="dxa" w:w="5526"/>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color w:val="374151"/>
                <w:sz w:val="19"/>
                <w:szCs w:val="19"/>
              </w:rPr>
              <w:t xml:space="preserve">Post narrativo en primera persona con cifras reales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F2937"/>
                <w:sz w:val="19"/>
                <w:szCs w:val="19"/>
              </w:rPr>
              <w:t xml:space="preserve">Email a leads</w:t>
            </w:r>
          </w:p>
        </w:tc>
        <w:tc>
          <w:tcPr>
            <w:tcW w:type="dxa" w:w="5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PDF de una página como prueba social</w:t>
            </w:r>
          </w:p>
        </w:tc>
      </w:tr>
      <w:tr>
        <w:tc>
          <w:tcPr>
            <w:tcW w:type="dxa" w:w="35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color w:val="1F2937"/>
                <w:sz w:val="19"/>
                <w:szCs w:val="19"/>
              </w:rPr>
              <w:t xml:space="preserve">Web AssetTrack</w:t>
            </w:r>
          </w:p>
        </w:tc>
        <w:tc>
          <w:tcPr>
            <w:tcW w:type="dxa" w:w="5526"/>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color w:val="374151"/>
                <w:sz w:val="19"/>
                <w:szCs w:val="19"/>
              </w:rPr>
              <w:t xml:space="preserve">Página dedicada con el caso completo</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F2937"/>
                <w:sz w:val="19"/>
                <w:szCs w:val="19"/>
              </w:rPr>
              <w:t xml:space="preserve">Outreach directo</w:t>
            </w:r>
          </w:p>
        </w:tc>
        <w:tc>
          <w:tcPr>
            <w:tcW w:type="dxa" w:w="5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Adjunto en mensajes a decisores</w:t>
            </w:r>
          </w:p>
        </w:tc>
      </w:tr>
      <w:tr>
        <w:tc>
          <w:tcPr>
            <w:tcW w:type="dxa" w:w="35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color w:val="1F2937"/>
                <w:sz w:val="19"/>
                <w:szCs w:val="19"/>
              </w:rPr>
              <w:t xml:space="preserve">BNI Esferas</w:t>
            </w:r>
          </w:p>
        </w:tc>
        <w:tc>
          <w:tcPr>
            <w:tcW w:type="dxa" w:w="5526"/>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color w:val="374151"/>
                <w:sz w:val="19"/>
                <w:szCs w:val="19"/>
              </w:rPr>
              <w:t xml:space="preserve">Argumento de cierre en presentaciones del ciclo</w:t>
            </w:r>
          </w:p>
        </w:tc>
      </w:tr>
    </w:tbl>
    <w:p>
      <w:r>
        <w:rPr>
          <w:sz w:val="12"/>
          <w:szCs w:val="12"/>
        </w:rPr>
        <w:t xml:space="preserve"/>
      </w:r>
    </w:p>
    <w:p>
      <w:pPr>
        <w:pStyle w:val="Heading2"/>
        <w:spacing w:after="160" w:before="300"/>
      </w:pPr>
      <w:r>
        <w:rPr>
          <w:rFonts w:ascii="Arial" w:cs="Arial" w:eastAsia="Arial" w:hAnsi="Arial"/>
          <w:b/>
          <w:bCs/>
          <w:color w:val="EA580C"/>
          <w:sz w:val="26"/>
          <w:szCs w:val="26"/>
        </w:rPr>
        <w:t xml:space="preserve">3.4 Partnerships sectoriales (Fase siguiente)</w:t>
      </w:r>
    </w:p>
    <w:p>
      <w:pPr>
        <w:pStyle w:val="ListParagraph"/>
        <w:numPr>
          <w:ilvl w:val="0"/>
          <w:numId w:val="2"/>
        </w:numPr>
        <w:spacing w:after="60" w:before="60"/>
      </w:pPr>
      <w:r>
        <w:rPr>
          <w:rFonts w:ascii="Arial" w:cs="Arial" w:eastAsia="Arial" w:hAnsi="Arial"/>
          <w:b w:val="false"/>
          <w:bCs w:val="false"/>
          <w:color w:val="374151"/>
          <w:sz w:val="20"/>
          <w:szCs w:val="20"/>
        </w:rPr>
        <w:t xml:space="preserve">Distribuidores AV: Audiopro, Coda Audio España — clientes comunes sin competencia directa</w:t>
      </w:r>
    </w:p>
    <w:p>
      <w:pPr>
        <w:pStyle w:val="ListParagraph"/>
        <w:numPr>
          <w:ilvl w:val="0"/>
          <w:numId w:val="2"/>
        </w:numPr>
        <w:spacing w:after="60" w:before="60"/>
      </w:pPr>
      <w:r>
        <w:rPr>
          <w:rFonts w:ascii="Arial" w:cs="Arial" w:eastAsia="Arial" w:hAnsi="Arial"/>
          <w:b w:val="false"/>
          <w:bCs w:val="false"/>
          <w:color w:val="374151"/>
          <w:sz w:val="20"/>
          <w:szCs w:val="20"/>
        </w:rPr>
        <w:t xml:space="preserve">Asociaciones: AESAD (Asociación Española de Sonido y Audiovisuales)</w:t>
      </w:r>
    </w:p>
    <w:p>
      <w:pPr>
        <w:pStyle w:val="ListParagraph"/>
        <w:numPr>
          <w:ilvl w:val="0"/>
          <w:numId w:val="2"/>
        </w:numPr>
        <w:spacing w:after="60" w:before="60"/>
      </w:pPr>
      <w:r>
        <w:rPr>
          <w:rFonts w:ascii="Arial" w:cs="Arial" w:eastAsia="Arial" w:hAnsi="Arial"/>
          <w:b w:val="false"/>
          <w:bCs w:val="false"/>
          <w:color w:val="374151"/>
          <w:sz w:val="20"/>
          <w:szCs w:val="20"/>
        </w:rPr>
        <w:t xml:space="preserve">Consultores y asesores que trabajan con empresas AV</w:t>
      </w:r>
    </w:p>
    <w:p>
      <w:r>
        <w:rPr>
          <w:sz w:val="24"/>
          <w:szCs w:val="24"/>
        </w:rPr>
        <w:t xml:space="preserve"/>
      </w:r>
    </w:p>
    <w:p>
      <w:r>
        <w:br w:type="page"/>
      </w:r>
    </w:p>
    <w:p>
      <w:pPr>
        <w:pStyle w:val="Heading1"/>
        <w:pBdr>
          <w:bottom w:val="single" w:color="EA580C" w:sz="4" w:space="4"/>
        </w:pBdr>
        <w:spacing w:after="200" w:before="400"/>
      </w:pPr>
      <w:r>
        <w:rPr>
          <w:rFonts w:ascii="Arial" w:cs="Arial" w:eastAsia="Arial" w:hAnsi="Arial"/>
          <w:b/>
          <w:bCs/>
          <w:color w:val="1F2937"/>
          <w:sz w:val="32"/>
          <w:szCs w:val="32"/>
        </w:rPr>
        <w:t xml:space="preserve">4. Punto de Conversión — Demo Gratuita</w:t>
      </w:r>
    </w:p>
    <w:p>
      <w:pPr>
        <w:spacing w:after="80" w:before="80"/>
      </w:pPr>
      <w:r>
        <w:rPr>
          <w:rFonts w:ascii="Arial" w:cs="Arial" w:eastAsia="Arial" w:hAnsi="Arial"/>
          <w:color w:val="374151"/>
          <w:sz w:val="20"/>
          <w:szCs w:val="20"/>
        </w:rPr>
        <w:t xml:space="preserve">Todos los canales convergen en el mismo punto de conversión: la demo gratuita a través de Calendly, integrado en la web assettrack.innovabyte.es.</w:t>
      </w:r>
    </w:p>
    <w:p>
      <w:r>
        <w:rPr>
          <w:sz w:val="12"/>
          <w:szCs w:val="12"/>
        </w:rPr>
        <w:t xml:space="preserve"/>
      </w:r>
    </w:p>
    <w:p>
      <w:pPr>
        <w:spacing w:after="100" w:before="200"/>
      </w:pPr>
      <w:r>
        <w:rPr>
          <w:rFonts w:ascii="Arial" w:cs="Arial" w:eastAsia="Arial" w:hAnsi="Arial"/>
          <w:b/>
          <w:bCs/>
          <w:color w:val="1F2937"/>
          <w:sz w:val="22"/>
          <w:szCs w:val="22"/>
        </w:rPr>
        <w:t xml:space="preserve">Configuración actual del Calendly</w:t>
      </w:r>
    </w:p>
    <w:p>
      <w:pPr>
        <w:pStyle w:val="ListParagraph"/>
        <w:numPr>
          <w:ilvl w:val="0"/>
          <w:numId w:val="2"/>
        </w:numPr>
        <w:spacing w:after="60" w:before="60"/>
      </w:pPr>
      <w:r>
        <w:rPr>
          <w:rFonts w:ascii="Arial" w:cs="Arial" w:eastAsia="Arial" w:hAnsi="Arial"/>
          <w:b w:val="false"/>
          <w:bCs w:val="false"/>
          <w:color w:val="374151"/>
          <w:sz w:val="20"/>
          <w:szCs w:val="20"/>
        </w:rPr>
        <w:t xml:space="preserve">Integrado como popup en la landing page (botón 'Demo gratuita')</w:t>
      </w:r>
    </w:p>
    <w:p>
      <w:pPr>
        <w:pStyle w:val="ListParagraph"/>
        <w:numPr>
          <w:ilvl w:val="0"/>
          <w:numId w:val="2"/>
        </w:numPr>
        <w:spacing w:after="60" w:before="60"/>
      </w:pPr>
      <w:r>
        <w:rPr>
          <w:rFonts w:ascii="Arial" w:cs="Arial" w:eastAsia="Arial" w:hAnsi="Arial"/>
          <w:b w:val="false"/>
          <w:bCs w:val="false"/>
          <w:color w:val="374151"/>
          <w:sz w:val="20"/>
          <w:szCs w:val="20"/>
        </w:rPr>
        <w:t xml:space="preserve">Formulario de pre-cualificación con: nombre de empresa, número de técnicos, herramientas actuales usadas</w:t>
      </w:r>
    </w:p>
    <w:p>
      <w:pPr>
        <w:pStyle w:val="ListParagraph"/>
        <w:numPr>
          <w:ilvl w:val="0"/>
          <w:numId w:val="2"/>
        </w:numPr>
        <w:spacing w:after="60" w:before="60"/>
      </w:pPr>
      <w:r>
        <w:rPr>
          <w:rFonts w:ascii="Arial" w:cs="Arial" w:eastAsia="Arial" w:hAnsi="Arial"/>
          <w:b w:val="false"/>
          <w:bCs w:val="false"/>
          <w:color w:val="374151"/>
          <w:sz w:val="20"/>
          <w:szCs w:val="20"/>
        </w:rPr>
        <w:t xml:space="preserve">El enfoque popup mantiene la landing limpia visualmente</w:t>
      </w:r>
    </w:p>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D" w:val="clear"/>
            <w:tcMar>
              <w:top w:type="dxa" w:w="140"/>
              <w:left w:type="dxa" w:w="200"/>
              <w:bottom w:type="dxa" w:w="140"/>
              <w:right w:type="dxa" w:w="200"/>
            </w:tcMar>
          </w:tcPr>
          <w:p>
            <w:r>
              <w:rPr>
                <w:rFonts w:ascii="Arial" w:cs="Arial" w:eastAsia="Arial" w:hAnsi="Arial"/>
                <w:color w:val="1F2937"/>
                <w:sz w:val="20"/>
                <w:szCs w:val="20"/>
              </w:rPr>
              <w:t xml:space="preserve">URL de conversión principal: assettrack.innovabyte.es</w:t>
            </w:r>
          </w:p>
        </w:tc>
      </w:tr>
    </w:tbl>
    <w:p>
      <w:r>
        <w:rPr>
          <w:sz w:val="24"/>
          <w:szCs w:val="24"/>
        </w:rPr>
        <w:t xml:space="preserve"/>
      </w:r>
    </w:p>
    <w:p>
      <w:pPr>
        <w:pStyle w:val="Heading1"/>
        <w:pBdr>
          <w:bottom w:val="single" w:color="EA580C" w:sz="4" w:space="4"/>
        </w:pBdr>
        <w:spacing w:after="200" w:before="400"/>
      </w:pPr>
      <w:r>
        <w:rPr>
          <w:rFonts w:ascii="Arial" w:cs="Arial" w:eastAsia="Arial" w:hAnsi="Arial"/>
          <w:b/>
          <w:bCs/>
          <w:color w:val="1F2937"/>
          <w:sz w:val="32"/>
          <w:szCs w:val="32"/>
        </w:rPr>
        <w:t xml:space="preserve">5. Modelo de Negocio — Tarifas Innovabyte</w:t>
      </w:r>
    </w:p>
    <w:p>
      <w:pPr>
        <w:spacing w:after="80" w:before="80"/>
      </w:pPr>
      <w:r>
        <w:rPr>
          <w:rFonts w:ascii="Arial" w:cs="Arial" w:eastAsia="Arial" w:hAnsi="Arial"/>
          <w:color w:val="374151"/>
          <w:sz w:val="20"/>
          <w:szCs w:val="20"/>
        </w:rPr>
        <w:t xml:space="preserve">AssetTrack se comercializa a través de tres modelos de pago. El sistema de cálculo está documentado y automatizado internamente en Claude como skill 'presupuestos-innovabyte'.</w:t>
      </w:r>
    </w:p>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DDDDDD" w:sz="1"/>
              <w:left w:val="single" w:color="DDDDDD" w:sz="1"/>
              <w:bottom w:val="single" w:color="DDDDDD" w:sz="1"/>
              <w:right w:val="single" w:color="DDDDDD"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Variable</w:t>
            </w:r>
          </w:p>
        </w:tc>
        <w:tc>
          <w:tcPr>
            <w:tcW w:type="dxa" w:w="5526"/>
            <w:tcBorders>
              <w:top w:val="single" w:color="DDDDDD" w:sz="1"/>
              <w:left w:val="single" w:color="DDDDDD" w:sz="1"/>
              <w:bottom w:val="single" w:color="DDDDDD" w:sz="1"/>
              <w:right w:val="single" w:color="DDDDDD"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Estado actual</w:t>
            </w:r>
          </w:p>
        </w:tc>
      </w:tr>
      <w:tr>
        <w:tc>
          <w:tcPr>
            <w:tcW w:type="dxa" w:w="35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color w:val="1F2937"/>
                <w:sz w:val="19"/>
                <w:szCs w:val="19"/>
              </w:rPr>
              <w:t xml:space="preserve">S1 — Pago único</w:t>
            </w:r>
          </w:p>
        </w:tc>
        <w:tc>
          <w:tcPr>
            <w:tcW w:type="dxa" w:w="5526"/>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color w:val="374151"/>
                <w:sz w:val="19"/>
                <w:szCs w:val="19"/>
              </w:rPr>
              <w:t xml:space="preserve">40% anticipo + 60% resto. Mantenimiento incluido el primer año (12% anual desde el 2º).</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F2937"/>
                <w:sz w:val="19"/>
                <w:szCs w:val="19"/>
              </w:rPr>
              <w:t xml:space="preserve">S2 — Pago fraccionado</w:t>
            </w:r>
          </w:p>
        </w:tc>
        <w:tc>
          <w:tcPr>
            <w:tcW w:type="dxa" w:w="5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Sin anticipo del 40%. Cuota mensual = (Total ÷ meses) + 1,25% coste financiero.</w:t>
            </w:r>
          </w:p>
        </w:tc>
      </w:tr>
      <w:tr>
        <w:tc>
          <w:tcPr>
            <w:tcW w:type="dxa" w:w="35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color w:val="1F2937"/>
                <w:sz w:val="19"/>
                <w:szCs w:val="19"/>
              </w:rPr>
              <w:t xml:space="preserve">S3 — SaaS mensual</w:t>
            </w:r>
          </w:p>
        </w:tc>
        <w:tc>
          <w:tcPr>
            <w:tcW w:type="dxa" w:w="5526"/>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color w:val="374151"/>
                <w:sz w:val="19"/>
                <w:szCs w:val="19"/>
              </w:rPr>
              <w:t xml:space="preserve">Total proyecto + mantenimiento 4 años, dividido en 36 cuotas. Mínimo 12 meses.</w:t>
            </w:r>
          </w:p>
        </w:tc>
      </w:tr>
    </w:tbl>
    <w:p>
      <w:r>
        <w:rPr>
          <w:sz w:val="12"/>
          <w:szCs w:val="12"/>
        </w:rPr>
        <w:t xml:space="preserve"/>
      </w:r>
    </w:p>
    <w:p>
      <w:pPr>
        <w:spacing w:after="100" w:before="200"/>
      </w:pPr>
      <w:r>
        <w:rPr>
          <w:rFonts w:ascii="Arial" w:cs="Arial" w:eastAsia="Arial" w:hAnsi="Arial"/>
          <w:b/>
          <w:bCs/>
          <w:color w:val="1F2937"/>
          <w:sz w:val="22"/>
          <w:szCs w:val="22"/>
        </w:rPr>
        <w:t xml:space="preserve">Tarifas de desarrollo</w:t>
      </w:r>
    </w:p>
    <w:p>
      <w:pPr>
        <w:pStyle w:val="ListParagraph"/>
        <w:numPr>
          <w:ilvl w:val="0"/>
          <w:numId w:val="2"/>
        </w:numPr>
        <w:spacing w:after="60" w:before="60"/>
      </w:pPr>
      <w:r>
        <w:rPr>
          <w:rFonts w:ascii="Arial" w:cs="Arial" w:eastAsia="Arial" w:hAnsi="Arial"/>
          <w:b w:val="false"/>
          <w:bCs w:val="false"/>
          <w:color w:val="374151"/>
          <w:sz w:val="20"/>
          <w:szCs w:val="20"/>
        </w:rPr>
        <w:t xml:space="preserve">Analista: 55,00 €/hora</w:t>
      </w:r>
    </w:p>
    <w:p>
      <w:pPr>
        <w:pStyle w:val="ListParagraph"/>
        <w:numPr>
          <w:ilvl w:val="0"/>
          <w:numId w:val="2"/>
        </w:numPr>
        <w:spacing w:after="60" w:before="60"/>
      </w:pPr>
      <w:r>
        <w:rPr>
          <w:rFonts w:ascii="Arial" w:cs="Arial" w:eastAsia="Arial" w:hAnsi="Arial"/>
          <w:b w:val="false"/>
          <w:bCs w:val="false"/>
          <w:color w:val="374151"/>
          <w:sz w:val="20"/>
          <w:szCs w:val="20"/>
        </w:rPr>
        <w:t xml:space="preserve">Programador: 37,55 €/hora</w:t>
      </w:r>
    </w:p>
    <w:p>
      <w:pPr>
        <w:pStyle w:val="ListParagraph"/>
        <w:numPr>
          <w:ilvl w:val="0"/>
          <w:numId w:val="2"/>
        </w:numPr>
        <w:spacing w:after="60" w:before="60"/>
      </w:pPr>
      <w:r>
        <w:rPr>
          <w:rFonts w:ascii="Arial" w:cs="Arial" w:eastAsia="Arial" w:hAnsi="Arial"/>
          <w:b w:val="false"/>
          <w:bCs w:val="false"/>
          <w:color w:val="374151"/>
          <w:sz w:val="20"/>
          <w:szCs w:val="20"/>
        </w:rPr>
        <w:t xml:space="preserve">Usuarios: los 3 primeros incluidos. Adicionales: 250€ (4-5), 200€ (6-10), 150€ (11-20)</w:t>
      </w:r>
    </w:p>
    <w:p>
      <w:r>
        <w:rPr>
          <w:sz w:val="24"/>
          <w:szCs w:val="24"/>
        </w:rPr>
        <w:t xml:space="preserve"/>
      </w:r>
    </w:p>
    <w:p>
      <w:pPr>
        <w:pStyle w:val="Heading1"/>
        <w:pBdr>
          <w:bottom w:val="single" w:color="EA580C" w:sz="4" w:space="4"/>
        </w:pBdr>
        <w:spacing w:after="200" w:before="400"/>
      </w:pPr>
      <w:r>
        <w:rPr>
          <w:rFonts w:ascii="Arial" w:cs="Arial" w:eastAsia="Arial" w:hAnsi="Arial"/>
          <w:b/>
          <w:bCs/>
          <w:color w:val="1F2937"/>
          <w:sz w:val="32"/>
          <w:szCs w:val="32"/>
        </w:rPr>
        <w:t xml:space="preserve">6. Próximos Pasos Prioritarios</w:t>
      </w:r>
    </w:p>
    <w:p>
      <w:r>
        <w:rPr>
          <w:sz w:val="12"/>
          <w:szCs w:val="12"/>
        </w:rPr>
        <w:t xml:space="preserve"/>
      </w:r>
    </w:p>
    <w:p>
      <w:pPr>
        <w:spacing w:after="100" w:before="200"/>
      </w:pPr>
      <w:r>
        <w:rPr>
          <w:rFonts w:ascii="Arial" w:cs="Arial" w:eastAsia="Arial" w:hAnsi="Arial"/>
          <w:b/>
          <w:bCs/>
          <w:color w:val="1F2937"/>
          <w:sz w:val="22"/>
          <w:szCs w:val="22"/>
        </w:rPr>
        <w:t xml:space="preserve">Inmediato (esta semana)</w:t>
      </w:r>
    </w:p>
    <w:p>
      <w:pPr>
        <w:pStyle w:val="ListParagraph"/>
        <w:numPr>
          <w:ilvl w:val="0"/>
          <w:numId w:val="2"/>
        </w:numPr>
        <w:spacing w:after="60" w:before="60"/>
      </w:pPr>
      <w:r>
        <w:rPr>
          <w:rFonts w:ascii="Arial" w:cs="Arial" w:eastAsia="Arial" w:hAnsi="Arial"/>
          <w:b w:val="false"/>
          <w:bCs w:val="false"/>
          <w:color w:val="374151"/>
          <w:sz w:val="20"/>
          <w:szCs w:val="20"/>
        </w:rPr>
        <w:t xml:space="preserve">Publicar Post #5 — Tecnología NFC (prompt ya preparado)</w:t>
      </w:r>
    </w:p>
    <w:p>
      <w:pPr>
        <w:pStyle w:val="ListParagraph"/>
        <w:numPr>
          <w:ilvl w:val="0"/>
          <w:numId w:val="2"/>
        </w:numPr>
        <w:spacing w:after="60" w:before="60"/>
      </w:pPr>
      <w:r>
        <w:rPr>
          <w:rFonts w:ascii="Arial" w:cs="Arial" w:eastAsia="Arial" w:hAnsi="Arial"/>
          <w:b w:val="false"/>
          <w:bCs w:val="false"/>
          <w:color w:val="374151"/>
          <w:sz w:val="20"/>
          <w:szCs w:val="20"/>
        </w:rPr>
        <w:t xml:space="preserve">Optimizar perfil personal de LinkedIn según la estrategia definida</w:t>
      </w:r>
    </w:p>
    <w:p>
      <w:r>
        <w:rPr>
          <w:sz w:val="12"/>
          <w:szCs w:val="12"/>
        </w:rPr>
        <w:t xml:space="preserve"/>
      </w:r>
    </w:p>
    <w:p>
      <w:pPr>
        <w:spacing w:after="100" w:before="200"/>
      </w:pPr>
      <w:r>
        <w:rPr>
          <w:rFonts w:ascii="Arial" w:cs="Arial" w:eastAsia="Arial" w:hAnsi="Arial"/>
          <w:b/>
          <w:bCs/>
          <w:color w:val="1F2937"/>
          <w:sz w:val="22"/>
          <w:szCs w:val="22"/>
        </w:rPr>
        <w:t xml:space="preserve">Corto plazo (próximas 2-4 semanas)</w:t>
      </w:r>
    </w:p>
    <w:p>
      <w:pPr>
        <w:pStyle w:val="ListParagraph"/>
        <w:numPr>
          <w:ilvl w:val="0"/>
          <w:numId w:val="2"/>
        </w:numPr>
        <w:spacing w:after="60" w:before="60"/>
      </w:pPr>
      <w:r>
        <w:rPr>
          <w:rFonts w:ascii="Arial" w:cs="Arial" w:eastAsia="Arial" w:hAnsi="Arial"/>
          <w:b w:val="false"/>
          <w:bCs w:val="false"/>
          <w:color w:val="374151"/>
          <w:sz w:val="20"/>
          <w:szCs w:val="20"/>
        </w:rPr>
        <w:t xml:space="preserve">Continuar el ciclo BNI con las presentaciones ya planificadas (hasta 25/05/2026)</w:t>
      </w:r>
    </w:p>
    <w:p>
      <w:pPr>
        <w:pStyle w:val="ListParagraph"/>
        <w:numPr>
          <w:ilvl w:val="0"/>
          <w:numId w:val="2"/>
        </w:numPr>
        <w:spacing w:after="60" w:before="60"/>
      </w:pPr>
      <w:r>
        <w:rPr>
          <w:rFonts w:ascii="Arial" w:cs="Arial" w:eastAsia="Arial" w:hAnsi="Arial"/>
          <w:b w:val="false"/>
          <w:bCs w:val="false"/>
          <w:color w:val="374151"/>
          <w:sz w:val="20"/>
          <w:szCs w:val="20"/>
        </w:rPr>
        <w:t xml:space="preserve">Iniciar outreach manual en LinkedIn — 5 conversaciones/semana</w:t>
      </w:r>
    </w:p>
    <w:p>
      <w:pPr>
        <w:pStyle w:val="ListParagraph"/>
        <w:numPr>
          <w:ilvl w:val="0"/>
          <w:numId w:val="2"/>
        </w:numPr>
        <w:spacing w:after="60" w:before="60"/>
      </w:pPr>
      <w:r>
        <w:rPr>
          <w:rFonts w:ascii="Arial" w:cs="Arial" w:eastAsia="Arial" w:hAnsi="Arial"/>
          <w:b w:val="false"/>
          <w:bCs w:val="false"/>
          <w:color w:val="374151"/>
          <w:sz w:val="20"/>
          <w:szCs w:val="20"/>
        </w:rPr>
        <w:t xml:space="preserve">Documentar el caso de éxito del cliente en onboarding en cuanto esté operativo</w:t>
      </w:r>
    </w:p>
    <w:p>
      <w:r>
        <w:rPr>
          <w:sz w:val="12"/>
          <w:szCs w:val="12"/>
        </w:rPr>
        <w:t xml:space="preserve"/>
      </w:r>
    </w:p>
    <w:p>
      <w:pPr>
        <w:spacing w:after="100" w:before="200"/>
      </w:pPr>
      <w:r>
        <w:rPr>
          <w:rFonts w:ascii="Arial" w:cs="Arial" w:eastAsia="Arial" w:hAnsi="Arial"/>
          <w:b/>
          <w:bCs/>
          <w:color w:val="1F2937"/>
          <w:sz w:val="22"/>
          <w:szCs w:val="22"/>
        </w:rPr>
        <w:t xml:space="preserve">Medio plazo (mes 2-3)</w:t>
      </w:r>
    </w:p>
    <w:p>
      <w:pPr>
        <w:pStyle w:val="ListParagraph"/>
        <w:numPr>
          <w:ilvl w:val="0"/>
          <w:numId w:val="2"/>
        </w:numPr>
        <w:spacing w:after="60" w:before="60"/>
      </w:pPr>
      <w:r>
        <w:rPr>
          <w:rFonts w:ascii="Arial" w:cs="Arial" w:eastAsia="Arial" w:hAnsi="Arial"/>
          <w:b w:val="false"/>
          <w:bCs w:val="false"/>
          <w:color w:val="374151"/>
          <w:sz w:val="20"/>
          <w:szCs w:val="20"/>
        </w:rPr>
        <w:t xml:space="preserve">Publicar el caso de éxito en todos los canales simultáneamente</w:t>
      </w:r>
    </w:p>
    <w:p>
      <w:pPr>
        <w:pStyle w:val="ListParagraph"/>
        <w:numPr>
          <w:ilvl w:val="0"/>
          <w:numId w:val="2"/>
        </w:numPr>
        <w:spacing w:after="60" w:before="60"/>
      </w:pPr>
      <w:r>
        <w:rPr>
          <w:rFonts w:ascii="Arial" w:cs="Arial" w:eastAsia="Arial" w:hAnsi="Arial"/>
          <w:b w:val="false"/>
          <w:bCs w:val="false"/>
          <w:color w:val="374151"/>
          <w:sz w:val="20"/>
          <w:szCs w:val="20"/>
        </w:rPr>
        <w:t xml:space="preserve">Con prueba social en mano, contactar a distribuidores AV y asociaciones sectoriales</w:t>
      </w:r>
    </w:p>
    <w:p>
      <w:pPr>
        <w:pStyle w:val="ListParagraph"/>
        <w:numPr>
          <w:ilvl w:val="0"/>
          <w:numId w:val="2"/>
        </w:numPr>
        <w:spacing w:after="60" w:before="60"/>
      </w:pPr>
      <w:r>
        <w:rPr>
          <w:rFonts w:ascii="Arial" w:cs="Arial" w:eastAsia="Arial" w:hAnsi="Arial"/>
          <w:b w:val="false"/>
          <w:bCs w:val="false"/>
          <w:color w:val="374151"/>
          <w:sz w:val="20"/>
          <w:szCs w:val="20"/>
        </w:rPr>
        <w:t xml:space="preserve">Evaluar resultados de la campaña de 8 semanas y redefinir plan para fase de lanzamiento activo</w:t>
      </w:r>
    </w:p>
    <w:p>
      <w:r>
        <w:rPr>
          <w:sz w:val="24"/>
          <w:szCs w:val="24"/>
        </w:rPr>
        <w:t xml:space="preserve"/>
      </w:r>
    </w:p>
    <w:p>
      <w:pPr>
        <w:pStyle w:val="Heading1"/>
        <w:pBdr>
          <w:bottom w:val="single" w:color="EA580C" w:sz="4" w:space="4"/>
        </w:pBdr>
        <w:spacing w:after="200" w:before="400"/>
      </w:pPr>
      <w:r>
        <w:rPr>
          <w:rFonts w:ascii="Arial" w:cs="Arial" w:eastAsia="Arial" w:hAnsi="Arial"/>
          <w:b/>
          <w:bCs/>
          <w:color w:val="1F2937"/>
          <w:sz w:val="32"/>
          <w:szCs w:val="32"/>
        </w:rPr>
        <w:t xml:space="preserve">7. Archivos y Recursos del Proyecto</w:t>
      </w:r>
    </w:p>
    <w:p>
      <w:r>
        <w:rPr>
          <w:sz w:val="12"/>
          <w:szCs w:val="1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DDDDDD" w:sz="1"/>
              <w:left w:val="single" w:color="DDDDDD" w:sz="1"/>
              <w:bottom w:val="single" w:color="DDDDDD" w:sz="1"/>
              <w:right w:val="single" w:color="DDDDDD"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Variable</w:t>
            </w:r>
          </w:p>
        </w:tc>
        <w:tc>
          <w:tcPr>
            <w:tcW w:type="dxa" w:w="5526"/>
            <w:tcBorders>
              <w:top w:val="single" w:color="DDDDDD" w:sz="1"/>
              <w:left w:val="single" w:color="DDDDDD" w:sz="1"/>
              <w:bottom w:val="single" w:color="DDDDDD" w:sz="1"/>
              <w:right w:val="single" w:color="DDDDDD" w:sz="1"/>
            </w:tcBorders>
            <w:shd w:fill="1F2937" w:val="clear"/>
            <w:tcMar>
              <w:top w:type="dxa" w:w="80"/>
              <w:left w:type="dxa" w:w="140"/>
              <w:bottom w:type="dxa" w:w="80"/>
              <w:right w:type="dxa" w:w="140"/>
            </w:tcMar>
          </w:tcPr>
          <w:p>
            <w:r>
              <w:rPr>
                <w:rFonts w:ascii="Arial" w:cs="Arial" w:eastAsia="Arial" w:hAnsi="Arial"/>
                <w:b/>
                <w:bCs/>
                <w:color w:val="FFFFFF"/>
                <w:sz w:val="20"/>
                <w:szCs w:val="20"/>
              </w:rPr>
              <w:t xml:space="preserve">Estado actual</w:t>
            </w:r>
          </w:p>
        </w:tc>
      </w:tr>
      <w:tr>
        <w:tc>
          <w:tcPr>
            <w:tcW w:type="dxa" w:w="35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color w:val="1F2937"/>
                <w:sz w:val="19"/>
                <w:szCs w:val="19"/>
              </w:rPr>
              <w:t xml:space="preserve">Plan Instagram completo</w:t>
            </w:r>
          </w:p>
        </w:tc>
        <w:tc>
          <w:tcPr>
            <w:tcW w:type="dxa" w:w="5526"/>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color w:val="374151"/>
                <w:sz w:val="19"/>
                <w:szCs w:val="19"/>
              </w:rPr>
              <w:t xml:space="preserve">AssetTrack_Plan_Instagram_Completo_v3.docx (Posts #1-#8)</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F2937"/>
                <w:sz w:val="19"/>
                <w:szCs w:val="19"/>
              </w:rPr>
              <w:t xml:space="preserve">Posts #9-#12</w:t>
            </w:r>
          </w:p>
        </w:tc>
        <w:tc>
          <w:tcPr>
            <w:tcW w:type="dxa" w:w="5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AssetTrack_Posts_9-12_Prompts.txt</w:t>
            </w:r>
          </w:p>
        </w:tc>
      </w:tr>
      <w:tr>
        <w:tc>
          <w:tcPr>
            <w:tcW w:type="dxa" w:w="35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color w:val="1F2937"/>
                <w:sz w:val="19"/>
                <w:szCs w:val="19"/>
              </w:rPr>
              <w:t xml:space="preserve">Plan estratégico PDF</w:t>
            </w:r>
          </w:p>
        </w:tc>
        <w:tc>
          <w:tcPr>
            <w:tcW w:type="dxa" w:w="5526"/>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color w:val="374151"/>
                <w:sz w:val="19"/>
                <w:szCs w:val="19"/>
              </w:rPr>
              <w:t xml:space="preserve">AssetTrack_Plan_Instagram_2026.pdf</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F2937"/>
                <w:sz w:val="19"/>
                <w:szCs w:val="19"/>
              </w:rPr>
              <w:t xml:space="preserve">Estrategia LinkedIn</w:t>
            </w:r>
          </w:p>
        </w:tc>
        <w:tc>
          <w:tcPr>
            <w:tcW w:type="dxa" w:w="5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AssetTrack_Estrategia_LinkedIn_Nacional.md</w:t>
            </w:r>
          </w:p>
        </w:tc>
      </w:tr>
      <w:tr>
        <w:tc>
          <w:tcPr>
            <w:tcW w:type="dxa" w:w="35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color w:val="1F2937"/>
                <w:sz w:val="19"/>
                <w:szCs w:val="19"/>
              </w:rPr>
              <w:t xml:space="preserve">Logo AssetTrack</w:t>
            </w:r>
          </w:p>
        </w:tc>
        <w:tc>
          <w:tcPr>
            <w:tcW w:type="dxa" w:w="5526"/>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color w:val="374151"/>
                <w:sz w:val="19"/>
                <w:szCs w:val="19"/>
              </w:rPr>
              <w:t xml:space="preserve">envatolabsimageedit_2.png</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F2937"/>
                <w:sz w:val="19"/>
                <w:szCs w:val="19"/>
              </w:rPr>
              <w:t xml:space="preserve">Skill presupuestos</w:t>
            </w:r>
          </w:p>
        </w:tc>
        <w:tc>
          <w:tcPr>
            <w:tcW w:type="dxa" w:w="55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74151"/>
                <w:sz w:val="19"/>
                <w:szCs w:val="19"/>
              </w:rPr>
              <w:t xml:space="preserve">Claude Project → presupuestos-innovabyte</w:t>
            </w:r>
          </w:p>
        </w:tc>
      </w:tr>
      <w:tr>
        <w:tc>
          <w:tcPr>
            <w:tcW w:type="dxa" w:w="3500"/>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b/>
                <w:bCs/>
                <w:color w:val="1F2937"/>
                <w:sz w:val="19"/>
                <w:szCs w:val="19"/>
              </w:rPr>
              <w:t xml:space="preserve">Web del producto</w:t>
            </w:r>
          </w:p>
        </w:tc>
        <w:tc>
          <w:tcPr>
            <w:tcW w:type="dxa" w:w="5526"/>
            <w:tcBorders>
              <w:top w:val="single" w:color="DDDDDD" w:sz="1"/>
              <w:left w:val="single" w:color="DDDDDD" w:sz="1"/>
              <w:bottom w:val="single" w:color="DDDDDD" w:sz="1"/>
              <w:right w:val="single" w:color="DDDDDD" w:sz="1"/>
            </w:tcBorders>
            <w:shd w:fill="F3F4F6" w:val="clear"/>
            <w:tcMar>
              <w:top w:type="dxa" w:w="80"/>
              <w:left w:type="dxa" w:w="140"/>
              <w:bottom w:type="dxa" w:w="80"/>
              <w:right w:type="dxa" w:w="140"/>
            </w:tcMar>
          </w:tcPr>
          <w:p>
            <w:r>
              <w:rPr>
                <w:rFonts w:ascii="Arial" w:cs="Arial" w:eastAsia="Arial" w:hAnsi="Arial"/>
                <w:color w:val="374151"/>
                <w:sz w:val="19"/>
                <w:szCs w:val="19"/>
              </w:rPr>
              <w:t xml:space="preserve">assettrack.innovabyte.es</w:t>
            </w:r>
          </w:p>
        </w:tc>
      </w:tr>
    </w:tbl>
    <w:p>
      <w:r>
        <w:rPr>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6" w:val="clear"/>
            <w:tcMar>
              <w:top w:type="dxa" w:w="140"/>
              <w:left w:type="dxa" w:w="200"/>
              <w:bottom w:type="dxa" w:w="140"/>
              <w:right w:type="dxa" w:w="200"/>
            </w:tcMar>
          </w:tcPr>
          <w:p>
            <w:r>
              <w:rPr>
                <w:rFonts w:ascii="Arial" w:cs="Arial" w:eastAsia="Arial" w:hAnsi="Arial"/>
                <w:color w:val="1F2937"/>
                <w:sz w:val="20"/>
                <w:szCs w:val="20"/>
              </w:rPr>
              <w:t xml:space="preserve">Documento generado: Abril 2026 · Innovabyte · AssetTrack · Uso interno — traspaso de proyecto</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2937"/>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EA580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2026-04-01T10:22:49.128Z</dcterms:created>
  <dcterms:modified xsi:type="dcterms:W3CDTF">2026-04-01T10:22:49.128Z</dcterms:modified>
</cp:coreProperties>
</file>

<file path=docProps/custom.xml><?xml version="1.0" encoding="utf-8"?>
<Properties xmlns="http://schemas.openxmlformats.org/officeDocument/2006/custom-properties" xmlns:vt="http://schemas.openxmlformats.org/officeDocument/2006/docPropsVTypes"/>
</file>