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222" w:right="3222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Capacitación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222" w:right="3222" w:firstLine="0"/>
        <w:jc w:val="center"/>
        <w:rPr/>
      </w:pPr>
      <w:r w:rsidDel="00000000" w:rsidR="00000000" w:rsidRPr="00000000">
        <w:rPr>
          <w:rtl w:val="0"/>
        </w:rPr>
        <w:t xml:space="preserve">Novatech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3223" w:firstLine="0"/>
        <w:rPr/>
      </w:pPr>
      <w:r w:rsidDel="00000000" w:rsidR="00000000" w:rsidRPr="00000000">
        <w:rPr>
          <w:rtl w:val="0"/>
        </w:rPr>
        <w:t xml:space="preserve">Cristian Martinez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3223" w:firstLine="0"/>
        <w:rPr/>
      </w:pPr>
      <w:r w:rsidDel="00000000" w:rsidR="00000000" w:rsidRPr="00000000">
        <w:rPr>
          <w:rtl w:val="0"/>
        </w:rPr>
        <w:t xml:space="preserve">Jesús Marriaga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173" w:firstLine="0"/>
        <w:rPr/>
      </w:pPr>
      <w:r w:rsidDel="00000000" w:rsidR="00000000" w:rsidRPr="00000000">
        <w:rPr>
          <w:rtl w:val="0"/>
        </w:rPr>
        <w:t xml:space="preserve">Esteban Cardenas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1173" w:firstLine="0"/>
        <w:rPr/>
      </w:pPr>
      <w:r w:rsidDel="00000000" w:rsidR="00000000" w:rsidRPr="00000000">
        <w:rPr>
          <w:rtl w:val="0"/>
        </w:rPr>
        <w:t xml:space="preserve">Johan Velasquez</w:t>
      </w:r>
    </w:p>
    <w:p w:rsidR="00000000" w:rsidDel="00000000" w:rsidP="00000000" w:rsidRDefault="00000000" w:rsidRPr="00000000" w14:paraId="0000000B">
      <w:pPr>
        <w:spacing w:before="182" w:line="240" w:lineRule="auto"/>
        <w:ind w:right="3223"/>
        <w:rPr/>
      </w:pPr>
      <w:r w:rsidDel="00000000" w:rsidR="00000000" w:rsidRPr="00000000">
        <w:rPr>
          <w:rtl w:val="0"/>
        </w:rPr>
        <w:t xml:space="preserve">Luis Morales</w:t>
      </w:r>
    </w:p>
    <w:p w:rsidR="00000000" w:rsidDel="00000000" w:rsidP="00000000" w:rsidRDefault="00000000" w:rsidRPr="00000000" w14:paraId="0000000C">
      <w:pPr>
        <w:spacing w:before="182" w:line="422" w:lineRule="auto"/>
        <w:ind w:right="32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82" w:line="422" w:lineRule="auto"/>
        <w:ind w:right="32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" w:right="1175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De Electricidad Electrónica y telecomunicaciones.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" w:right="1175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(CEET SENA)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222" w:right="3221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500" w:left="1600" w:right="1600" w:header="360" w:footer="360"/>
          <w:pgNumType w:start="1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spacing w:before="76" w:lineRule="auto"/>
        <w:ind w:left="102" w:right="0" w:firstLine="0"/>
        <w:jc w:val="left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color w:val="2d74b5"/>
          <w:sz w:val="32"/>
          <w:szCs w:val="32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51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Introducción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gjdgxs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3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Objetivos del Plan de Capacitación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0j0zll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6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Audiencia Objetivo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fob9te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3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Metodología de Capacitación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6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Contenido del Plan de Capacitación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3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Cronograma de Capacitación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6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dy6vkm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Evaluación y Retroalimentación</w:t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dy6vkm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3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Ampliación del Plan de Capacitación del Proyecto </w:t>
        </w:r>
      </w:hyperlink>
      <w:hyperlink w:anchor="_heading=h.1t3h5sf">
        <w:r w:rsidDel="00000000" w:rsidR="00000000" w:rsidRPr="00000000">
          <w:rPr>
            <w:rtl w:val="0"/>
          </w:rPr>
          <w:t xml:space="preserve">NOVATECH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t3h5sf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4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4d34og8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Evaluación del Impacto de la Capacitación</w:t>
        </w:r>
      </w:hyperlink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4d34og8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6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s8eyo1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Mejora Continua del Plan de Capacitación</w:t>
        </w:r>
      </w:hyperlink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s8eyo1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3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Desarrollo de Competencias Específicas</w:t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7dp8vu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6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rdcrjn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Integración de la Capacitación con Otros Procesos del Proyecto</w:t>
        </w:r>
      </w:hyperlink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rdcrjn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4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6in1rg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Tecnologías y Herramientas para la Capacitación</w:t>
        </w:r>
      </w:hyperlink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6in1rg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5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lnxbz9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Integración de Nuevas Tecnologías en la Capacitación</w:t>
        </w:r>
      </w:hyperlink>
      <w:hyperlink w:anchor="_heading=h.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lnxbz9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4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5nkun2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Estrategias de Comunicación y Difusión</w:t>
        </w:r>
      </w:hyperlink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5nkun2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3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ksv4uv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Vinculación con la Estrategia Organizacional</w:t>
        </w:r>
      </w:hyperlink>
      <w:hyperlink w:anchor="_heading=h.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ksv4uv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6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u w:val="none"/>
          <w:rtl w:val="0"/>
        </w:rPr>
        <w:t xml:space="preserve">Reconocimie</w:t>
      </w:r>
      <w:r w:rsidDel="00000000" w:rsidR="00000000" w:rsidRPr="00000000">
        <w:rPr>
          <w:rtl w:val="0"/>
        </w:rPr>
        <w:t xml:space="preserve">nto y Certificación de la Capacitación</w:t>
      </w:r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44sinio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931"/>
        </w:tabs>
        <w:spacing w:after="0" w:before="134" w:line="240" w:lineRule="auto"/>
        <w:ind w:left="3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600" w:right="1600" w:header="360" w:footer="360"/>
        </w:sectPr>
      </w:pPr>
      <w:hyperlink w:anchor="_heading=h.2jxsxqh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Conclusión</w:t>
        </w:r>
      </w:hyperlink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jxsxqh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102"/>
        <w:rPr>
          <w:highlight w:val="yellow"/>
        </w:rPr>
      </w:pPr>
      <w:r w:rsidDel="00000000" w:rsidR="00000000" w:rsidRPr="00000000">
        <w:rPr>
          <w:color w:val="2d74b5"/>
          <w:highlight w:val="yellow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73" w:lineRule="auto"/>
        <w:ind w:left="10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El plan de capacitación para el proyecto </w:t>
      </w: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NOVATECH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tiene como objetivo asegurar que todos los involucrados en el proyecto, incluyendo desarrolladores, usuarios finales y administradores, posean los conocimientos y habilidades necesarios para utilizar y gestionar eficazmente el sistema.</w:t>
      </w:r>
    </w:p>
    <w:p w:rsidR="00000000" w:rsidDel="00000000" w:rsidP="00000000" w:rsidRDefault="00000000" w:rsidRPr="00000000" w14:paraId="00000035">
      <w:pPr>
        <w:pStyle w:val="Heading1"/>
        <w:spacing w:before="155" w:lineRule="auto"/>
        <w:ind w:firstLine="102"/>
        <w:rPr>
          <w:highlight w:val="yellow"/>
        </w:rPr>
      </w:pPr>
      <w:bookmarkStart w:colFirst="0" w:colLast="0" w:name="_heading=h.30j0zll" w:id="1"/>
      <w:bookmarkEnd w:id="1"/>
      <w:r w:rsidDel="00000000" w:rsidR="00000000" w:rsidRPr="00000000">
        <w:rPr>
          <w:color w:val="2d74b5"/>
          <w:highlight w:val="yellow"/>
          <w:rtl w:val="0"/>
        </w:rPr>
        <w:t xml:space="preserve">Objetivos del Plan de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30" w:line="273" w:lineRule="auto"/>
        <w:ind w:left="821" w:right="1137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Familiarización con el Sistema: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Asegurar que los usuarios comprendan la funcionalidad y los flujos de trabajo de la API, la aplicación móvil y la web.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57" w:line="273" w:lineRule="auto"/>
        <w:ind w:left="821" w:right="83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Desarrollo de Habilidades Técnicas: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Capacitar al equipo de desarrollo en las tecnologías y herramientas utilizadas en el proyecto.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57" w:line="273" w:lineRule="auto"/>
        <w:ind w:left="821" w:right="17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Gestión y Mantenimiento: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Preparar a los administradores del sistema para gestionar y mantener la infraestructura de manera efectiva.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59" w:line="271" w:lineRule="auto"/>
        <w:ind w:left="821" w:right="558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Seguridad y Privacidad: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Concientizar sobre las mejores prácticas de seguridad y privacidad de datos.</w:t>
      </w:r>
    </w:p>
    <w:p w:rsidR="00000000" w:rsidDel="00000000" w:rsidP="00000000" w:rsidRDefault="00000000" w:rsidRPr="00000000" w14:paraId="0000003A">
      <w:pPr>
        <w:pStyle w:val="Heading1"/>
        <w:spacing w:before="162" w:lineRule="auto"/>
        <w:ind w:firstLine="102"/>
        <w:rPr>
          <w:highlight w:val="yellow"/>
        </w:rPr>
      </w:pPr>
      <w:bookmarkStart w:colFirst="0" w:colLast="0" w:name="_heading=h.1fob9te" w:id="2"/>
      <w:bookmarkEnd w:id="2"/>
      <w:r w:rsidDel="00000000" w:rsidR="00000000" w:rsidRPr="00000000">
        <w:rPr>
          <w:color w:val="2d74b5"/>
          <w:highlight w:val="yellow"/>
          <w:rtl w:val="0"/>
        </w:rPr>
        <w:t xml:space="preserve">Audiencia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30" w:line="273" w:lineRule="auto"/>
        <w:ind w:left="821" w:right="299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Desarrolladores: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Personal técnico involucrado en la construcción y mantenimiento de la API, la aplicación móvil y la web.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57" w:line="273" w:lineRule="auto"/>
        <w:ind w:left="821" w:right="112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Usuarios Finales: </w:t>
      </w:r>
      <w:r w:rsidDel="00000000" w:rsidR="00000000" w:rsidRPr="00000000">
        <w:rPr>
          <w:b w:val="1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Técnicos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y administradores que interactuarán con la aplicación móvil y la web.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57" w:line="273" w:lineRule="auto"/>
        <w:ind w:left="821" w:right="148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Administradores del Sistema: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Personal encargado de la gestión de la infraestructura y la seguridad del sistema.</w:t>
      </w:r>
    </w:p>
    <w:p w:rsidR="00000000" w:rsidDel="00000000" w:rsidP="00000000" w:rsidRDefault="00000000" w:rsidRPr="00000000" w14:paraId="0000003E">
      <w:pPr>
        <w:pStyle w:val="Heading1"/>
        <w:spacing w:before="157" w:lineRule="auto"/>
        <w:ind w:firstLine="102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color w:val="2d74b5"/>
          <w:highlight w:val="yellow"/>
          <w:rtl w:val="0"/>
        </w:rPr>
        <w:t xml:space="preserve">Metodología de Capacitación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57" w:line="273" w:lineRule="auto"/>
        <w:ind w:left="821" w:right="875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Tutoriales y Guías: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Material de autoaprendizaje, como manuales de usuario y tutoriales en video, para una referencia rápida y fácil.</w:t>
      </w:r>
    </w:p>
    <w:p w:rsidR="00000000" w:rsidDel="00000000" w:rsidP="00000000" w:rsidRDefault="00000000" w:rsidRPr="00000000" w14:paraId="00000040">
      <w:pPr>
        <w:pStyle w:val="Heading1"/>
        <w:spacing w:before="159" w:lineRule="auto"/>
        <w:ind w:firstLine="102"/>
        <w:rPr>
          <w:highlight w:val="yellow"/>
        </w:rPr>
      </w:pPr>
      <w:bookmarkStart w:colFirst="0" w:colLast="0" w:name="_heading=h.2et92p0" w:id="4"/>
      <w:bookmarkEnd w:id="4"/>
      <w:r w:rsidDel="00000000" w:rsidR="00000000" w:rsidRPr="00000000">
        <w:rPr>
          <w:color w:val="2d74b5"/>
          <w:highlight w:val="yellow"/>
          <w:rtl w:val="0"/>
        </w:rPr>
        <w:t xml:space="preserve">Contenido del Plan de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8"/>
        </w:numPr>
        <w:tabs>
          <w:tab w:val="left" w:leader="none" w:pos="822"/>
        </w:tabs>
        <w:spacing w:after="0" w:before="130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Para Desarrolladores: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4" w:line="240" w:lineRule="auto"/>
        <w:ind w:left="1542" w:right="0" w:hanging="360.99999999999994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Uso de herramientas de desarrollo y control de versiones.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40" w:lineRule="auto"/>
        <w:ind w:left="1542" w:right="0" w:hanging="360.99999999999994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  <w:sectPr>
          <w:type w:val="nextPage"/>
          <w:pgSz w:h="15840" w:w="12240" w:orient="portrait"/>
          <w:pgMar w:bottom="280" w:top="1340" w:left="1600" w:right="160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Desarrollo y pruebas de la API y las aplicaciones.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76" w:line="240" w:lineRule="auto"/>
        <w:ind w:left="1542" w:right="0" w:hanging="360.99999999999994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Implementación de prácticas de seguridad en el desarroll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8"/>
        </w:numPr>
        <w:tabs>
          <w:tab w:val="left" w:leader="none" w:pos="822"/>
        </w:tabs>
        <w:spacing w:after="0" w:before="196" w:line="240" w:lineRule="auto"/>
        <w:ind w:left="822" w:right="0" w:hanging="361"/>
        <w:jc w:val="left"/>
        <w:rPr/>
      </w:pPr>
      <w:r w:rsidDel="00000000" w:rsidR="00000000" w:rsidRPr="00000000">
        <w:rPr>
          <w:rtl w:val="0"/>
        </w:rPr>
        <w:t xml:space="preserve">Para Usuarios Finales: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40" w:lineRule="auto"/>
        <w:ind w:left="1542" w:right="0" w:hanging="360.99999999999994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shd w:fill="9fc5e8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9fc5e8" w:val="clear"/>
          <w:vertAlign w:val="baseline"/>
          <w:rtl w:val="0"/>
        </w:rPr>
        <w:t xml:space="preserve">Navegación y uso de la aplicación móvil y la web.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40" w:lineRule="auto"/>
        <w:ind w:left="1542" w:right="0" w:hanging="360.99999999999994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shd w:fill="9fc5e8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9fc5e8" w:val="clear"/>
          <w:vertAlign w:val="baseline"/>
          <w:rtl w:val="0"/>
        </w:rPr>
        <w:t xml:space="preserve">Realización de tareas comunes y flujos de trabajo específicos.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40" w:lineRule="auto"/>
        <w:ind w:left="1542" w:right="0" w:hanging="360.99999999999994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shd w:fill="9fc5e8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9fc5e8" w:val="clear"/>
          <w:vertAlign w:val="baseline"/>
          <w:rtl w:val="0"/>
        </w:rPr>
        <w:t xml:space="preserve">Reporte de problemas y solicitudes de soporte.</w:t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8"/>
        </w:numPr>
        <w:tabs>
          <w:tab w:val="left" w:leader="none" w:pos="822"/>
        </w:tabs>
        <w:spacing w:after="0" w:before="196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Para Administradores del Sistema: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40" w:lineRule="auto"/>
        <w:ind w:left="1542" w:right="0" w:hanging="360.99999999999994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Gestión de la infraestructura y la base de datos.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4" w:line="240" w:lineRule="auto"/>
        <w:ind w:left="1542" w:right="0" w:hanging="360.99999999999994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Monitoreo del rendimiento y la seguridad del sistema.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40" w:lineRule="auto"/>
        <w:ind w:left="1542" w:right="0" w:hanging="360.99999999999994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Procedimientos de respaldo y recuperación de desastres.</w:t>
      </w:r>
    </w:p>
    <w:p w:rsidR="00000000" w:rsidDel="00000000" w:rsidP="00000000" w:rsidRDefault="00000000" w:rsidRPr="00000000" w14:paraId="0000004D">
      <w:pPr>
        <w:pStyle w:val="Heading1"/>
        <w:spacing w:before="193" w:lineRule="auto"/>
        <w:ind w:firstLine="102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color w:val="2d74b5"/>
          <w:highlight w:val="yellow"/>
          <w:rtl w:val="0"/>
        </w:rPr>
        <w:t xml:space="preserve">Cronograma de Capacitación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57" w:line="273" w:lineRule="auto"/>
        <w:ind w:left="821" w:right="694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Establecer un cronograma de realización de las guías para la capacitación, respaldo de datos para los usuarios que interactuaran con 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159" w:lineRule="auto"/>
        <w:ind w:firstLine="102"/>
        <w:rPr>
          <w:highlight w:val="yellow"/>
        </w:rPr>
      </w:pPr>
      <w:bookmarkStart w:colFirst="0" w:colLast="0" w:name="_heading=h.3dy6vkm" w:id="6"/>
      <w:bookmarkEnd w:id="6"/>
      <w:r w:rsidDel="00000000" w:rsidR="00000000" w:rsidRPr="00000000">
        <w:rPr>
          <w:color w:val="2d74b5"/>
          <w:highlight w:val="yellow"/>
          <w:rtl w:val="0"/>
        </w:rPr>
        <w:t xml:space="preserve">Evaluación y Retroalimentación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30" w:line="271" w:lineRule="auto"/>
        <w:ind w:left="821" w:right="578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Realizar evaluaciones periódicas para medir la efectividad de la capacitación y el progreso de los participantes.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</w:tabs>
        <w:spacing w:after="0" w:before="163" w:line="271" w:lineRule="auto"/>
        <w:ind w:left="821" w:right="643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Recoger retroalimentación de los participantes para mejorar futuras a</w:t>
      </w:r>
      <w:r w:rsidDel="00000000" w:rsidR="00000000" w:rsidRPr="00000000">
        <w:rPr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ctualizaciones a las guías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capacitación.</w:t>
      </w:r>
    </w:p>
    <w:p w:rsidR="00000000" w:rsidDel="00000000" w:rsidP="00000000" w:rsidRDefault="00000000" w:rsidRPr="00000000" w14:paraId="00000052">
      <w:pPr>
        <w:pStyle w:val="Heading1"/>
        <w:spacing w:before="161" w:lineRule="auto"/>
        <w:ind w:firstLine="102"/>
        <w:rPr>
          <w:highlight w:val="yellow"/>
        </w:rPr>
      </w:pPr>
      <w:bookmarkStart w:colFirst="0" w:colLast="0" w:name="_heading=h.1t3h5sf" w:id="7"/>
      <w:bookmarkEnd w:id="7"/>
      <w:r w:rsidDel="00000000" w:rsidR="00000000" w:rsidRPr="00000000">
        <w:rPr>
          <w:color w:val="2d74b5"/>
          <w:highlight w:val="yellow"/>
          <w:rtl w:val="0"/>
        </w:rPr>
        <w:t xml:space="preserve">Ampliación del Plan de Capacitación del Proyecto NOVATECH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10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Estrategias de Implementación de la Capacitación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6"/>
        </w:numPr>
        <w:tabs>
          <w:tab w:val="left" w:leader="none" w:pos="822"/>
        </w:tabs>
        <w:spacing w:after="0" w:before="193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Segmentación de Audiencias: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71" w:lineRule="auto"/>
        <w:ind w:left="1542" w:right="579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Identificar las necesidades específicas de capacitación de cada grupo de usuarios para personalizar el contenido y la metodología de enseñanza.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6"/>
        </w:numPr>
        <w:tabs>
          <w:tab w:val="left" w:leader="none" w:pos="822"/>
        </w:tabs>
        <w:spacing w:after="0" w:before="162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Uso de Casos Prácticos: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73" w:lineRule="auto"/>
        <w:ind w:left="1542" w:right="207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Incorporar ejemplos y casos prácticos reales en las </w:t>
      </w:r>
      <w:r w:rsidDel="00000000" w:rsidR="00000000" w:rsidRPr="00000000">
        <w:rPr>
          <w:highlight w:val="yellow"/>
          <w:rtl w:val="0"/>
        </w:rPr>
        <w:t xml:space="preserve">guias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capacitación para facilitar la comprensión y aplicación de los conceptos.</w:t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6"/>
        </w:numPr>
        <w:tabs>
          <w:tab w:val="left" w:leader="none" w:pos="822"/>
        </w:tabs>
        <w:spacing w:after="0" w:before="157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Entorno de Aprendizaje Colaborativo: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73" w:lineRule="auto"/>
        <w:ind w:left="1542" w:right="129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Fomentar la interacción y el intercambio de experiencias entre los participantes para enriquecer el proceso de aprendizaje.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10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</w:rPr>
        <w:sectPr>
          <w:type w:val="nextPage"/>
          <w:pgSz w:h="15840" w:w="12240" w:orient="portrait"/>
          <w:pgMar w:bottom="280" w:top="1340" w:left="1600" w:right="160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Recursos de Capacitación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9"/>
        </w:numPr>
        <w:tabs>
          <w:tab w:val="left" w:leader="none" w:pos="822"/>
        </w:tabs>
        <w:spacing w:after="0" w:before="76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Plataformas de Aprendizaje en Línea: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73" w:lineRule="auto"/>
        <w:ind w:left="1542" w:right="10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Utilizar plataformas como Moodle o Canvas para ofrecer cursos en línea, foros de discusión y recursos adicionales.</w:t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9"/>
        </w:numPr>
        <w:tabs>
          <w:tab w:val="left" w:leader="none" w:pos="822"/>
        </w:tabs>
        <w:spacing w:after="0" w:before="156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Herramientas de Simulación: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4" w:line="273" w:lineRule="auto"/>
        <w:ind w:left="1542" w:right="47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Proporcionar acceso a entornos de simulación o versiones de prueba (</w:t>
      </w:r>
      <w:r w:rsidDel="00000000" w:rsidR="00000000" w:rsidRPr="00000000">
        <w:rPr>
          <w:highlight w:val="yellow"/>
          <w:rtl w:val="0"/>
        </w:rPr>
        <w:t xml:space="preserve">En su defecto versiones anteriores con bd de prueba, o versiones actuales con bd de prueba)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del sistema para que los usuarios practiquen y experimenten de forma segura.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9"/>
        </w:numPr>
        <w:tabs>
          <w:tab w:val="left" w:leader="none" w:pos="822"/>
        </w:tabs>
        <w:spacing w:after="0" w:before="159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Soporte Post-Capacitación: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73" w:lineRule="auto"/>
        <w:ind w:left="1542" w:right="563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Establecer un sistema de soporte y asesoramiento continuo para resolver dudas y proporcionar orientación una vez finalizadas las </w:t>
      </w:r>
      <w:r w:rsidDel="00000000" w:rsidR="00000000" w:rsidRPr="00000000">
        <w:rPr>
          <w:highlight w:val="yellow"/>
          <w:rtl w:val="0"/>
        </w:rPr>
        <w:t xml:space="preserve">guías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capacitación.</w:t>
      </w:r>
    </w:p>
    <w:p w:rsidR="00000000" w:rsidDel="00000000" w:rsidP="00000000" w:rsidRDefault="00000000" w:rsidRPr="00000000" w14:paraId="00000061">
      <w:pPr>
        <w:pStyle w:val="Heading1"/>
        <w:spacing w:before="157" w:lineRule="auto"/>
        <w:ind w:firstLine="102"/>
        <w:rPr>
          <w:highlight w:val="yellow"/>
        </w:rPr>
      </w:pPr>
      <w:bookmarkStart w:colFirst="0" w:colLast="0" w:name="_heading=h.4d34og8" w:id="8"/>
      <w:bookmarkEnd w:id="8"/>
      <w:r w:rsidDel="00000000" w:rsidR="00000000" w:rsidRPr="00000000">
        <w:rPr>
          <w:color w:val="2d74b5"/>
          <w:highlight w:val="yellow"/>
          <w:rtl w:val="0"/>
        </w:rPr>
        <w:t xml:space="preserve">Evaluación del Impacto de la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4"/>
        </w:numPr>
        <w:tabs>
          <w:tab w:val="left" w:leader="none" w:pos="822"/>
        </w:tabs>
        <w:spacing w:after="0" w:before="130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Encuestas de Satisfacción: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73" w:lineRule="auto"/>
        <w:ind w:left="1542" w:right="238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Realizar encuestas de satisfacción al final de cada </w:t>
      </w:r>
      <w:r w:rsidDel="00000000" w:rsidR="00000000" w:rsidRPr="00000000">
        <w:rPr>
          <w:highlight w:val="yellow"/>
          <w:rtl w:val="0"/>
        </w:rPr>
        <w:t xml:space="preserve">guía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capacitación para recoger la opinión de los participantes sobre la utilidad y la calidad de la formación recibida.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4"/>
        </w:numPr>
        <w:tabs>
          <w:tab w:val="left" w:leader="none" w:pos="822"/>
        </w:tabs>
        <w:spacing w:after="0" w:before="156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Análisis de Desempeño: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71" w:lineRule="auto"/>
        <w:ind w:left="1542" w:right="56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Evaluar el desempeño de los usuarios antes y después de la capacitación para medir el impacto real en sus habilidades y conocimientos.</w:t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4"/>
        </w:numPr>
        <w:tabs>
          <w:tab w:val="left" w:leader="none" w:pos="822"/>
        </w:tabs>
        <w:spacing w:after="0" w:before="162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Seguimiento a Largo Plazo: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4" w:line="273" w:lineRule="auto"/>
        <w:ind w:left="1542" w:right="74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Realizar un seguimiento periódico del uso del sistema por parte de los usuarios para identificar áreas donde pueda ser necesaria capacitación adicional o refuerzo.</w:t>
      </w:r>
    </w:p>
    <w:p w:rsidR="00000000" w:rsidDel="00000000" w:rsidP="00000000" w:rsidRDefault="00000000" w:rsidRPr="00000000" w14:paraId="00000068">
      <w:pPr>
        <w:pStyle w:val="Heading1"/>
        <w:spacing w:before="155" w:lineRule="auto"/>
        <w:ind w:firstLine="102"/>
        <w:rPr>
          <w:highlight w:val="yellow"/>
        </w:rPr>
      </w:pPr>
      <w:bookmarkStart w:colFirst="0" w:colLast="0" w:name="_heading=h.2s8eyo1" w:id="9"/>
      <w:bookmarkEnd w:id="9"/>
      <w:r w:rsidDel="00000000" w:rsidR="00000000" w:rsidRPr="00000000">
        <w:rPr>
          <w:color w:val="2d74b5"/>
          <w:highlight w:val="yellow"/>
          <w:rtl w:val="0"/>
        </w:rPr>
        <w:t xml:space="preserve">Mejora Continua del Plan de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2"/>
        </w:numPr>
        <w:tabs>
          <w:tab w:val="left" w:leader="none" w:pos="822"/>
        </w:tabs>
        <w:spacing w:after="0" w:before="131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Actualización de Contenidos: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5" w:line="271" w:lineRule="auto"/>
        <w:ind w:left="1542" w:right="15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Revisar y actualizar regularmente los materiales y contenidos de capacitación para asegurar que reflejen los cambios en el sistema y las mejores prácticas.</w:t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2"/>
        </w:numPr>
        <w:tabs>
          <w:tab w:val="left" w:leader="none" w:pos="822"/>
        </w:tabs>
        <w:spacing w:after="0" w:before="163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Innovación en Metodologías de Enseñanza: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73" w:lineRule="auto"/>
        <w:ind w:left="1542" w:right="867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Explorar y adoptar nuevas metodologías y tecnologías educativas para mejorar la efectividad de la capacitación.</w:t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2"/>
        </w:numPr>
        <w:tabs>
          <w:tab w:val="left" w:leader="none" w:pos="822"/>
        </w:tabs>
        <w:spacing w:after="0" w:before="157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Retroalimentación de los Instructores: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73" w:lineRule="auto"/>
        <w:ind w:left="1542" w:right="122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  <w:sectPr>
          <w:type w:val="nextPage"/>
          <w:pgSz w:h="15840" w:w="12240" w:orient="portrait"/>
          <w:pgMar w:bottom="280" w:top="1340" w:left="1600" w:right="160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Involucrar a los instructores en el proceso de mejora continua, recogiendo sus sugerencias y experiencias para enriquecer el plan de capacitación.</w:t>
      </w:r>
    </w:p>
    <w:p w:rsidR="00000000" w:rsidDel="00000000" w:rsidP="00000000" w:rsidRDefault="00000000" w:rsidRPr="00000000" w14:paraId="0000006F">
      <w:pPr>
        <w:pStyle w:val="Heading1"/>
        <w:ind w:firstLine="102"/>
        <w:rPr>
          <w:highlight w:val="yellow"/>
        </w:rPr>
      </w:pPr>
      <w:bookmarkStart w:colFirst="0" w:colLast="0" w:name="_heading=h.17dp8vu" w:id="10"/>
      <w:bookmarkEnd w:id="10"/>
      <w:r w:rsidDel="00000000" w:rsidR="00000000" w:rsidRPr="00000000">
        <w:rPr>
          <w:color w:val="2d74b5"/>
          <w:highlight w:val="yellow"/>
          <w:rtl w:val="0"/>
        </w:rPr>
        <w:t xml:space="preserve">Desarrollo de Competencias Específicas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5"/>
        </w:numPr>
        <w:tabs>
          <w:tab w:val="left" w:leader="none" w:pos="822"/>
        </w:tabs>
        <w:spacing w:after="0" w:before="130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Competencias Técnicas: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73" w:lineRule="auto"/>
        <w:ind w:left="1542" w:right="1204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Para desarrolladores: Capacitación en lenguajes de programación, frameworks y herramientas específicas utilizadas en el proyecto</w:t>
      </w:r>
      <w:r w:rsidDel="00000000" w:rsidR="00000000" w:rsidRPr="00000000">
        <w:rPr>
          <w:highlight w:val="yellow"/>
          <w:rtl w:val="0"/>
        </w:rPr>
        <w:t xml:space="preserve">, enfocado específicamente  a cómo se desarrolló el proyecto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56" w:line="273" w:lineRule="auto"/>
        <w:ind w:left="1542" w:right="207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Para administradores del sistema: Formación en gestión de servidores, bases de datos y seguridad de la información del sistema.</w:t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5"/>
        </w:numPr>
        <w:tabs>
          <w:tab w:val="left" w:leader="none" w:pos="822"/>
        </w:tabs>
        <w:spacing w:after="0" w:before="157" w:line="240" w:lineRule="auto"/>
        <w:ind w:left="822" w:right="0" w:hanging="361"/>
        <w:jc w:val="left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Competencias en Gestión de Proyectos: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71" w:lineRule="auto"/>
        <w:ind w:left="1542" w:right="652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shd w:fill="9fc5e8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9fc5e8" w:val="clear"/>
          <w:vertAlign w:val="baseline"/>
          <w:rtl w:val="0"/>
        </w:rPr>
        <w:t xml:space="preserve">Formación en metodologías ágiles, gestión de equipos y planificación de proyectos para líderes y gestores del proyecto.</w:t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5"/>
        </w:numPr>
        <w:tabs>
          <w:tab w:val="left" w:leader="none" w:pos="822"/>
        </w:tabs>
        <w:spacing w:after="0" w:before="163" w:line="240" w:lineRule="auto"/>
        <w:ind w:left="822" w:right="0" w:hanging="361"/>
        <w:jc w:val="left"/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Competencias en Análisis de Datos: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73" w:lineRule="auto"/>
        <w:ind w:left="1542" w:right="298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shd w:fill="9fc5e8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9fc5e8" w:val="clear"/>
          <w:vertAlign w:val="baseline"/>
          <w:rtl w:val="0"/>
        </w:rPr>
        <w:t xml:space="preserve">Capacitación en herramientas de análisis de datos y generación de informes para usuarios avanzados y administradores.</w:t>
      </w:r>
    </w:p>
    <w:p w:rsidR="00000000" w:rsidDel="00000000" w:rsidP="00000000" w:rsidRDefault="00000000" w:rsidRPr="00000000" w14:paraId="00000077">
      <w:pPr>
        <w:pStyle w:val="Heading1"/>
        <w:spacing w:before="156" w:lineRule="auto"/>
        <w:ind w:firstLine="102"/>
        <w:rPr>
          <w:highlight w:val="yellow"/>
        </w:rPr>
      </w:pPr>
      <w:bookmarkStart w:colFirst="0" w:colLast="0" w:name="_heading=h.3rdcrjn" w:id="11"/>
      <w:bookmarkEnd w:id="11"/>
      <w:r w:rsidDel="00000000" w:rsidR="00000000" w:rsidRPr="00000000">
        <w:rPr>
          <w:color w:val="2d74b5"/>
          <w:highlight w:val="yellow"/>
          <w:rtl w:val="0"/>
        </w:rPr>
        <w:t xml:space="preserve">Integración de la Capacitación con Otros Procesos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7"/>
        </w:numPr>
        <w:tabs>
          <w:tab w:val="left" w:leader="none" w:pos="822"/>
        </w:tabs>
        <w:spacing w:after="0" w:before="131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Capacitación Continua: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5" w:line="273" w:lineRule="auto"/>
        <w:ind w:left="1542" w:right="206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Integrar la capacitación como un proceso continuo que acompaña el ciclo de vida del proyecto, adaptándose a las necesidades y cambios que surjan.</w:t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7"/>
        </w:numPr>
        <w:tabs>
          <w:tab w:val="left" w:leader="none" w:pos="822"/>
        </w:tabs>
        <w:spacing w:after="0" w:before="157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Retroalimentación entre Capacitación y Desarrollo: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4" w:line="273" w:lineRule="auto"/>
        <w:ind w:left="1542" w:right="649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Establecer un flujo de comunicación entre los equipos de capacitación y desarrollo para ajustar la formación en función de las actualizaciones y mejoras del sistema.</w:t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7"/>
        </w:numPr>
        <w:tabs>
          <w:tab w:val="left" w:leader="none" w:pos="822"/>
        </w:tabs>
        <w:spacing w:after="0" w:before="156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Incorporación de Nuevos Miembros: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71" w:lineRule="auto"/>
        <w:ind w:left="1542" w:right="473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Desarrollar un programa de inducción para la rápida integración de nuevos miembros al proyecto, cubriendo aspectos técnicos y organizacionales.</w:t>
      </w:r>
    </w:p>
    <w:p w:rsidR="00000000" w:rsidDel="00000000" w:rsidP="00000000" w:rsidRDefault="00000000" w:rsidRPr="00000000" w14:paraId="0000007E">
      <w:pPr>
        <w:pStyle w:val="Heading1"/>
        <w:spacing w:before="161" w:lineRule="auto"/>
        <w:ind w:firstLine="102"/>
        <w:rPr>
          <w:highlight w:val="yellow"/>
        </w:rPr>
      </w:pPr>
      <w:bookmarkStart w:colFirst="0" w:colLast="0" w:name="_heading=h.26in1rg" w:id="12"/>
      <w:bookmarkEnd w:id="12"/>
      <w:r w:rsidDel="00000000" w:rsidR="00000000" w:rsidRPr="00000000">
        <w:rPr>
          <w:color w:val="2d74b5"/>
          <w:highlight w:val="yellow"/>
          <w:rtl w:val="0"/>
        </w:rPr>
        <w:t xml:space="preserve">Tecnologías y Herramientas para la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3"/>
        </w:numPr>
        <w:tabs>
          <w:tab w:val="left" w:leader="none" w:pos="822"/>
        </w:tabs>
        <w:spacing w:after="0" w:before="131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Plataformas de Aprendizaje Virtual: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4" w:line="273" w:lineRule="auto"/>
        <w:ind w:left="1542" w:right="297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Utilizar plataformas de e-learning para ofrecer cursos interactivos y recursos multimedia que faciliten el aprendizaje a distancia, como </w:t>
      </w:r>
      <w:r w:rsidDel="00000000" w:rsidR="00000000" w:rsidRPr="00000000">
        <w:rPr>
          <w:highlight w:val="yellow"/>
          <w:rtl w:val="0"/>
        </w:rPr>
        <w:t xml:space="preserve">google cloud o youtube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3"/>
        </w:numPr>
        <w:tabs>
          <w:tab w:val="left" w:leader="none" w:pos="822"/>
        </w:tabs>
        <w:spacing w:after="0" w:before="156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Herramientas de Colaboración: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73" w:lineRule="auto"/>
        <w:ind w:left="1542" w:right="199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Emplear herramientas de colaboración en línea como Microsoft Teams o Google Workspace para facilitar la comunicación y el intercambio de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542" w:right="0" w:firstLine="0"/>
        <w:jc w:val="left"/>
        <w:rPr>
          <w:highlight w:val="yellow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conocimientos entre los participantes.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3"/>
        </w:numPr>
        <w:tabs>
          <w:tab w:val="left" w:leader="none" w:pos="822"/>
        </w:tabs>
        <w:spacing w:before="156" w:lineRule="auto"/>
        <w:rPr>
          <w:b w:val="1"/>
          <w:highlight w:val="yellow"/>
        </w:rPr>
      </w:pPr>
      <w:bookmarkStart w:colFirst="0" w:colLast="0" w:name="_heading=h.9y2ntfpaxth" w:id="13"/>
      <w:bookmarkEnd w:id="13"/>
      <w:r w:rsidDel="00000000" w:rsidR="00000000" w:rsidRPr="00000000">
        <w:rPr>
          <w:highlight w:val="yellow"/>
          <w:rtl w:val="0"/>
        </w:rPr>
        <w:t xml:space="preserve">Evaluación y Certificación</w:t>
      </w:r>
    </w:p>
    <w:p w:rsidR="00000000" w:rsidDel="00000000" w:rsidP="00000000" w:rsidRDefault="00000000" w:rsidRPr="00000000" w14:paraId="00000085">
      <w:pPr>
        <w:tabs>
          <w:tab w:val="left" w:leader="none" w:pos="822"/>
        </w:tabs>
        <w:ind w:left="822" w:firstLine="0"/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1"/>
        </w:numPr>
        <w:tabs>
          <w:tab w:val="left" w:leader="none" w:pos="822"/>
        </w:tabs>
        <w:spacing w:after="0" w:before="193" w:line="240" w:lineRule="auto"/>
        <w:ind w:left="822" w:right="0" w:hanging="36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Evaluaciones Periódicas: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4" w:line="273" w:lineRule="auto"/>
        <w:ind w:left="1542" w:right="273" w:hanging="360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Realizar evaluaciones periódicas para medir el progreso y la comprensión de los conceptos por parte de los participantes.</w:t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1"/>
        </w:numPr>
        <w:tabs>
          <w:tab w:val="left" w:leader="none" w:pos="822"/>
        </w:tabs>
        <w:spacing w:after="0" w:before="159" w:line="240" w:lineRule="auto"/>
        <w:ind w:left="822" w:right="0" w:hanging="36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Certificación de Competencias: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73" w:lineRule="auto"/>
        <w:ind w:left="1542" w:right="745" w:hanging="360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Ofrecer certificaciones al completar satisfactoriamente l</w:t>
      </w:r>
      <w:r w:rsidDel="00000000" w:rsidR="00000000" w:rsidRPr="00000000">
        <w:rPr>
          <w:highlight w:val="yellow"/>
          <w:rtl w:val="0"/>
        </w:rPr>
        <w:t xml:space="preserve">as guías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capacitación, validando las habilidades adquiridas.</w:t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1"/>
        </w:numPr>
        <w:tabs>
          <w:tab w:val="left" w:leader="none" w:pos="822"/>
        </w:tabs>
        <w:spacing w:after="0" w:before="158" w:line="240" w:lineRule="auto"/>
        <w:ind w:left="822" w:right="0" w:hanging="36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Planes de Mejora Personalizados: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5" w:line="271" w:lineRule="auto"/>
        <w:ind w:left="1542" w:right="379" w:hanging="360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Desarrollar planes de mejora individualizados basados en los resultados de las evaluaciones para abordar áreas de debilidad.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before="0" w:lineRule="auto"/>
        <w:ind w:firstLine="102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color w:val="2d74b5"/>
          <w:highlight w:val="yellow"/>
          <w:rtl w:val="0"/>
        </w:rPr>
        <w:t xml:space="preserve">Integración de Nuevas Tecnologías en la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13"/>
        </w:numPr>
        <w:tabs>
          <w:tab w:val="left" w:leader="none" w:pos="822"/>
        </w:tabs>
        <w:spacing w:after="0" w:before="157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Inteligencia Artificial en la Educación: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73" w:lineRule="auto"/>
        <w:ind w:left="1542" w:right="45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Implementar herramientas de inteligencia artificial (IA) para personalizar el aprendizaje y proporcionar recomendaciones basadas en el progreso del usuario.</w:t>
      </w:r>
    </w:p>
    <w:p w:rsidR="00000000" w:rsidDel="00000000" w:rsidP="00000000" w:rsidRDefault="00000000" w:rsidRPr="00000000" w14:paraId="00000090">
      <w:pPr>
        <w:pStyle w:val="Heading1"/>
        <w:spacing w:before="159" w:lineRule="auto"/>
        <w:ind w:firstLine="102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color w:val="2d74b5"/>
          <w:highlight w:val="yellow"/>
          <w:rtl w:val="0"/>
        </w:rPr>
        <w:t xml:space="preserve">Estrategias de Comunicación y Difusión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14"/>
        </w:numPr>
        <w:tabs>
          <w:tab w:val="left" w:leader="none" w:pos="822"/>
        </w:tabs>
        <w:spacing w:after="0" w:before="157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Boletines y Comunicados: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71" w:lineRule="auto"/>
        <w:ind w:left="1542" w:right="303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Utilizar boletines y comunicados periódicos para mantener informados a los participantes sobre las oportunidades de capacitación y los recursos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54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disponibles.</w:t>
      </w:r>
    </w:p>
    <w:p w:rsidR="00000000" w:rsidDel="00000000" w:rsidP="00000000" w:rsidRDefault="00000000" w:rsidRPr="00000000" w14:paraId="00000094">
      <w:pPr>
        <w:pStyle w:val="Heading2"/>
        <w:numPr>
          <w:ilvl w:val="0"/>
          <w:numId w:val="14"/>
        </w:numPr>
        <w:tabs>
          <w:tab w:val="left" w:leader="none" w:pos="822"/>
        </w:tabs>
        <w:spacing w:after="0" w:before="195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Testimonios y Casos de Éxito: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4" w:line="273" w:lineRule="auto"/>
        <w:ind w:left="1542" w:right="1209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Compartir testimonios y casos de éxito de participantes que hayan completado la capacitación para inspirar y motivar a otros.</w:t>
      </w:r>
    </w:p>
    <w:p w:rsidR="00000000" w:rsidDel="00000000" w:rsidP="00000000" w:rsidRDefault="00000000" w:rsidRPr="00000000" w14:paraId="00000096">
      <w:pPr>
        <w:pStyle w:val="Heading1"/>
        <w:spacing w:before="156" w:lineRule="auto"/>
        <w:ind w:firstLine="102"/>
        <w:rPr>
          <w:highlight w:val="yellow"/>
        </w:rPr>
      </w:pPr>
      <w:bookmarkStart w:colFirst="0" w:colLast="0" w:name="_heading=h.1ksv4uv" w:id="16"/>
      <w:bookmarkEnd w:id="16"/>
      <w:r w:rsidDel="00000000" w:rsidR="00000000" w:rsidRPr="00000000">
        <w:rPr>
          <w:color w:val="2d74b5"/>
          <w:highlight w:val="yellow"/>
          <w:rtl w:val="0"/>
        </w:rPr>
        <w:t xml:space="preserve">Vinculación con la Estrategia Organizacional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0"/>
          <w:numId w:val="11"/>
        </w:numPr>
        <w:tabs>
          <w:tab w:val="left" w:leader="none" w:pos="822"/>
        </w:tabs>
        <w:spacing w:after="0" w:before="131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Alineación con los Objetivos Institucionales: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5" w:line="271" w:lineRule="auto"/>
        <w:ind w:left="1542" w:right="1046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Asegurar que el plan de capacitación esté alineado con los objetivos estratégicos de l</w:t>
      </w:r>
      <w:r w:rsidDel="00000000" w:rsidR="00000000" w:rsidRPr="00000000">
        <w:rPr>
          <w:highlight w:val="yellow"/>
          <w:rtl w:val="0"/>
        </w:rPr>
        <w:t xml:space="preserve">a empresa TecniKstore y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el proyecto </w:t>
      </w:r>
      <w:r w:rsidDel="00000000" w:rsidR="00000000" w:rsidRPr="00000000">
        <w:rPr>
          <w:highlight w:val="yellow"/>
          <w:rtl w:val="0"/>
        </w:rPr>
        <w:t xml:space="preserve">Novatech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11"/>
        </w:numPr>
        <w:tabs>
          <w:tab w:val="left" w:leader="none" w:pos="822"/>
        </w:tabs>
        <w:spacing w:after="0" w:before="163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Colaboración con Otras Áreas: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3" w:line="273" w:lineRule="auto"/>
        <w:ind w:left="1542" w:right="288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Fomentar la colaboración entre el equipo de capacitación y otras áreas de la organización para maximizar el impacto y la relevancia de la formación.</w:t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11"/>
        </w:numPr>
        <w:tabs>
          <w:tab w:val="left" w:leader="none" w:pos="822"/>
        </w:tabs>
        <w:spacing w:after="0" w:before="157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Evaluación del Retorno de Inversión (ROI):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1"/>
          <w:tab w:val="left" w:leader="none" w:pos="1542"/>
        </w:tabs>
        <w:spacing w:after="0" w:before="196" w:line="271" w:lineRule="auto"/>
        <w:ind w:left="1542" w:right="522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Medir el retorno de inversión de la capacitación en términos de mejora del rendimiento, satisfacción del usuario y contribución a los objetivos del proyecto.</w:t>
      </w:r>
    </w:p>
    <w:p w:rsidR="00000000" w:rsidDel="00000000" w:rsidP="00000000" w:rsidRDefault="00000000" w:rsidRPr="00000000" w14:paraId="0000009D">
      <w:pPr>
        <w:pStyle w:val="Heading1"/>
        <w:spacing w:before="163" w:lineRule="auto"/>
        <w:ind w:firstLine="102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color w:val="2d74b5"/>
          <w:rtl w:val="0"/>
        </w:rPr>
        <w:t xml:space="preserve">Reconocimiento y Certificación de la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10"/>
        </w:numPr>
        <w:tabs>
          <w:tab w:val="left" w:leader="none" w:pos="822"/>
        </w:tabs>
        <w:spacing w:after="0" w:before="161" w:line="240" w:lineRule="auto"/>
        <w:ind w:left="822" w:right="0" w:hanging="36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Reconocimiento y Certificación:</w:t>
      </w:r>
    </w:p>
    <w:p w:rsidR="00000000" w:rsidDel="00000000" w:rsidP="00000000" w:rsidRDefault="00000000" w:rsidRPr="00000000" w14:paraId="0000009F">
      <w:pPr>
        <w:tabs>
          <w:tab w:val="left" w:leader="none" w:pos="1541"/>
          <w:tab w:val="left" w:leader="none" w:pos="1542"/>
        </w:tabs>
        <w:spacing w:before="76" w:lineRule="auto"/>
        <w:ind w:left="822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Proporcionar reconocimiento y certificación a los participantes que</w:t>
      </w:r>
    </w:p>
    <w:p w:rsidR="00000000" w:rsidDel="00000000" w:rsidP="00000000" w:rsidRDefault="00000000" w:rsidRPr="00000000" w14:paraId="000000A0">
      <w:pPr>
        <w:spacing w:before="35" w:line="273" w:lineRule="auto"/>
        <w:ind w:left="1542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completen exitosamente los programas de capacitación, validando sus habilidades y conocimientos</w:t>
      </w:r>
    </w:p>
    <w:p w:rsidR="00000000" w:rsidDel="00000000" w:rsidP="00000000" w:rsidRDefault="00000000" w:rsidRPr="00000000" w14:paraId="000000A1">
      <w:pPr>
        <w:pStyle w:val="Heading1"/>
        <w:spacing w:before="156" w:lineRule="auto"/>
        <w:ind w:firstLine="102"/>
        <w:rPr>
          <w:highlight w:val="yellow"/>
        </w:rPr>
      </w:pPr>
      <w:bookmarkStart w:colFirst="0" w:colLast="0" w:name="_heading=h.ruub5tpif8kp" w:id="18"/>
      <w:bookmarkEnd w:id="18"/>
      <w:r w:rsidDel="00000000" w:rsidR="00000000" w:rsidRPr="00000000">
        <w:rPr>
          <w:color w:val="2d74b5"/>
          <w:highlight w:val="yellow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131" w:line="273" w:lineRule="auto"/>
        <w:ind w:left="461" w:right="127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 plan de capacitación bien estructurado y ejecutado es esencial para el éxito del proyecto Novatech. Al asegurar que todos los involucrados estén debidamente capacitados y preparados, se facilitará la adopción del sistema, se maximizará su utilidad y se contribuirá a la consecución de los objetivos educativos del proyecto.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73" w:lineRule="auto"/>
        <w:ind w:left="0" w:right="12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40" w:left="1600" w:right="16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•"/>
      <w:lvlJc w:val="left"/>
      <w:pPr>
        <w:ind w:left="1642" w:hanging="360"/>
      </w:pPr>
      <w:rPr/>
    </w:lvl>
    <w:lvl w:ilvl="2">
      <w:start w:val="0"/>
      <w:numFmt w:val="bullet"/>
      <w:lvlText w:val="•"/>
      <w:lvlJc w:val="left"/>
      <w:pPr>
        <w:ind w:left="2464" w:hanging="360"/>
      </w:pPr>
      <w:rPr/>
    </w:lvl>
    <w:lvl w:ilvl="3">
      <w:start w:val="0"/>
      <w:numFmt w:val="bullet"/>
      <w:lvlText w:val="•"/>
      <w:lvlJc w:val="left"/>
      <w:pPr>
        <w:ind w:left="3286" w:hanging="360"/>
      </w:pPr>
      <w:rPr/>
    </w:lvl>
    <w:lvl w:ilvl="4">
      <w:start w:val="0"/>
      <w:numFmt w:val="bullet"/>
      <w:lvlText w:val="•"/>
      <w:lvlJc w:val="left"/>
      <w:pPr>
        <w:ind w:left="4108" w:hanging="360"/>
      </w:pPr>
      <w:rPr/>
    </w:lvl>
    <w:lvl w:ilvl="5">
      <w:start w:val="0"/>
      <w:numFmt w:val="bullet"/>
      <w:lvlText w:val="•"/>
      <w:lvlJc w:val="left"/>
      <w:pPr>
        <w:ind w:left="4930" w:hanging="360"/>
      </w:pPr>
      <w:rPr/>
    </w:lvl>
    <w:lvl w:ilvl="6">
      <w:start w:val="0"/>
      <w:numFmt w:val="bullet"/>
      <w:lvlText w:val="•"/>
      <w:lvlJc w:val="left"/>
      <w:pPr>
        <w:ind w:left="5752" w:hanging="360"/>
      </w:pPr>
      <w:rPr/>
    </w:lvl>
    <w:lvl w:ilvl="7">
      <w:start w:val="0"/>
      <w:numFmt w:val="bullet"/>
      <w:lvlText w:val="•"/>
      <w:lvlJc w:val="left"/>
      <w:pPr>
        <w:ind w:left="6574" w:hanging="360"/>
      </w:pPr>
      <w:rPr/>
    </w:lvl>
    <w:lvl w:ilvl="8">
      <w:start w:val="0"/>
      <w:numFmt w:val="bullet"/>
      <w:lvlText w:val="•"/>
      <w:lvlJc w:val="left"/>
      <w:pPr>
        <w:ind w:left="7396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●"/>
      <w:lvlJc w:val="left"/>
      <w:pPr>
        <w:ind w:left="154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373" w:hanging="360"/>
      </w:pPr>
      <w:rPr/>
    </w:lvl>
    <w:lvl w:ilvl="3">
      <w:start w:val="0"/>
      <w:numFmt w:val="bullet"/>
      <w:lvlText w:val="•"/>
      <w:lvlJc w:val="left"/>
      <w:pPr>
        <w:ind w:left="3206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73" w:hanging="360"/>
      </w:pPr>
      <w:rPr/>
    </w:lvl>
    <w:lvl w:ilvl="6">
      <w:start w:val="0"/>
      <w:numFmt w:val="bullet"/>
      <w:lvlText w:val="•"/>
      <w:lvlJc w:val="left"/>
      <w:pPr>
        <w:ind w:left="5706" w:hanging="360"/>
      </w:pPr>
      <w:rPr/>
    </w:lvl>
    <w:lvl w:ilvl="7">
      <w:start w:val="0"/>
      <w:numFmt w:val="bullet"/>
      <w:lvlText w:val="•"/>
      <w:lvlJc w:val="left"/>
      <w:pPr>
        <w:ind w:left="6540" w:hanging="360"/>
      </w:pPr>
      <w:rPr/>
    </w:lvl>
    <w:lvl w:ilvl="8">
      <w:start w:val="0"/>
      <w:numFmt w:val="bullet"/>
      <w:lvlText w:val="•"/>
      <w:lvlJc w:val="left"/>
      <w:pPr>
        <w:ind w:left="7373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822" w:hanging="360"/>
      </w:pPr>
      <w:rPr>
        <w:rFonts w:ascii="Trebuchet MS" w:cs="Trebuchet MS" w:eastAsia="Trebuchet MS" w:hAnsi="Trebuchet MS"/>
        <w:sz w:val="22"/>
        <w:szCs w:val="22"/>
      </w:rPr>
    </w:lvl>
    <w:lvl w:ilvl="1">
      <w:start w:val="0"/>
      <w:numFmt w:val="bullet"/>
      <w:lvlText w:val="•"/>
      <w:lvlJc w:val="left"/>
      <w:pPr>
        <w:ind w:left="1642" w:hanging="360"/>
      </w:pPr>
      <w:rPr/>
    </w:lvl>
    <w:lvl w:ilvl="2">
      <w:start w:val="0"/>
      <w:numFmt w:val="bullet"/>
      <w:lvlText w:val="•"/>
      <w:lvlJc w:val="left"/>
      <w:pPr>
        <w:ind w:left="2464" w:hanging="360"/>
      </w:pPr>
      <w:rPr/>
    </w:lvl>
    <w:lvl w:ilvl="3">
      <w:start w:val="0"/>
      <w:numFmt w:val="bullet"/>
      <w:lvlText w:val="•"/>
      <w:lvlJc w:val="left"/>
      <w:pPr>
        <w:ind w:left="3286" w:hanging="360"/>
      </w:pPr>
      <w:rPr/>
    </w:lvl>
    <w:lvl w:ilvl="4">
      <w:start w:val="0"/>
      <w:numFmt w:val="bullet"/>
      <w:lvlText w:val="•"/>
      <w:lvlJc w:val="left"/>
      <w:pPr>
        <w:ind w:left="4108" w:hanging="360"/>
      </w:pPr>
      <w:rPr/>
    </w:lvl>
    <w:lvl w:ilvl="5">
      <w:start w:val="0"/>
      <w:numFmt w:val="bullet"/>
      <w:lvlText w:val="•"/>
      <w:lvlJc w:val="left"/>
      <w:pPr>
        <w:ind w:left="4930" w:hanging="360"/>
      </w:pPr>
      <w:rPr/>
    </w:lvl>
    <w:lvl w:ilvl="6">
      <w:start w:val="0"/>
      <w:numFmt w:val="bullet"/>
      <w:lvlText w:val="•"/>
      <w:lvlJc w:val="left"/>
      <w:pPr>
        <w:ind w:left="5752" w:hanging="360"/>
      </w:pPr>
      <w:rPr/>
    </w:lvl>
    <w:lvl w:ilvl="7">
      <w:start w:val="0"/>
      <w:numFmt w:val="bullet"/>
      <w:lvlText w:val="•"/>
      <w:lvlJc w:val="left"/>
      <w:pPr>
        <w:ind w:left="6574" w:hanging="360"/>
      </w:pPr>
      <w:rPr/>
    </w:lvl>
    <w:lvl w:ilvl="8">
      <w:start w:val="0"/>
      <w:numFmt w:val="bullet"/>
      <w:lvlText w:val="•"/>
      <w:lvlJc w:val="left"/>
      <w:pPr>
        <w:ind w:left="7396" w:hanging="360"/>
      </w:pPr>
      <w:rPr/>
    </w:lvl>
  </w:abstractNum>
  <w:abstractNum w:abstractNumId="16">
    <w:lvl w:ilvl="0">
      <w:start w:val="0"/>
      <w:numFmt w:val="bullet"/>
      <w:lvlText w:val="●"/>
      <w:lvlJc w:val="left"/>
      <w:pPr>
        <w:ind w:left="822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642" w:hanging="360"/>
      </w:pPr>
      <w:rPr/>
    </w:lvl>
    <w:lvl w:ilvl="2">
      <w:start w:val="0"/>
      <w:numFmt w:val="bullet"/>
      <w:lvlText w:val="•"/>
      <w:lvlJc w:val="left"/>
      <w:pPr>
        <w:ind w:left="2464" w:hanging="360"/>
      </w:pPr>
      <w:rPr/>
    </w:lvl>
    <w:lvl w:ilvl="3">
      <w:start w:val="0"/>
      <w:numFmt w:val="bullet"/>
      <w:lvlText w:val="•"/>
      <w:lvlJc w:val="left"/>
      <w:pPr>
        <w:ind w:left="3286" w:hanging="360"/>
      </w:pPr>
      <w:rPr/>
    </w:lvl>
    <w:lvl w:ilvl="4">
      <w:start w:val="0"/>
      <w:numFmt w:val="bullet"/>
      <w:lvlText w:val="•"/>
      <w:lvlJc w:val="left"/>
      <w:pPr>
        <w:ind w:left="4108" w:hanging="360"/>
      </w:pPr>
      <w:rPr/>
    </w:lvl>
    <w:lvl w:ilvl="5">
      <w:start w:val="0"/>
      <w:numFmt w:val="bullet"/>
      <w:lvlText w:val="•"/>
      <w:lvlJc w:val="left"/>
      <w:pPr>
        <w:ind w:left="4930" w:hanging="360"/>
      </w:pPr>
      <w:rPr/>
    </w:lvl>
    <w:lvl w:ilvl="6">
      <w:start w:val="0"/>
      <w:numFmt w:val="bullet"/>
      <w:lvlText w:val="•"/>
      <w:lvlJc w:val="left"/>
      <w:pPr>
        <w:ind w:left="5752" w:hanging="360"/>
      </w:pPr>
      <w:rPr/>
    </w:lvl>
    <w:lvl w:ilvl="7">
      <w:start w:val="0"/>
      <w:numFmt w:val="bullet"/>
      <w:lvlText w:val="•"/>
      <w:lvlJc w:val="left"/>
      <w:pPr>
        <w:ind w:left="6574" w:hanging="360"/>
      </w:pPr>
      <w:rPr/>
    </w:lvl>
    <w:lvl w:ilvl="8">
      <w:start w:val="0"/>
      <w:numFmt w:val="bullet"/>
      <w:lvlText w:val="•"/>
      <w:lvlJc w:val="left"/>
      <w:pPr>
        <w:ind w:left="739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6" w:lineRule="auto"/>
      <w:ind w:left="102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157" w:lineRule="auto"/>
      <w:ind w:left="822" w:hanging="361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uiPriority w:val="1"/>
    <w:qFormat w:val="1"/>
    <w:pPr/>
    <w:rPr>
      <w:rFonts w:ascii="Trebuchet MS" w:cs="Trebuchet MS" w:eastAsia="Trebuchet MS" w:hAnsi="Trebuchet MS"/>
      <w:lang w:bidi="ar-SA" w:eastAsia="en-US" w:val="es-ES"/>
    </w:rPr>
  </w:style>
  <w:style w:type="table" w:styleId="style4099" w:customStyle="1">
    <w:name w:val="Table Normal"/>
    <w:next w:val="style4099"/>
    <w:uiPriority w:val="2"/>
    <w:qFormat w:val="1"/>
    <w:pPr/>
    <w:rPr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  <w:tcPr>
      <w:tcBorders/>
    </w:tcPr>
  </w:style>
  <w:style w:type="paragraph" w:styleId="style4101" w:customStyle="1">
    <w:name w:val="Heading 1"/>
    <w:basedOn w:val="style0"/>
    <w:next w:val="style4101"/>
    <w:uiPriority w:val="1"/>
    <w:qFormat w:val="1"/>
    <w:pPr>
      <w:spacing w:before="76"/>
      <w:ind w:left="102"/>
      <w:outlineLvl w:val="1"/>
    </w:pPr>
    <w:rPr>
      <w:rFonts w:ascii="Trebuchet MS" w:cs="Trebuchet MS" w:eastAsia="Trebuchet MS" w:hAnsi="Trebuchet MS"/>
      <w:sz w:val="32"/>
      <w:szCs w:val="32"/>
      <w:lang w:bidi="ar-SA" w:eastAsia="en-US" w:val="es-ES"/>
    </w:rPr>
  </w:style>
  <w:style w:type="paragraph" w:styleId="style4102" w:customStyle="1">
    <w:name w:val="Heading 2"/>
    <w:basedOn w:val="style0"/>
    <w:next w:val="style4102"/>
    <w:uiPriority w:val="1"/>
    <w:qFormat w:val="1"/>
    <w:pPr>
      <w:spacing w:before="157"/>
      <w:ind w:left="822" w:hanging="361"/>
      <w:outlineLvl w:val="2"/>
    </w:pPr>
    <w:rPr>
      <w:rFonts w:ascii="Trebuchet MS" w:cs="Trebuchet MS" w:eastAsia="Trebuchet MS" w:hAnsi="Trebuchet MS"/>
      <w:b w:val="1"/>
      <w:bCs w:val="1"/>
      <w:sz w:val="22"/>
      <w:szCs w:val="22"/>
      <w:lang w:bidi="ar-SA" w:eastAsia="en-US" w:val="es-ES"/>
    </w:rPr>
  </w:style>
  <w:style w:type="paragraph" w:styleId="style3">
    <w:name w:val="heading 3"/>
    <w:basedOn w:val="style0"/>
    <w:next w:val="style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paragraph" w:styleId="style4100" w:customStyle="1">
    <w:name w:val="TOC 1"/>
    <w:basedOn w:val="style0"/>
    <w:next w:val="style4100"/>
    <w:uiPriority w:val="1"/>
    <w:qFormat w:val="1"/>
    <w:pPr>
      <w:spacing w:before="133"/>
      <w:ind w:left="322"/>
    </w:pPr>
    <w:rPr>
      <w:rFonts w:ascii="Trebuchet MS" w:cs="Trebuchet MS" w:eastAsia="Trebuchet MS" w:hAnsi="Trebuchet MS"/>
      <w:sz w:val="22"/>
      <w:szCs w:val="22"/>
      <w:lang w:bidi="ar-SA" w:eastAsia="en-US" w:val="es-ES"/>
    </w:rPr>
  </w:style>
  <w:style w:type="paragraph" w:styleId="style66">
    <w:name w:val="Body Text"/>
    <w:basedOn w:val="style0"/>
    <w:next w:val="style66"/>
    <w:uiPriority w:val="1"/>
    <w:qFormat w:val="1"/>
    <w:pPr>
      <w:ind w:left="1542" w:hanging="360"/>
    </w:pPr>
    <w:rPr>
      <w:rFonts w:ascii="Trebuchet MS" w:cs="Trebuchet MS" w:eastAsia="Trebuchet MS" w:hAnsi="Trebuchet MS"/>
      <w:sz w:val="22"/>
      <w:szCs w:val="22"/>
      <w:lang w:bidi="ar-SA" w:eastAsia="en-US" w:val="es-ES"/>
    </w:rPr>
  </w:style>
  <w:style w:type="paragraph" w:styleId="style179">
    <w:name w:val="List Paragraph"/>
    <w:basedOn w:val="style0"/>
    <w:next w:val="style179"/>
    <w:uiPriority w:val="1"/>
    <w:qFormat w:val="1"/>
    <w:pPr>
      <w:spacing w:before="196"/>
      <w:ind w:left="1542" w:hanging="361"/>
    </w:pPr>
    <w:rPr>
      <w:rFonts w:ascii="Trebuchet MS" w:cs="Trebuchet MS" w:eastAsia="Trebuchet MS" w:hAnsi="Trebuchet MS"/>
      <w:lang w:bidi="ar-SA" w:eastAsia="en-US" w:val="es-ES"/>
    </w:rPr>
  </w:style>
  <w:style w:type="paragraph" w:styleId="style4103" w:customStyle="1">
    <w:name w:val="Table Paragraph"/>
    <w:basedOn w:val="style0"/>
    <w:next w:val="style4103"/>
    <w:uiPriority w:val="1"/>
    <w:qFormat w:val="1"/>
    <w:pPr/>
    <w:rPr>
      <w:lang w:bidi="ar-SA" w:eastAsia="en-US" w:val="es-ES"/>
    </w:rPr>
  </w:style>
  <w:style w:type="paragraph" w:styleId="style74">
    <w:name w:val="Subtitle"/>
    <w:basedOn w:val="style0"/>
    <w:next w:val="style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sWmvT2Rk2mVMvodn6CKQTDF6SQ==">CgMxLjAyCGguZ2pkZ3hzMgloLjMwajB6bGwyCWguMWZvYjl0ZTIJaC4zem55c2g3MgloLjJldDkycDAyCGgudHlqY3d0MgloLjNkeTZ2a20yCWguMXQzaDVzZjIJaC40ZDM0b2c4MgloLjJzOGV5bzEyCWguMTdkcDh2dTIJaC4zcmRjcmpuMgloLjI2aW4xcmcyDWguOXkybnRmcGF4dGgyCGgubG54Yno5MgloLjM1bmt1bjIyCWguMWtzdjR1djIJaC40NHNpbmlvMg5oLnJ1dWI1dHBpZjhrcDgAciExVEdJbEJIX1dST3Y1YnQ0dmRnclNOanBHTWdhdmRic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2024-06-09T17:38:10Z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2024-06-06T00:00:00Z</vt:lpwstr>
  </property>
  <property fmtid="{D5CDD505-2E9C-101B-9397-08002B2CF9AE}" pid="3" name="ICV">
    <vt:lpwstr>6b6b58e71a404e1cb041b92dc009623e</vt:lpwstr>
  </property>
</Properties>
</file>