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F1EB" w14:textId="77777777" w:rsidR="000D66E6" w:rsidRDefault="00000000">
      <w:pPr>
        <w:pBdr>
          <w:bottom w:val="single" w:sz="8" w:space="6" w:color="0D9488"/>
        </w:pBdr>
        <w:spacing w:after="80"/>
      </w:pPr>
      <w:r>
        <w:rPr>
          <w:b/>
          <w:bCs/>
          <w:color w:val="0A2342"/>
          <w:sz w:val="52"/>
          <w:szCs w:val="52"/>
        </w:rPr>
        <w:t>Notebook 1 — Esplorazione Dataset</w:t>
      </w:r>
    </w:p>
    <w:p w14:paraId="5E74AF84" w14:textId="77777777" w:rsidR="000D66E6" w:rsidRDefault="00000000">
      <w:pPr>
        <w:spacing w:after="240"/>
      </w:pPr>
      <w:r>
        <w:rPr>
          <w:i/>
          <w:iCs/>
          <w:sz w:val="24"/>
          <w:szCs w:val="24"/>
        </w:rPr>
        <w:t>Medaglie olimpiche estive e indicatori socioeconomici (1964–2020)</w:t>
      </w:r>
    </w:p>
    <w:p w14:paraId="3D7E5191" w14:textId="77777777" w:rsidR="000D66E6" w:rsidRDefault="00000000">
      <w:pPr>
        <w:pBdr>
          <w:left w:val="single" w:sz="12" w:space="12" w:color="0D9488"/>
        </w:pBdr>
        <w:spacing w:after="200"/>
        <w:ind w:left="240"/>
      </w:pPr>
      <w:r>
        <w:rPr>
          <w:sz w:val="24"/>
          <w:szCs w:val="24"/>
        </w:rPr>
        <w:t>In questo primo notebook esploriamo il dataset olimpico, gestiamo i dati mancanti e cerchiamo di capire se e quanto lo sviluppo economico di un paese spiega il suo successo alle Olimpiadi estive.</w:t>
      </w:r>
    </w:p>
    <w:p w14:paraId="320BEFC2" w14:textId="77777777" w:rsidR="000D66E6" w:rsidRDefault="000D66E6">
      <w:pPr>
        <w:pBdr>
          <w:bottom w:val="single" w:sz="4" w:space="4" w:color="CBD5E1"/>
        </w:pBdr>
        <w:spacing w:after="200"/>
      </w:pPr>
    </w:p>
    <w:p w14:paraId="0EF9B547" w14:textId="77777777" w:rsidR="000D66E6" w:rsidRDefault="00000000">
      <w:pPr>
        <w:pStyle w:val="Titolo1"/>
        <w:pBdr>
          <w:bottom w:val="single" w:sz="6" w:space="4" w:color="0D9488"/>
        </w:pBdr>
      </w:pPr>
      <w:r>
        <w:t>1. Il Dataset</w:t>
      </w:r>
    </w:p>
    <w:p w14:paraId="1CAC296E" w14:textId="77777777" w:rsidR="000D66E6" w:rsidRDefault="00000000">
      <w:pPr>
        <w:spacing w:after="120"/>
      </w:pPr>
      <w:r>
        <w:t xml:space="preserve">Il dataset </w:t>
      </w:r>
      <w:r>
        <w:rPr>
          <w:b/>
          <w:bCs/>
        </w:rPr>
        <w:t>olympic_medals_clean.csv</w:t>
      </w:r>
      <w:r>
        <w:t xml:space="preserve"> contiene </w:t>
      </w:r>
      <w:r>
        <w:rPr>
          <w:b/>
          <w:bCs/>
          <w:color w:val="0A2342"/>
        </w:rPr>
        <w:t>6.513 righe</w:t>
      </w:r>
      <w:r>
        <w:t xml:space="preserve"> (una per paese per edizione olimpica) e </w:t>
      </w:r>
      <w:r>
        <w:rPr>
          <w:b/>
          <w:bCs/>
          <w:color w:val="0A2342"/>
        </w:rPr>
        <w:t>40 colonne</w:t>
      </w:r>
      <w:r>
        <w:t>: medaglie vinte + 29 indicatori World Bank.</w:t>
      </w:r>
    </w:p>
    <w:p w14:paraId="13BE2320" w14:textId="77777777" w:rsidR="000D66E6" w:rsidRDefault="00000000">
      <w:pPr>
        <w:spacing w:after="120"/>
      </w:pPr>
      <w:r>
        <w:t xml:space="preserve">È stato prodotto dopo aver risolto un </w:t>
      </w:r>
      <w:r>
        <w:rPr>
          <w:b/>
          <w:bCs/>
          <w:color w:val="DC2626"/>
        </w:rPr>
        <w:t>bug di join</w:t>
      </w:r>
      <w:r>
        <w:t xml:space="preserve">: 226 coppie paese-edizione avevano dati scissi su righe separate. Dopo la correzione: zero duplicati,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gold</w:t>
      </w:r>
      <w:proofErr w:type="spellEnd"/>
      <w:r>
        <w:t xml:space="preserve"> + silver + </w:t>
      </w:r>
      <w:proofErr w:type="spellStart"/>
      <w:r>
        <w:t>bronze</w:t>
      </w:r>
      <w:proofErr w:type="spellEnd"/>
      <w:r>
        <w:t xml:space="preserve"> sempre verificato.</w:t>
      </w:r>
    </w:p>
    <w:p w14:paraId="00564504" w14:textId="77777777" w:rsidR="000D66E6" w:rsidRDefault="00000000">
      <w:pPr>
        <w:pStyle w:val="Titolo3"/>
      </w:pPr>
      <w:r>
        <w:t>Dati mancanti per variabile</w:t>
      </w:r>
    </w:p>
    <w:p w14:paraId="08A25B63" w14:textId="77777777" w:rsidR="000D66E6" w:rsidRDefault="00000000">
      <w:pPr>
        <w:spacing w:after="120"/>
      </w:pPr>
      <w:r>
        <w:t>Le variabili World Bank non coprono tutti i paesi e tutti gli anni. Abbiamo usato solo le variabili con meno del 30% di dati mancanti.</w:t>
      </w:r>
    </w:p>
    <w:p w14:paraId="57988988" w14:textId="77777777" w:rsidR="000D66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0F494FA" wp14:editId="307A1301">
            <wp:extent cx="6069600" cy="2847600"/>
            <wp:effectExtent l="0" t="0" r="762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00D7" w14:textId="77777777" w:rsidR="000D66E6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Dati mancanti per variabile — verde: affidabili | arancione: cautela | rosso: </w:t>
      </w:r>
      <w:proofErr w:type="gramStart"/>
      <w:r>
        <w:rPr>
          <w:i/>
          <w:iCs/>
          <w:color w:val="64748B"/>
          <w:sz w:val="18"/>
          <w:szCs w:val="18"/>
        </w:rPr>
        <w:t>escluse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6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7FE9E582" w14:textId="77777777" w:rsidR="000D66E6" w:rsidRDefault="000D66E6">
      <w:pPr>
        <w:pBdr>
          <w:bottom w:val="single" w:sz="4" w:space="4" w:color="CBD5E1"/>
        </w:pBdr>
        <w:spacing w:after="200"/>
      </w:pPr>
    </w:p>
    <w:p w14:paraId="4B16AF47" w14:textId="77777777" w:rsidR="000D66E6" w:rsidRDefault="00000000">
      <w:pPr>
        <w:pStyle w:val="Titolo1"/>
        <w:pBdr>
          <w:bottom w:val="single" w:sz="6" w:space="4" w:color="0D9488"/>
        </w:pBdr>
      </w:pPr>
      <w:r>
        <w:t>2. PIL totale vs Medaglie</w:t>
      </w:r>
    </w:p>
    <w:p w14:paraId="404F04CB" w14:textId="77777777" w:rsidR="000D66E6" w:rsidRDefault="00000000">
      <w:pPr>
        <w:spacing w:after="120"/>
      </w:pPr>
      <w:r>
        <w:rPr>
          <w:b/>
          <w:bCs/>
          <w:color w:val="0A2342"/>
        </w:rPr>
        <w:t xml:space="preserve">Domanda: </w:t>
      </w:r>
      <w:r>
        <w:t>i paesi più ricchi vincono più medaglie?</w:t>
      </w:r>
    </w:p>
    <w:p w14:paraId="3277BCF5" w14:textId="77777777" w:rsidR="000D66E6" w:rsidRDefault="00000000">
      <w:pPr>
        <w:spacing w:after="120"/>
      </w:pPr>
      <w:r>
        <w:t xml:space="preserve">Il PIL </w:t>
      </w:r>
      <w:r>
        <w:rPr>
          <w:b/>
          <w:bCs/>
          <w:color w:val="0A2342"/>
        </w:rPr>
        <w:t>totale</w:t>
      </w:r>
      <w:r>
        <w:t xml:space="preserve"> è il predittore più forte con </w:t>
      </w:r>
      <w:r>
        <w:rPr>
          <w:b/>
          <w:bCs/>
          <w:color w:val="0D9488"/>
        </w:rPr>
        <w:t>r = 0.68</w:t>
      </w:r>
      <w:r>
        <w:t>, molto più del PIL pro capite (r = 0.24). Conta la massa di risorse del sistema-paese, non quanto è ricco ogni cittadino.</w:t>
      </w:r>
    </w:p>
    <w:p w14:paraId="3698DB58" w14:textId="77777777" w:rsidR="000D66E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C35A725" wp14:editId="5637D644">
            <wp:extent cx="6069600" cy="3034800"/>
            <wp:effectExtent l="0" t="0" r="7620" b="0"/>
            <wp:docPr id="636452793" name="Immagine 636452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30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9EBB" w14:textId="77777777" w:rsidR="000D66E6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PIL totale (log) vs Medaglie — </w:t>
      </w:r>
      <w:proofErr w:type="spellStart"/>
      <w:r>
        <w:rPr>
          <w:i/>
          <w:iCs/>
          <w:color w:val="64748B"/>
          <w:sz w:val="18"/>
          <w:szCs w:val="18"/>
        </w:rPr>
        <w:t>scatter</w:t>
      </w:r>
      <w:proofErr w:type="spellEnd"/>
      <w:r>
        <w:rPr>
          <w:i/>
          <w:iCs/>
          <w:color w:val="64748B"/>
          <w:sz w:val="18"/>
          <w:szCs w:val="18"/>
        </w:rPr>
        <w:t xml:space="preserve"> per decennio con regressione </w:t>
      </w:r>
      <w:proofErr w:type="gramStart"/>
      <w:r>
        <w:rPr>
          <w:i/>
          <w:iCs/>
          <w:color w:val="64748B"/>
          <w:sz w:val="18"/>
          <w:szCs w:val="18"/>
        </w:rPr>
        <w:t>OLS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8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D66E6" w14:paraId="37C407C4" w14:textId="77777777">
        <w:tc>
          <w:tcPr>
            <w:tcW w:w="9200" w:type="dxa"/>
            <w:tcBorders>
              <w:left w:val="single" w:sz="18" w:space="0" w:color="1A6B9A"/>
            </w:tcBorders>
            <w:shd w:val="clear" w:color="auto" w:fill="EBF4FD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E8D24A7" w14:textId="77777777" w:rsidR="000D66E6" w:rsidRDefault="00000000">
            <w:proofErr w:type="gramStart"/>
            <w:r>
              <w:rPr>
                <w:i/>
                <w:iCs/>
                <w:sz w:val="20"/>
                <w:szCs w:val="20"/>
              </w:rPr>
              <w:t>💡  Versione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interattiva sul sito: passa il mouse su un punto per vedere paese, anno e valori. Clicca sulla legenda per filtrare per decennio.</w:t>
            </w:r>
          </w:p>
        </w:tc>
      </w:tr>
    </w:tbl>
    <w:p w14:paraId="766AAFA9" w14:textId="77777777" w:rsidR="000D66E6" w:rsidRDefault="000D66E6">
      <w:pPr>
        <w:pBdr>
          <w:bottom w:val="single" w:sz="4" w:space="4" w:color="CBD5E1"/>
        </w:pBdr>
        <w:spacing w:after="200"/>
      </w:pPr>
    </w:p>
    <w:p w14:paraId="75E1CED7" w14:textId="77777777" w:rsidR="000D66E6" w:rsidRDefault="00000000">
      <w:pPr>
        <w:pStyle w:val="Titolo1"/>
        <w:pBdr>
          <w:bottom w:val="single" w:sz="6" w:space="4" w:color="0D9488"/>
        </w:pBdr>
      </w:pPr>
      <w:r>
        <w:t>3. Evoluzione storica</w:t>
      </w:r>
    </w:p>
    <w:p w14:paraId="72C91666" w14:textId="77777777" w:rsidR="000D66E6" w:rsidRDefault="00000000">
      <w:pPr>
        <w:spacing w:after="120"/>
      </w:pPr>
      <w:r>
        <w:t xml:space="preserve">Le medaglie assegnate sono quasi </w:t>
      </w:r>
      <w:r>
        <w:rPr>
          <w:b/>
          <w:bCs/>
          <w:color w:val="0A2342"/>
        </w:rPr>
        <w:t>raddoppiate</w:t>
      </w:r>
      <w:r>
        <w:t xml:space="preserve"> dal 1964 al 2020 (+114%): nuove discipline, parità di genere e più paesi partecipanti spiegano la crescita.</w:t>
      </w:r>
    </w:p>
    <w:p w14:paraId="276D307B" w14:textId="77777777" w:rsidR="000D66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49A4993" wp14:editId="3723E4CA">
            <wp:extent cx="6069600" cy="2466000"/>
            <wp:effectExtent l="0" t="0" r="7620" b="0"/>
            <wp:docPr id="293312042" name="Immagine 293312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24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A80A" w14:textId="77777777" w:rsidR="000D66E6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>Medaglie totali assegnate per edizione estiva (1964–2020</w:t>
      </w:r>
      <w:proofErr w:type="gramStart"/>
      <w:r>
        <w:rPr>
          <w:i/>
          <w:iCs/>
          <w:color w:val="64748B"/>
          <w:sz w:val="18"/>
          <w:szCs w:val="18"/>
        </w:rPr>
        <w:t>)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0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78E05ACD" w14:textId="77777777" w:rsidR="000D66E6" w:rsidRDefault="00000000">
      <w:pPr>
        <w:pStyle w:val="Titolo2"/>
      </w:pPr>
      <w:r>
        <w:t>Top 5 paesi storici</w:t>
      </w:r>
    </w:p>
    <w:p w14:paraId="52085C23" w14:textId="77777777" w:rsidR="000D66E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E6FBE5F" wp14:editId="770CFD69">
            <wp:extent cx="6069600" cy="3034800"/>
            <wp:effectExtent l="0" t="0" r="7620" b="0"/>
            <wp:docPr id="475582846" name="Immagine 47558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30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99B0" w14:textId="77777777" w:rsidR="000D66E6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Top 5 paesi storici — linee temporali con boicottaggi </w:t>
      </w:r>
      <w:proofErr w:type="gramStart"/>
      <w:r>
        <w:rPr>
          <w:i/>
          <w:iCs/>
          <w:color w:val="64748B"/>
          <w:sz w:val="18"/>
          <w:szCs w:val="18"/>
        </w:rPr>
        <w:t>evidenziati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2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D66E6" w14:paraId="7AB71B88" w14:textId="77777777">
        <w:tc>
          <w:tcPr>
            <w:tcW w:w="9200" w:type="dxa"/>
            <w:tcBorders>
              <w:left w:val="single" w:sz="18" w:space="0" w:color="1A6B9A"/>
            </w:tcBorders>
            <w:shd w:val="clear" w:color="auto" w:fill="EBF4FD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BEBA8C9" w14:textId="77777777" w:rsidR="000D66E6" w:rsidRDefault="00000000">
            <w:proofErr w:type="gramStart"/>
            <w:r>
              <w:rPr>
                <w:i/>
                <w:iCs/>
                <w:sz w:val="20"/>
                <w:szCs w:val="20"/>
              </w:rPr>
              <w:t>💡  I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picchi del 1980 (URSS 195 medaglie) e del 1984 (USA 174) riflettono i boicottaggi, non un vero salto di prestazione.</w:t>
            </w:r>
          </w:p>
        </w:tc>
      </w:tr>
    </w:tbl>
    <w:p w14:paraId="5DA81B8D" w14:textId="77777777" w:rsidR="000D66E6" w:rsidRDefault="000D66E6">
      <w:pPr>
        <w:pBdr>
          <w:bottom w:val="single" w:sz="4" w:space="4" w:color="CBD5E1"/>
        </w:pBdr>
        <w:spacing w:after="200"/>
      </w:pPr>
    </w:p>
    <w:p w14:paraId="1535E6D6" w14:textId="77777777" w:rsidR="000D66E6" w:rsidRDefault="00000000">
      <w:pPr>
        <w:pStyle w:val="Titolo1"/>
        <w:pBdr>
          <w:bottom w:val="single" w:sz="6" w:space="4" w:color="0D9488"/>
        </w:pBdr>
      </w:pPr>
      <w:r>
        <w:t>4. La classifica che ribalta tutto</w:t>
      </w:r>
    </w:p>
    <w:p w14:paraId="4FE567D3" w14:textId="77777777" w:rsidR="000D66E6" w:rsidRDefault="00000000">
      <w:pPr>
        <w:spacing w:after="120"/>
      </w:pPr>
      <w:r>
        <w:t xml:space="preserve">Normalizzando per la popolazione, USA, Cina e Russia </w:t>
      </w:r>
      <w:r>
        <w:rPr>
          <w:b/>
          <w:bCs/>
          <w:color w:val="DC2626"/>
        </w:rPr>
        <w:t>spariscono</w:t>
      </w:r>
      <w:r>
        <w:t xml:space="preserve"> dalla top 20. Emergono paesi piccoli con forte specializzazione in poche discipline.</w:t>
      </w:r>
    </w:p>
    <w:p w14:paraId="2ECCD974" w14:textId="77777777" w:rsidR="000D66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EC1CB2E" wp14:editId="486291CA">
            <wp:extent cx="6069600" cy="3225600"/>
            <wp:effectExtent l="0" t="0" r="7620" b="0"/>
            <wp:docPr id="788791497" name="Immagine 78879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FBC7" w14:textId="77777777" w:rsidR="000D66E6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>Top 20 paesi per medaglie per milione di abitanti (</w:t>
      </w:r>
      <w:proofErr w:type="gramStart"/>
      <w:r>
        <w:rPr>
          <w:i/>
          <w:iCs/>
          <w:color w:val="64748B"/>
          <w:sz w:val="18"/>
          <w:szCs w:val="18"/>
        </w:rPr>
        <w:t>estive)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4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50CDC374" w14:textId="77777777" w:rsidR="000D66E6" w:rsidRDefault="000D66E6">
      <w:pPr>
        <w:pBdr>
          <w:bottom w:val="single" w:sz="4" w:space="4" w:color="CBD5E1"/>
        </w:pBdr>
        <w:spacing w:after="200"/>
      </w:pPr>
    </w:p>
    <w:p w14:paraId="00D021E5" w14:textId="77777777" w:rsidR="000D66E6" w:rsidRDefault="00000000">
      <w:pPr>
        <w:pStyle w:val="Titolo1"/>
        <w:pBdr>
          <w:bottom w:val="single" w:sz="6" w:space="4" w:color="0D9488"/>
        </w:pBdr>
      </w:pPr>
      <w:r>
        <w:lastRenderedPageBreak/>
        <w:t>5. Focus Italia</w:t>
      </w:r>
    </w:p>
    <w:p w14:paraId="4BB0FF1F" w14:textId="77777777" w:rsidR="000D66E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D445F00" wp14:editId="2BFDDF08">
            <wp:extent cx="6069600" cy="2847600"/>
            <wp:effectExtent l="0" t="0" r="7620" b="0"/>
            <wp:docPr id="321710354" name="Immagine 321710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1331" w14:textId="77777777" w:rsidR="000D66E6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Italia: medaglie olimpiche vs PIL pro capite (1964–2020) — doppio asse </w:t>
      </w:r>
      <w:proofErr w:type="gramStart"/>
      <w:r>
        <w:rPr>
          <w:i/>
          <w:iCs/>
          <w:color w:val="64748B"/>
          <w:sz w:val="18"/>
          <w:szCs w:val="18"/>
        </w:rPr>
        <w:t>Y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6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62451651" w14:textId="77777777" w:rsidR="000D66E6" w:rsidRDefault="000D66E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0D66E6" w14:paraId="55B52084" w14:textId="77777777">
        <w:tc>
          <w:tcPr>
            <w:tcW w:w="46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760143" w14:textId="77777777" w:rsidR="000D66E6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Indicatore</w:t>
            </w:r>
          </w:p>
        </w:tc>
        <w:tc>
          <w:tcPr>
            <w:tcW w:w="46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1B2708" w14:textId="77777777" w:rsidR="000D66E6" w:rsidRDefault="0000000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0D66E6" w14:paraId="7E486B78" w14:textId="77777777"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AD5427" w14:textId="77777777" w:rsidR="000D66E6" w:rsidRDefault="00000000">
            <w:r>
              <w:rPr>
                <w:sz w:val="20"/>
                <w:szCs w:val="20"/>
              </w:rPr>
              <w:t>Medaglie totali (15 edizioni estive)</w:t>
            </w:r>
          </w:p>
        </w:tc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4821ABC" w14:textId="77777777" w:rsidR="000D66E6" w:rsidRDefault="00000000">
            <w:r>
              <w:rPr>
                <w:b/>
                <w:bCs/>
                <w:color w:val="0D9488"/>
                <w:sz w:val="20"/>
                <w:szCs w:val="20"/>
              </w:rPr>
              <w:t>378</w:t>
            </w:r>
          </w:p>
        </w:tc>
      </w:tr>
      <w:tr w:rsidR="000D66E6" w14:paraId="66EDD9E3" w14:textId="77777777"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4FDE3E" w14:textId="77777777" w:rsidR="000D66E6" w:rsidRDefault="00000000">
            <w:r>
              <w:rPr>
                <w:sz w:val="20"/>
                <w:szCs w:val="20"/>
              </w:rPr>
              <w:t>Media per edizione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0DCFE9" w14:textId="77777777" w:rsidR="000D66E6" w:rsidRDefault="00000000">
            <w:r>
              <w:rPr>
                <w:sz w:val="20"/>
                <w:szCs w:val="20"/>
              </w:rPr>
              <w:t>25.2 (range: 12–40)</w:t>
            </w:r>
          </w:p>
        </w:tc>
      </w:tr>
      <w:tr w:rsidR="000D66E6" w14:paraId="7A12A939" w14:textId="77777777"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CCB4CE" w14:textId="77777777" w:rsidR="000D66E6" w:rsidRDefault="00000000">
            <w:r>
              <w:rPr>
                <w:sz w:val="20"/>
                <w:szCs w:val="20"/>
              </w:rPr>
              <w:t>Edizione record</w:t>
            </w:r>
          </w:p>
        </w:tc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411D6D" w14:textId="77777777" w:rsidR="000D66E6" w:rsidRDefault="00000000">
            <w:r>
              <w:rPr>
                <w:b/>
                <w:bCs/>
                <w:color w:val="0D9488"/>
                <w:sz w:val="20"/>
                <w:szCs w:val="20"/>
              </w:rPr>
              <w:t>Tokyo 2020 — 40 medaglie</w:t>
            </w:r>
          </w:p>
        </w:tc>
      </w:tr>
      <w:tr w:rsidR="000D66E6" w14:paraId="7F719C7E" w14:textId="77777777"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F2EC9D" w14:textId="77777777" w:rsidR="000D66E6" w:rsidRDefault="00000000">
            <w:r>
              <w:rPr>
                <w:sz w:val="20"/>
                <w:szCs w:val="20"/>
              </w:rPr>
              <w:t>Correlazione medaglie/PIL pro capite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6C1515" w14:textId="77777777" w:rsidR="000D66E6" w:rsidRDefault="00000000">
            <w:r>
              <w:rPr>
                <w:sz w:val="20"/>
                <w:szCs w:val="20"/>
              </w:rPr>
              <w:t>r = 0.45</w:t>
            </w:r>
          </w:p>
        </w:tc>
      </w:tr>
    </w:tbl>
    <w:p w14:paraId="448D941F" w14:textId="77777777" w:rsidR="000D66E6" w:rsidRDefault="000D66E6">
      <w:pPr>
        <w:pBdr>
          <w:bottom w:val="single" w:sz="4" w:space="4" w:color="CBD5E1"/>
        </w:pBdr>
        <w:spacing w:after="200"/>
      </w:pPr>
    </w:p>
    <w:p w14:paraId="067836F7" w14:textId="77777777" w:rsidR="000D66E6" w:rsidRDefault="00000000">
      <w:pPr>
        <w:pStyle w:val="Titolo1"/>
        <w:pBdr>
          <w:bottom w:val="single" w:sz="6" w:space="4" w:color="0D9488"/>
        </w:pBdr>
      </w:pPr>
      <w:r>
        <w:t>Conclusioni</w:t>
      </w:r>
    </w:p>
    <w:p w14:paraId="4CE16311" w14:textId="77777777" w:rsidR="000D66E6" w:rsidRDefault="00000000">
      <w:pPr>
        <w:spacing w:after="120"/>
      </w:pPr>
      <w:r>
        <w:t xml:space="preserve">Il PIL totale è un buon predittore (r=0.68), ma è solo un </w:t>
      </w:r>
      <w:r>
        <w:rPr>
          <w:b/>
          <w:bCs/>
          <w:color w:val="0A2342"/>
        </w:rPr>
        <w:t>proxy</w:t>
      </w:r>
      <w:r>
        <w:t xml:space="preserve"> — non misura direttamente quanto un paese investe nello sport.</w:t>
      </w:r>
    </w:p>
    <w:p w14:paraId="7DA26BFF" w14:textId="77777777" w:rsidR="000D66E6" w:rsidRDefault="00000000">
      <w:pPr>
        <w:spacing w:after="120"/>
      </w:pPr>
      <w:r>
        <w:rPr>
          <w:b/>
          <w:bCs/>
          <w:color w:val="0A2342"/>
        </w:rPr>
        <w:t xml:space="preserve">Il limite principale: </w:t>
      </w:r>
      <w:r>
        <w:t>un paese può avere PIL alto e investire poco nello sport, o viceversa. Per rispondere alla vera domanda servono i dati reali di spesa sportiva élite per nazione.</w:t>
      </w:r>
    </w:p>
    <w:p w14:paraId="5B161A42" w14:textId="77777777" w:rsidR="000D66E6" w:rsidRDefault="000D66E6">
      <w:pPr>
        <w:spacing w:after="80"/>
      </w:pPr>
    </w:p>
    <w:p w14:paraId="79FA434B" w14:textId="77777777" w:rsidR="000D66E6" w:rsidRDefault="00000000">
      <w:pPr>
        <w:spacing w:after="80"/>
      </w:pPr>
      <w:hyperlink r:id="rId17" w:history="1">
        <w:proofErr w:type="gramStart"/>
        <w:r>
          <w:rPr>
            <w:b/>
            <w:bCs/>
            <w:color w:val="1A6B9A"/>
            <w:sz w:val="21"/>
            <w:szCs w:val="21"/>
            <w:u w:val="single"/>
          </w:rPr>
          <w:t>→  Notebook</w:t>
        </w:r>
        <w:proofErr w:type="gramEnd"/>
        <w:r>
          <w:rPr>
            <w:b/>
            <w:bCs/>
            <w:color w:val="1A6B9A"/>
            <w:sz w:val="21"/>
            <w:szCs w:val="21"/>
            <w:u w:val="single"/>
          </w:rPr>
          <w:t xml:space="preserve"> 2: Investimento Sportivo →</w:t>
        </w:r>
      </w:hyperlink>
    </w:p>
    <w:sectPr w:rsidR="000D66E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4CF5"/>
    <w:multiLevelType w:val="hybridMultilevel"/>
    <w:tmpl w:val="22789924"/>
    <w:lvl w:ilvl="0" w:tplc="5FDCF266">
      <w:start w:val="1"/>
      <w:numFmt w:val="bullet"/>
      <w:lvlText w:val="•"/>
      <w:lvlJc w:val="left"/>
      <w:pPr>
        <w:ind w:left="440" w:hanging="260"/>
      </w:pPr>
    </w:lvl>
    <w:lvl w:ilvl="1" w:tplc="F0C20CEA">
      <w:numFmt w:val="decimal"/>
      <w:lvlText w:val=""/>
      <w:lvlJc w:val="left"/>
    </w:lvl>
    <w:lvl w:ilvl="2" w:tplc="BA2E292C">
      <w:numFmt w:val="decimal"/>
      <w:lvlText w:val=""/>
      <w:lvlJc w:val="left"/>
    </w:lvl>
    <w:lvl w:ilvl="3" w:tplc="D5B06F2C">
      <w:numFmt w:val="decimal"/>
      <w:lvlText w:val=""/>
      <w:lvlJc w:val="left"/>
    </w:lvl>
    <w:lvl w:ilvl="4" w:tplc="58DEA102">
      <w:numFmt w:val="decimal"/>
      <w:lvlText w:val=""/>
      <w:lvlJc w:val="left"/>
    </w:lvl>
    <w:lvl w:ilvl="5" w:tplc="49E8C880">
      <w:numFmt w:val="decimal"/>
      <w:lvlText w:val=""/>
      <w:lvlJc w:val="left"/>
    </w:lvl>
    <w:lvl w:ilvl="6" w:tplc="4C4ECC6E">
      <w:numFmt w:val="decimal"/>
      <w:lvlText w:val=""/>
      <w:lvlJc w:val="left"/>
    </w:lvl>
    <w:lvl w:ilvl="7" w:tplc="4F224900">
      <w:numFmt w:val="decimal"/>
      <w:lvlText w:val=""/>
      <w:lvlJc w:val="left"/>
    </w:lvl>
    <w:lvl w:ilvl="8" w:tplc="0E50921A">
      <w:numFmt w:val="decimal"/>
      <w:lvlText w:val=""/>
      <w:lvlJc w:val="left"/>
    </w:lvl>
  </w:abstractNum>
  <w:abstractNum w:abstractNumId="1" w15:restartNumberingAfterBreak="0">
    <w:nsid w:val="60EC1877"/>
    <w:multiLevelType w:val="hybridMultilevel"/>
    <w:tmpl w:val="113EC860"/>
    <w:lvl w:ilvl="0" w:tplc="8548BC24">
      <w:start w:val="1"/>
      <w:numFmt w:val="bullet"/>
      <w:lvlText w:val="●"/>
      <w:lvlJc w:val="left"/>
      <w:pPr>
        <w:ind w:left="720" w:hanging="360"/>
      </w:pPr>
    </w:lvl>
    <w:lvl w:ilvl="1" w:tplc="3A24C2A2">
      <w:start w:val="1"/>
      <w:numFmt w:val="bullet"/>
      <w:lvlText w:val="○"/>
      <w:lvlJc w:val="left"/>
      <w:pPr>
        <w:ind w:left="1440" w:hanging="360"/>
      </w:pPr>
    </w:lvl>
    <w:lvl w:ilvl="2" w:tplc="33406B3C">
      <w:start w:val="1"/>
      <w:numFmt w:val="bullet"/>
      <w:lvlText w:val="■"/>
      <w:lvlJc w:val="left"/>
      <w:pPr>
        <w:ind w:left="2160" w:hanging="360"/>
      </w:pPr>
    </w:lvl>
    <w:lvl w:ilvl="3" w:tplc="422CED38">
      <w:start w:val="1"/>
      <w:numFmt w:val="bullet"/>
      <w:lvlText w:val="●"/>
      <w:lvlJc w:val="left"/>
      <w:pPr>
        <w:ind w:left="2880" w:hanging="360"/>
      </w:pPr>
    </w:lvl>
    <w:lvl w:ilvl="4" w:tplc="15A0143C">
      <w:start w:val="1"/>
      <w:numFmt w:val="bullet"/>
      <w:lvlText w:val="○"/>
      <w:lvlJc w:val="left"/>
      <w:pPr>
        <w:ind w:left="3600" w:hanging="360"/>
      </w:pPr>
    </w:lvl>
    <w:lvl w:ilvl="5" w:tplc="B32AE1F0">
      <w:start w:val="1"/>
      <w:numFmt w:val="bullet"/>
      <w:lvlText w:val="■"/>
      <w:lvlJc w:val="left"/>
      <w:pPr>
        <w:ind w:left="4320" w:hanging="360"/>
      </w:pPr>
    </w:lvl>
    <w:lvl w:ilvl="6" w:tplc="62E69EE8">
      <w:start w:val="1"/>
      <w:numFmt w:val="bullet"/>
      <w:lvlText w:val="●"/>
      <w:lvlJc w:val="left"/>
      <w:pPr>
        <w:ind w:left="5040" w:hanging="360"/>
      </w:pPr>
    </w:lvl>
    <w:lvl w:ilvl="7" w:tplc="A25AE9DA">
      <w:start w:val="1"/>
      <w:numFmt w:val="bullet"/>
      <w:lvlText w:val="●"/>
      <w:lvlJc w:val="left"/>
      <w:pPr>
        <w:ind w:left="5760" w:hanging="360"/>
      </w:pPr>
    </w:lvl>
    <w:lvl w:ilvl="8" w:tplc="1374C100">
      <w:start w:val="1"/>
      <w:numFmt w:val="bullet"/>
      <w:lvlText w:val="●"/>
      <w:lvlJc w:val="left"/>
      <w:pPr>
        <w:ind w:left="6480" w:hanging="360"/>
      </w:pPr>
    </w:lvl>
  </w:abstractNum>
  <w:num w:numId="1" w16cid:durableId="1086268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6E6"/>
    <w:rsid w:val="000D66E6"/>
    <w:rsid w:val="00955D1A"/>
    <w:rsid w:val="00D7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CD74F"/>
  <w15:docId w15:val="{94312E7B-5A6D-450F-9666-C3AAAD31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0A2342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00"/>
      <w:outlineLvl w:val="1"/>
    </w:pPr>
    <w:rPr>
      <w:b/>
      <w:bCs/>
      <w:color w:val="1A6B9A"/>
      <w:sz w:val="26"/>
      <w:szCs w:val="26"/>
    </w:rPr>
  </w:style>
  <w:style w:type="paragraph" w:styleId="Titolo3">
    <w:name w:val="heading 3"/>
    <w:uiPriority w:val="9"/>
    <w:unhideWhenUsed/>
    <w:qFormat/>
    <w:pPr>
      <w:spacing w:before="180" w:after="80"/>
      <w:outlineLvl w:val="2"/>
    </w:pPr>
    <w:rPr>
      <w:b/>
      <w:bCs/>
      <w:color w:val="0D948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o-gruppo.github.io/g0-2026-website/notebook1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tuo-gruppo.github.io/g0-2026-website/notebook1.html" TargetMode="External"/><Relationship Id="rId17" Type="http://schemas.openxmlformats.org/officeDocument/2006/relationships/hyperlink" Target="https://tuo-gruppo.github.io/g0-2026-website/notebook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tuo-gruppo.github.io/g0-2026-website/notebook1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uo-gruppo.github.io/g0-2026-website/notebook1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tuo-gruppo.github.io/g0-2026-website/notebook1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uo-gruppo.github.io/g0-2026-website/notebook1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Pascuzzi Giuseppe</cp:lastModifiedBy>
  <cp:revision>2</cp:revision>
  <dcterms:created xsi:type="dcterms:W3CDTF">2026-07-14T08:29:00Z</dcterms:created>
  <dcterms:modified xsi:type="dcterms:W3CDTF">2026-07-14T08:45:00Z</dcterms:modified>
</cp:coreProperties>
</file>