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30657" w14:textId="46F65E44" w:rsidR="009B309A" w:rsidRPr="00CF6908" w:rsidRDefault="007E48FE" w:rsidP="00CF6908">
      <w:pPr>
        <w:pStyle w:val="Default"/>
        <w:suppressAutoHyphens/>
        <w:spacing w:before="0" w:after="60" w:line="240" w:lineRule="auto"/>
        <w:jc w:val="center"/>
        <w:rPr>
          <w:rFonts w:ascii="Aptos" w:hAnsi="Aptos"/>
          <w:b/>
          <w:bCs/>
          <w:sz w:val="28"/>
          <w:szCs w:val="28"/>
        </w:rPr>
      </w:pPr>
      <w:r w:rsidRPr="00CF6908">
        <w:rPr>
          <w:rFonts w:ascii="Aptos" w:hAnsi="Aptos"/>
          <w:b/>
          <w:bCs/>
          <w:sz w:val="28"/>
          <w:szCs w:val="28"/>
        </w:rPr>
        <w:t>Ethical Impact Assessment (EIA) Template</w:t>
      </w:r>
    </w:p>
    <w:p w14:paraId="1A425CA3" w14:textId="2570B3BB" w:rsidR="00CF6908" w:rsidRPr="00CF6908" w:rsidRDefault="00CF6908" w:rsidP="00CF6908">
      <w:pPr>
        <w:pStyle w:val="Default"/>
        <w:suppressAutoHyphens/>
        <w:spacing w:before="0" w:after="60" w:line="240" w:lineRule="auto"/>
        <w:jc w:val="center"/>
        <w:rPr>
          <w:rFonts w:ascii="Aptos" w:eastAsia="Times Roman" w:hAnsi="Aptos" w:cs="Times Roman"/>
          <w:i/>
          <w:iCs/>
          <w:sz w:val="22"/>
          <w:szCs w:val="22"/>
        </w:rPr>
      </w:pPr>
      <w:r w:rsidRPr="00CF6908">
        <w:rPr>
          <w:rFonts w:ascii="Aptos" w:hAnsi="Aptos"/>
          <w:i/>
          <w:iCs/>
          <w:sz w:val="22"/>
          <w:szCs w:val="22"/>
        </w:rPr>
        <w:t>Use your EIA instructions and glossary to develop and fill out this template</w:t>
      </w:r>
      <w:r>
        <w:rPr>
          <w:rFonts w:ascii="Aptos" w:hAnsi="Aptos"/>
          <w:i/>
          <w:iCs/>
          <w:sz w:val="22"/>
          <w:szCs w:val="22"/>
        </w:rPr>
        <w:t>. This is one of your deliverables</w:t>
      </w:r>
    </w:p>
    <w:p w14:paraId="6B4712B7" w14:textId="741048C1" w:rsidR="009B309A" w:rsidRPr="00CF6908" w:rsidRDefault="007E48FE" w:rsidP="000C4305">
      <w:pPr>
        <w:pStyle w:val="Default"/>
        <w:suppressAutoHyphens/>
        <w:spacing w:after="60"/>
        <w:rPr>
          <w:rFonts w:ascii="Aptos" w:eastAsia="Times Roman" w:hAnsi="Aptos" w:cs="Times Roman"/>
          <w:b/>
          <w:bCs/>
          <w:sz w:val="22"/>
          <w:szCs w:val="22"/>
        </w:rPr>
      </w:pPr>
      <w:r w:rsidRPr="00CF6908">
        <w:rPr>
          <w:rFonts w:ascii="Aptos" w:hAnsi="Aptos"/>
          <w:b/>
          <w:bCs/>
          <w:sz w:val="22"/>
          <w:szCs w:val="22"/>
        </w:rPr>
        <w:t xml:space="preserve">Team Name: </w:t>
      </w:r>
      <w:r w:rsidR="000C4305" w:rsidRPr="000C4305">
        <w:rPr>
          <w:rFonts w:ascii="Aptos" w:hAnsi="Aptos"/>
          <w:sz w:val="22"/>
          <w:szCs w:val="22"/>
        </w:rPr>
        <w:t xml:space="preserve">Team 8 - </w:t>
      </w:r>
      <w:r w:rsidR="000C4305" w:rsidRPr="000C4305">
        <w:rPr>
          <w:rFonts w:ascii="Aptos" w:hAnsi="Aptos"/>
          <w:sz w:val="22"/>
          <w:szCs w:val="22"/>
        </w:rPr>
        <w:t>Luisa Gianuca</w:t>
      </w:r>
      <w:r w:rsidR="000C4305" w:rsidRPr="000C4305">
        <w:rPr>
          <w:rFonts w:ascii="Aptos" w:hAnsi="Aptos"/>
          <w:sz w:val="22"/>
          <w:szCs w:val="22"/>
        </w:rPr>
        <w:t xml:space="preserve">, </w:t>
      </w:r>
      <w:r w:rsidR="000C4305" w:rsidRPr="000C4305">
        <w:rPr>
          <w:rFonts w:ascii="Aptos" w:hAnsi="Aptos"/>
          <w:sz w:val="22"/>
          <w:szCs w:val="22"/>
        </w:rPr>
        <w:t>Wei Liu</w:t>
      </w:r>
      <w:r w:rsidR="000C4305" w:rsidRPr="000C4305">
        <w:rPr>
          <w:rFonts w:ascii="Aptos" w:hAnsi="Aptos"/>
          <w:sz w:val="22"/>
          <w:szCs w:val="22"/>
        </w:rPr>
        <w:t xml:space="preserve">, </w:t>
      </w:r>
      <w:r w:rsidR="000C4305" w:rsidRPr="000C4305">
        <w:rPr>
          <w:rFonts w:ascii="Aptos" w:hAnsi="Aptos"/>
          <w:sz w:val="22"/>
          <w:szCs w:val="22"/>
        </w:rPr>
        <w:t>Shih Min Shih</w:t>
      </w:r>
    </w:p>
    <w:p w14:paraId="20A5F1E4" w14:textId="7D593913" w:rsidR="009B309A" w:rsidRPr="000C4305" w:rsidRDefault="007E48FE" w:rsidP="00CF6908">
      <w:pPr>
        <w:pStyle w:val="Default"/>
        <w:suppressAutoHyphens/>
        <w:spacing w:before="0" w:after="60" w:line="240" w:lineRule="auto"/>
        <w:rPr>
          <w:rFonts w:ascii="Aptos" w:eastAsia="Times Roman" w:hAnsi="Aptos" w:cs="Times Roman"/>
          <w:b/>
          <w:bCs/>
          <w:sz w:val="22"/>
          <w:szCs w:val="22"/>
          <w:lang w:val="en-GB"/>
        </w:rPr>
      </w:pPr>
      <w:r w:rsidRPr="00CF6908">
        <w:rPr>
          <w:rFonts w:ascii="Aptos" w:hAnsi="Aptos"/>
          <w:b/>
          <w:bCs/>
          <w:sz w:val="22"/>
          <w:szCs w:val="22"/>
        </w:rPr>
        <w:t xml:space="preserve">Project Title: </w:t>
      </w:r>
      <w:r w:rsidR="000C4305" w:rsidRPr="000C4305">
        <w:rPr>
          <w:rFonts w:ascii="Aptos" w:hAnsi="Aptos"/>
          <w:sz w:val="22"/>
          <w:szCs w:val="22"/>
        </w:rPr>
        <w:t>Housing Justice: Tenant Rights and Resources Assistant</w:t>
      </w:r>
    </w:p>
    <w:p w14:paraId="193D719A"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653BD624" w14:textId="77777777" w:rsidR="009B309A" w:rsidRPr="00CF6908" w:rsidRDefault="007E48FE" w:rsidP="00CF6908">
      <w:pPr>
        <w:pStyle w:val="Heading1"/>
      </w:pPr>
      <w:r w:rsidRPr="00CF6908">
        <w:t>Section 1: Project Overview</w:t>
      </w:r>
    </w:p>
    <w:p w14:paraId="439321EF" w14:textId="5A1B5991" w:rsidR="009B309A" w:rsidRPr="00CF6908" w:rsidRDefault="007E48FE" w:rsidP="00CF6908">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 xml:space="preserve">Chatbot </w:t>
      </w:r>
      <w:r w:rsidRPr="00CF6908">
        <w:rPr>
          <w:rFonts w:ascii="Aptos" w:hAnsi="Aptos"/>
          <w:b/>
          <w:bCs/>
          <w:sz w:val="22"/>
          <w:szCs w:val="22"/>
        </w:rPr>
        <w:t>Objective:</w:t>
      </w:r>
      <w:r w:rsidR="00320DDC">
        <w:rPr>
          <w:rFonts w:ascii="Aptos" w:hAnsi="Aptos"/>
          <w:b/>
          <w:bCs/>
          <w:sz w:val="22"/>
          <w:szCs w:val="22"/>
        </w:rPr>
        <w:t xml:space="preserve"> </w:t>
      </w:r>
      <w:r w:rsidR="000C4305" w:rsidRPr="000C4305">
        <w:rPr>
          <w:rFonts w:ascii="Aptos" w:hAnsi="Aptos"/>
          <w:sz w:val="22"/>
          <w:szCs w:val="22"/>
        </w:rPr>
        <w:t>The objective of this chatbot is to empower tenants — particularly immigrants, low-income families, first-time renters, and elderly tenants — by providing accessible, simple, and neutral information about their housing rights and available resources. By offering clear guidance, easy-to-understand steps, and friendly support, the chatbot helps users navigate rental challenges safely and confidently, while ensuring they are aware of their protections and options without offering legal advice.</w:t>
      </w:r>
    </w:p>
    <w:p w14:paraId="7E899527" w14:textId="01F48D8E" w:rsidR="009B309A" w:rsidRPr="00CF6908" w:rsidRDefault="007E48FE" w:rsidP="00CF6908">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Ethical Intent:</w:t>
      </w:r>
      <w:r w:rsidR="000C4305">
        <w:rPr>
          <w:rFonts w:ascii="Aptos" w:hAnsi="Aptos"/>
          <w:b/>
          <w:bCs/>
          <w:sz w:val="22"/>
          <w:szCs w:val="22"/>
        </w:rPr>
        <w:t xml:space="preserve"> </w:t>
      </w:r>
      <w:r w:rsidR="000C4305" w:rsidRPr="000C4305">
        <w:rPr>
          <w:rFonts w:ascii="Aptos" w:hAnsi="Aptos"/>
          <w:sz w:val="22"/>
          <w:szCs w:val="22"/>
        </w:rPr>
        <w:t>This chatbot is built on a strong ethical foundation of protecting user privacy, promoting accessibility, ensuring neutrality, and respecting the dignity of all users. It never collects unnecessary personal information, does not train on user data, and deletes all shared information after each session. The chatbot uses simple, inclusive language to serve a diverse community, stays unbiased in tenant-landlord matters, and provides only trusted, verifiable information, empowering users through fairness, clarity, and informed choice.</w:t>
      </w:r>
    </w:p>
    <w:p w14:paraId="7F2BF65F"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5497886E" w14:textId="77777777" w:rsidR="009B309A" w:rsidRPr="00CF6908" w:rsidRDefault="007E48FE" w:rsidP="00CF6908">
      <w:pPr>
        <w:pStyle w:val="Heading1"/>
        <w:rPr>
          <w:rFonts w:eastAsia="Times Roman" w:cs="Times Roman"/>
        </w:rPr>
      </w:pPr>
      <w:r w:rsidRPr="00CF6908">
        <w:t>Section 2: Ethical Principles</w:t>
      </w:r>
    </w:p>
    <w:p w14:paraId="5459CFC8" w14:textId="77777777" w:rsidR="009B309A" w:rsidRPr="00CF6908" w:rsidRDefault="007E48FE" w:rsidP="00CF6908">
      <w:pPr>
        <w:pStyle w:val="Default"/>
        <w:suppressAutoHyphens/>
        <w:spacing w:before="0" w:after="60" w:line="240" w:lineRule="auto"/>
        <w:rPr>
          <w:rFonts w:ascii="Aptos" w:eastAsia="Times Roman" w:hAnsi="Aptos" w:cs="Times Roman"/>
          <w:sz w:val="22"/>
          <w:szCs w:val="22"/>
        </w:rPr>
      </w:pPr>
      <w:r w:rsidRPr="00CF6908">
        <w:rPr>
          <w:rFonts w:ascii="Aptos" w:hAnsi="Aptos"/>
          <w:sz w:val="22"/>
          <w:szCs w:val="22"/>
        </w:rPr>
        <w:t>Select and briefly describe how your chatbot aligns with each ethical principle:</w:t>
      </w:r>
    </w:p>
    <w:p w14:paraId="75AEFE27" w14:textId="4660DD8E" w:rsidR="000C4305" w:rsidRPr="000C4305" w:rsidRDefault="000C4305" w:rsidP="007047C7">
      <w:pPr>
        <w:pStyle w:val="Default"/>
        <w:numPr>
          <w:ilvl w:val="0"/>
          <w:numId w:val="3"/>
        </w:numPr>
        <w:suppressAutoHyphens/>
        <w:spacing w:after="60"/>
        <w:rPr>
          <w:rFonts w:ascii="Aptos" w:eastAsia="Times Roman" w:hAnsi="Aptos" w:cs="Times Roman"/>
          <w:sz w:val="22"/>
          <w:szCs w:val="22"/>
        </w:rPr>
      </w:pPr>
      <w:r w:rsidRPr="000C4305">
        <w:rPr>
          <w:rFonts w:ascii="Aptos" w:eastAsia="Times Roman" w:hAnsi="Aptos" w:cs="Times Roman"/>
          <w:b/>
          <w:bCs/>
          <w:sz w:val="22"/>
          <w:szCs w:val="22"/>
        </w:rPr>
        <w:t>Privacy:</w:t>
      </w:r>
      <w:r w:rsidRPr="000C4305">
        <w:rPr>
          <w:rFonts w:ascii="Aptos" w:eastAsia="Times Roman" w:hAnsi="Aptos" w:cs="Times Roman"/>
          <w:sz w:val="22"/>
          <w:szCs w:val="22"/>
        </w:rPr>
        <w:t xml:space="preserve"> </w:t>
      </w:r>
      <w:r w:rsidRPr="000C4305">
        <w:rPr>
          <w:rFonts w:ascii="Aptos" w:eastAsia="Times Roman" w:hAnsi="Aptos" w:cs="Times Roman"/>
          <w:sz w:val="22"/>
          <w:szCs w:val="22"/>
        </w:rPr>
        <w:t>The chatbot prioritizes user privacy by not storing, training on, or sharing any personal information. All user data is deleted after the chat ends, and users must agree to clear conditions before sharing any information.</w:t>
      </w:r>
    </w:p>
    <w:p w14:paraId="51DDF268" w14:textId="6EDB9243" w:rsidR="000C4305" w:rsidRPr="000C4305" w:rsidRDefault="000C4305" w:rsidP="00F367AD">
      <w:pPr>
        <w:pStyle w:val="Default"/>
        <w:numPr>
          <w:ilvl w:val="0"/>
          <w:numId w:val="3"/>
        </w:numPr>
        <w:suppressAutoHyphens/>
        <w:spacing w:after="60"/>
        <w:rPr>
          <w:rFonts w:ascii="Aptos" w:eastAsia="Times Roman" w:hAnsi="Aptos" w:cs="Times Roman"/>
          <w:sz w:val="22"/>
          <w:szCs w:val="22"/>
        </w:rPr>
      </w:pPr>
      <w:r w:rsidRPr="000C4305">
        <w:rPr>
          <w:rFonts w:ascii="Aptos" w:eastAsia="Times Roman" w:hAnsi="Aptos" w:cs="Times Roman"/>
          <w:b/>
          <w:bCs/>
          <w:sz w:val="22"/>
          <w:szCs w:val="22"/>
        </w:rPr>
        <w:t>Transparency:</w:t>
      </w:r>
      <w:r w:rsidRPr="000C4305">
        <w:rPr>
          <w:rFonts w:ascii="Aptos" w:eastAsia="Times Roman" w:hAnsi="Aptos" w:cs="Times Roman"/>
          <w:sz w:val="22"/>
          <w:szCs w:val="22"/>
        </w:rPr>
        <w:t xml:space="preserve"> </w:t>
      </w:r>
      <w:r w:rsidRPr="000C4305">
        <w:rPr>
          <w:rFonts w:ascii="Aptos" w:eastAsia="Times Roman" w:hAnsi="Aptos" w:cs="Times Roman"/>
          <w:sz w:val="22"/>
          <w:szCs w:val="22"/>
        </w:rPr>
        <w:t>It is disclosed at the beginning of the conversation that users are interacting with an AI-generated chatbot. The chatbot clearly explains its information sources, its limitations, and reminds users that it does not provide confidential or legal advice.</w:t>
      </w:r>
    </w:p>
    <w:p w14:paraId="27419A72" w14:textId="7C03E429" w:rsidR="000C4305" w:rsidRPr="000C4305" w:rsidRDefault="000C4305" w:rsidP="000B69E4">
      <w:pPr>
        <w:pStyle w:val="Default"/>
        <w:numPr>
          <w:ilvl w:val="0"/>
          <w:numId w:val="3"/>
        </w:numPr>
        <w:suppressAutoHyphens/>
        <w:spacing w:after="60"/>
        <w:rPr>
          <w:rFonts w:ascii="Aptos" w:eastAsia="Times Roman" w:hAnsi="Aptos" w:cs="Times Roman"/>
          <w:sz w:val="22"/>
          <w:szCs w:val="22"/>
        </w:rPr>
      </w:pPr>
      <w:r w:rsidRPr="000C4305">
        <w:rPr>
          <w:rFonts w:ascii="Aptos" w:eastAsia="Times Roman" w:hAnsi="Aptos" w:cs="Times Roman"/>
          <w:b/>
          <w:bCs/>
          <w:sz w:val="22"/>
          <w:szCs w:val="22"/>
        </w:rPr>
        <w:t>Accessibility:</w:t>
      </w:r>
      <w:r w:rsidRPr="000C4305">
        <w:rPr>
          <w:rFonts w:ascii="Aptos" w:eastAsia="Times Roman" w:hAnsi="Aptos" w:cs="Times Roman"/>
          <w:sz w:val="22"/>
          <w:szCs w:val="22"/>
        </w:rPr>
        <w:t xml:space="preserve"> </w:t>
      </w:r>
      <w:r w:rsidRPr="000C4305">
        <w:rPr>
          <w:rFonts w:ascii="Aptos" w:eastAsia="Times Roman" w:hAnsi="Aptos" w:cs="Times Roman"/>
          <w:sz w:val="22"/>
          <w:szCs w:val="22"/>
        </w:rPr>
        <w:t>The chatbot uses simple, clear language designed to be easily understood by non-native speakers, first-time renters, elderly tenants, and users with varying literacy levels. It supports language preferences at the start of the chat to improve accessibility for diverse users.</w:t>
      </w:r>
    </w:p>
    <w:p w14:paraId="05457073" w14:textId="5C12D094" w:rsidR="000C4305" w:rsidRPr="000C4305" w:rsidRDefault="000C4305" w:rsidP="0023308E">
      <w:pPr>
        <w:pStyle w:val="Default"/>
        <w:numPr>
          <w:ilvl w:val="0"/>
          <w:numId w:val="3"/>
        </w:numPr>
        <w:suppressAutoHyphens/>
        <w:spacing w:after="60"/>
        <w:rPr>
          <w:rFonts w:ascii="Aptos" w:eastAsia="Times Roman" w:hAnsi="Aptos" w:cs="Times Roman"/>
          <w:sz w:val="22"/>
          <w:szCs w:val="22"/>
        </w:rPr>
      </w:pPr>
      <w:r w:rsidRPr="000C4305">
        <w:rPr>
          <w:rFonts w:ascii="Aptos" w:eastAsia="Times Roman" w:hAnsi="Aptos" w:cs="Times Roman"/>
          <w:b/>
          <w:bCs/>
          <w:sz w:val="22"/>
          <w:szCs w:val="22"/>
        </w:rPr>
        <w:t>Neutrality and Fairness:</w:t>
      </w:r>
      <w:r w:rsidRPr="000C4305">
        <w:rPr>
          <w:rFonts w:ascii="Aptos" w:eastAsia="Times Roman" w:hAnsi="Aptos" w:cs="Times Roman"/>
          <w:sz w:val="22"/>
          <w:szCs w:val="22"/>
        </w:rPr>
        <w:t xml:space="preserve"> </w:t>
      </w:r>
      <w:r w:rsidRPr="000C4305">
        <w:rPr>
          <w:rFonts w:ascii="Aptos" w:eastAsia="Times Roman" w:hAnsi="Aptos" w:cs="Times Roman"/>
          <w:sz w:val="22"/>
          <w:szCs w:val="22"/>
        </w:rPr>
        <w:t>The chatbot remains neutral in all tenant-landlord matters, avoids bias, and uses inclusive, respectful language for every user. It offers information without taking sides or making legal judgments.</w:t>
      </w:r>
    </w:p>
    <w:p w14:paraId="673A0399" w14:textId="2D8A3A5D" w:rsidR="000C4305" w:rsidRPr="000C4305" w:rsidRDefault="000C4305" w:rsidP="00382B83">
      <w:pPr>
        <w:pStyle w:val="Default"/>
        <w:numPr>
          <w:ilvl w:val="0"/>
          <w:numId w:val="3"/>
        </w:numPr>
        <w:suppressAutoHyphens/>
        <w:spacing w:after="60"/>
        <w:rPr>
          <w:rFonts w:ascii="Aptos" w:eastAsia="Times Roman" w:hAnsi="Aptos" w:cs="Times Roman"/>
          <w:sz w:val="22"/>
          <w:szCs w:val="22"/>
        </w:rPr>
      </w:pPr>
      <w:r w:rsidRPr="000C4305">
        <w:rPr>
          <w:rFonts w:ascii="Aptos" w:eastAsia="Times Roman" w:hAnsi="Aptos" w:cs="Times Roman"/>
          <w:b/>
          <w:bCs/>
          <w:sz w:val="22"/>
          <w:szCs w:val="22"/>
        </w:rPr>
        <w:t>Accountability:</w:t>
      </w:r>
      <w:r w:rsidRPr="000C4305">
        <w:rPr>
          <w:rFonts w:ascii="Aptos" w:eastAsia="Times Roman" w:hAnsi="Aptos" w:cs="Times Roman"/>
          <w:sz w:val="22"/>
          <w:szCs w:val="22"/>
        </w:rPr>
        <w:t xml:space="preserve"> </w:t>
      </w:r>
      <w:r w:rsidRPr="000C4305">
        <w:rPr>
          <w:rFonts w:ascii="Aptos" w:eastAsia="Times Roman" w:hAnsi="Aptos" w:cs="Times Roman"/>
          <w:sz w:val="22"/>
          <w:szCs w:val="22"/>
        </w:rPr>
        <w:t>Users are informed about their right to provide feedback if they feel an answer is unfair, insensitive, or unhelpful. Any concerns reported through feedback are reviewed by the responsible organization to maintain ethical standards.</w:t>
      </w:r>
    </w:p>
    <w:p w14:paraId="3017FD12" w14:textId="0E5A6FB9" w:rsidR="000C4305" w:rsidRPr="000C4305" w:rsidRDefault="000C4305" w:rsidP="00CC1D2B">
      <w:pPr>
        <w:pStyle w:val="Default"/>
        <w:numPr>
          <w:ilvl w:val="0"/>
          <w:numId w:val="3"/>
        </w:numPr>
        <w:suppressAutoHyphens/>
        <w:spacing w:after="60"/>
        <w:rPr>
          <w:rFonts w:ascii="Aptos" w:eastAsia="Times Roman" w:hAnsi="Aptos" w:cs="Times Roman"/>
          <w:sz w:val="22"/>
          <w:szCs w:val="22"/>
        </w:rPr>
      </w:pPr>
      <w:r w:rsidRPr="000C4305">
        <w:rPr>
          <w:rFonts w:ascii="Aptos" w:eastAsia="Times Roman" w:hAnsi="Aptos" w:cs="Times Roman"/>
          <w:b/>
          <w:bCs/>
          <w:sz w:val="22"/>
          <w:szCs w:val="22"/>
        </w:rPr>
        <w:t>User Empowerment:</w:t>
      </w:r>
      <w:r w:rsidRPr="000C4305">
        <w:rPr>
          <w:rFonts w:ascii="Aptos" w:eastAsia="Times Roman" w:hAnsi="Aptos" w:cs="Times Roman"/>
          <w:sz w:val="22"/>
          <w:szCs w:val="22"/>
        </w:rPr>
        <w:t xml:space="preserve"> </w:t>
      </w:r>
      <w:r w:rsidRPr="000C4305">
        <w:rPr>
          <w:rFonts w:ascii="Aptos" w:eastAsia="Times Roman" w:hAnsi="Aptos" w:cs="Times Roman"/>
          <w:sz w:val="22"/>
          <w:szCs w:val="22"/>
        </w:rPr>
        <w:t>Rather than giving legal conclusions, the chatbot offers general information, helpful next steps, and encourages users to seek professional legal help when needed. It emphasizes user control, allowing users to start over, change the conversation mode, or exit at any time.</w:t>
      </w:r>
    </w:p>
    <w:p w14:paraId="1485141C" w14:textId="77777777" w:rsidR="009B309A" w:rsidRPr="00CF6908" w:rsidRDefault="009B309A" w:rsidP="000C4305">
      <w:pPr>
        <w:pStyle w:val="Default"/>
        <w:suppressAutoHyphens/>
        <w:spacing w:before="0" w:after="60" w:line="240" w:lineRule="auto"/>
        <w:ind w:left="720"/>
        <w:rPr>
          <w:rFonts w:ascii="Aptos" w:eastAsia="Times Roman" w:hAnsi="Aptos" w:cs="Times Roman"/>
          <w:sz w:val="22"/>
          <w:szCs w:val="22"/>
        </w:rPr>
      </w:pPr>
    </w:p>
    <w:p w14:paraId="50613197"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3BB84945" w14:textId="77777777" w:rsidR="009B309A" w:rsidRPr="00CF6908" w:rsidRDefault="007E48FE" w:rsidP="00CF6908">
      <w:pPr>
        <w:pStyle w:val="Heading1"/>
        <w:rPr>
          <w:rFonts w:eastAsia="Times Roman" w:cs="Times Roman"/>
        </w:rPr>
      </w:pPr>
      <w:r w:rsidRPr="00CF6908">
        <w:t xml:space="preserve"> Section 3: Stakeholder Analysis</w:t>
      </w:r>
    </w:p>
    <w:p w14:paraId="27DFA69F" w14:textId="0D8B65CC" w:rsidR="009B309A" w:rsidRPr="00CF6908" w:rsidRDefault="007E48FE" w:rsidP="00CF6908">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Key Stakeholders:</w:t>
      </w:r>
      <w:r w:rsidR="000C4305">
        <w:rPr>
          <w:rFonts w:ascii="Aptos" w:hAnsi="Aptos"/>
          <w:b/>
          <w:bCs/>
          <w:sz w:val="22"/>
          <w:szCs w:val="22"/>
        </w:rPr>
        <w:t xml:space="preserve"> </w:t>
      </w:r>
      <w:r w:rsidR="000C4305" w:rsidRPr="000C4305">
        <w:rPr>
          <w:rFonts w:ascii="Aptos" w:hAnsi="Aptos"/>
          <w:sz w:val="22"/>
          <w:szCs w:val="22"/>
        </w:rPr>
        <w:t>The key stakeholders for the chatbot include tenants (especially immigrants, low-income families, elderly tenants, and first-time renters), tenant rights advocates, legal aid organizations, housing resource agencies, and the internal team responsible for chatbot development, maintenance, and ethical oversight.</w:t>
      </w:r>
    </w:p>
    <w:p w14:paraId="4A07F156" w14:textId="26693076" w:rsidR="009B309A" w:rsidRPr="00CF6908" w:rsidRDefault="007E48FE" w:rsidP="00CF6908">
      <w:pPr>
        <w:pStyle w:val="Default"/>
        <w:numPr>
          <w:ilvl w:val="0"/>
          <w:numId w:val="2"/>
        </w:numPr>
        <w:suppressAutoHyphens/>
        <w:spacing w:before="0" w:after="60" w:line="240" w:lineRule="auto"/>
        <w:rPr>
          <w:rFonts w:ascii="Aptos" w:hAnsi="Aptos"/>
          <w:sz w:val="22"/>
          <w:szCs w:val="22"/>
        </w:rPr>
      </w:pPr>
      <w:r w:rsidRPr="00CF6908">
        <w:rPr>
          <w:rFonts w:ascii="Aptos" w:hAnsi="Aptos"/>
          <w:b/>
          <w:bCs/>
          <w:sz w:val="22"/>
          <w:szCs w:val="22"/>
        </w:rPr>
        <w:t>Engagement Strategy:</w:t>
      </w:r>
      <w:r w:rsidRPr="00CF6908">
        <w:rPr>
          <w:rFonts w:ascii="Aptos" w:hAnsi="Aptos"/>
          <w:sz w:val="22"/>
          <w:szCs w:val="22"/>
        </w:rPr>
        <w:t xml:space="preserve"> (How did you or will you engage stakeholders?)</w:t>
      </w:r>
      <w:r w:rsidR="003E74A8">
        <w:rPr>
          <w:rFonts w:ascii="Aptos" w:hAnsi="Aptos"/>
          <w:sz w:val="22"/>
          <w:szCs w:val="22"/>
        </w:rPr>
        <w:t xml:space="preserve"> </w:t>
      </w:r>
      <w:r w:rsidR="003E74A8" w:rsidRPr="003E74A8">
        <w:rPr>
          <w:rFonts w:ascii="Aptos" w:hAnsi="Aptos"/>
          <w:sz w:val="22"/>
          <w:szCs w:val="22"/>
        </w:rPr>
        <w:t>We engaged stakeholders by conducting conversations, interviews, and live testing sessions with a diverse group of users, including tenants, tenant advocates, and housing rights organizations. The chatbot was tested across six different languages to ensure accessibility, clarity, and cultural sensitivity for non-native speakers. Feedback on usability, tone, accuracy, and inclusiveness was carefully collected and directly incorporated into updates and refinements of the chatbot’s design. Continuous feedback mechanisms are in place to keep improving the chatbot based on community needs.</w:t>
      </w:r>
    </w:p>
    <w:p w14:paraId="2DC24656"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11111FC5" w14:textId="77777777" w:rsidR="009B309A" w:rsidRPr="00CF6908" w:rsidRDefault="007E48FE" w:rsidP="00CF6908">
      <w:pPr>
        <w:pStyle w:val="Heading1"/>
        <w:rPr>
          <w:rFonts w:eastAsia="Times Roman" w:cs="Times Roman"/>
        </w:rPr>
      </w:pPr>
      <w:r w:rsidRPr="00CF6908">
        <w:t>Section 4: Ethical Risk Assessment</w:t>
      </w:r>
    </w:p>
    <w:tbl>
      <w:tblPr>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35"/>
        <w:gridCol w:w="2516"/>
        <w:gridCol w:w="2882"/>
        <w:gridCol w:w="1905"/>
      </w:tblGrid>
      <w:tr w:rsidR="009B309A" w:rsidRPr="00CF6908" w14:paraId="2EDBAC72" w14:textId="77777777">
        <w:trPr>
          <w:trHeight w:val="567"/>
        </w:trPr>
        <w:tc>
          <w:tcPr>
            <w:tcW w:w="233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8FC89D4" w14:textId="77777777" w:rsidR="009B309A" w:rsidRPr="00CF6908" w:rsidRDefault="007E48FE" w:rsidP="00CF6908">
            <w:pPr>
              <w:pStyle w:val="TableStyle2"/>
              <w:suppressAutoHyphens/>
              <w:spacing w:after="60"/>
              <w:jc w:val="center"/>
              <w:rPr>
                <w:rFonts w:ascii="Aptos" w:hAnsi="Aptos"/>
                <w:sz w:val="22"/>
                <w:szCs w:val="22"/>
              </w:rPr>
            </w:pPr>
            <w:r w:rsidRPr="00CF6908">
              <w:rPr>
                <w:rFonts w:ascii="Aptos" w:hAnsi="Aptos"/>
                <w:b/>
                <w:bCs/>
                <w:sz w:val="22"/>
                <w:szCs w:val="22"/>
              </w:rPr>
              <w:t>Ethical Risk</w:t>
            </w:r>
          </w:p>
        </w:tc>
        <w:tc>
          <w:tcPr>
            <w:tcW w:w="251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B406BDF" w14:textId="77777777" w:rsidR="009B309A" w:rsidRPr="00CF6908" w:rsidRDefault="007E48FE" w:rsidP="00CF6908">
            <w:pPr>
              <w:pStyle w:val="TableStyle2"/>
              <w:suppressAutoHyphens/>
              <w:spacing w:after="60"/>
              <w:jc w:val="center"/>
              <w:rPr>
                <w:rFonts w:ascii="Aptos" w:hAnsi="Aptos"/>
                <w:sz w:val="22"/>
                <w:szCs w:val="22"/>
              </w:rPr>
            </w:pPr>
            <w:r w:rsidRPr="00CF6908">
              <w:rPr>
                <w:rFonts w:ascii="Aptos" w:hAnsi="Aptos"/>
                <w:b/>
                <w:bCs/>
                <w:sz w:val="22"/>
                <w:szCs w:val="22"/>
              </w:rPr>
              <w:t>Likelihood (Low/Med/High)</w:t>
            </w:r>
          </w:p>
        </w:tc>
        <w:tc>
          <w:tcPr>
            <w:tcW w:w="28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1772C65" w14:textId="77777777" w:rsidR="009B309A" w:rsidRPr="00CF6908" w:rsidRDefault="007E48FE" w:rsidP="00CF6908">
            <w:pPr>
              <w:pStyle w:val="TableStyle2"/>
              <w:suppressAutoHyphens/>
              <w:spacing w:after="60"/>
              <w:jc w:val="center"/>
              <w:rPr>
                <w:rFonts w:ascii="Aptos" w:hAnsi="Aptos"/>
                <w:sz w:val="22"/>
                <w:szCs w:val="22"/>
              </w:rPr>
            </w:pPr>
            <w:r w:rsidRPr="00CF6908">
              <w:rPr>
                <w:rFonts w:ascii="Aptos" w:hAnsi="Aptos"/>
                <w:b/>
                <w:bCs/>
                <w:sz w:val="22"/>
                <w:szCs w:val="22"/>
              </w:rPr>
              <w:t>Impact (Low/Med/High)</w:t>
            </w:r>
          </w:p>
        </w:tc>
        <w:tc>
          <w:tcPr>
            <w:tcW w:w="190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3EEE532" w14:textId="77777777" w:rsidR="009B309A" w:rsidRPr="00CF6908" w:rsidRDefault="007E48FE" w:rsidP="00CF6908">
            <w:pPr>
              <w:pStyle w:val="TableStyle2"/>
              <w:suppressAutoHyphens/>
              <w:spacing w:after="60"/>
              <w:jc w:val="center"/>
              <w:rPr>
                <w:rFonts w:ascii="Aptos" w:hAnsi="Aptos"/>
                <w:sz w:val="22"/>
                <w:szCs w:val="22"/>
              </w:rPr>
            </w:pPr>
            <w:r w:rsidRPr="00CF6908">
              <w:rPr>
                <w:rFonts w:ascii="Aptos" w:hAnsi="Aptos"/>
                <w:b/>
                <w:bCs/>
                <w:sz w:val="22"/>
                <w:szCs w:val="22"/>
              </w:rPr>
              <w:t>Priority</w:t>
            </w:r>
          </w:p>
        </w:tc>
      </w:tr>
      <w:tr w:rsidR="009B309A" w:rsidRPr="00CF6908" w14:paraId="1BD625AE" w14:textId="77777777">
        <w:trPr>
          <w:trHeight w:val="360"/>
        </w:trPr>
        <w:tc>
          <w:tcPr>
            <w:tcW w:w="233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C735FDD"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Bias/Discrimination</w:t>
            </w:r>
          </w:p>
        </w:tc>
        <w:tc>
          <w:tcPr>
            <w:tcW w:w="251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13181F2" w14:textId="0E6E22D3" w:rsidR="009B309A" w:rsidRPr="00CF6908" w:rsidRDefault="003E74A8" w:rsidP="00CF6908">
            <w:pPr>
              <w:spacing w:after="60"/>
              <w:rPr>
                <w:rFonts w:ascii="Aptos" w:hAnsi="Aptos"/>
                <w:sz w:val="22"/>
                <w:szCs w:val="22"/>
              </w:rPr>
            </w:pPr>
            <w:r>
              <w:rPr>
                <w:rFonts w:ascii="Aptos" w:hAnsi="Aptos"/>
                <w:sz w:val="22"/>
                <w:szCs w:val="22"/>
              </w:rPr>
              <w:t>High</w:t>
            </w:r>
          </w:p>
        </w:tc>
        <w:tc>
          <w:tcPr>
            <w:tcW w:w="288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352E087" w14:textId="3663DD83" w:rsidR="009B309A" w:rsidRPr="00CF6908" w:rsidRDefault="003E74A8" w:rsidP="00CF6908">
            <w:pPr>
              <w:spacing w:after="60"/>
              <w:rPr>
                <w:rFonts w:ascii="Aptos" w:hAnsi="Aptos"/>
                <w:sz w:val="22"/>
                <w:szCs w:val="22"/>
              </w:rPr>
            </w:pPr>
            <w:r>
              <w:rPr>
                <w:rFonts w:ascii="Aptos" w:hAnsi="Aptos"/>
                <w:sz w:val="22"/>
                <w:szCs w:val="22"/>
              </w:rPr>
              <w:t>High</w:t>
            </w:r>
          </w:p>
        </w:tc>
        <w:tc>
          <w:tcPr>
            <w:tcW w:w="190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D7C7D0D" w14:textId="196AC013" w:rsidR="009B309A" w:rsidRPr="00CF6908" w:rsidRDefault="003E74A8" w:rsidP="00CF6908">
            <w:pPr>
              <w:spacing w:after="60"/>
              <w:rPr>
                <w:rFonts w:ascii="Aptos" w:hAnsi="Aptos"/>
                <w:sz w:val="22"/>
                <w:szCs w:val="22"/>
              </w:rPr>
            </w:pPr>
            <w:r>
              <w:rPr>
                <w:rFonts w:ascii="Aptos" w:hAnsi="Aptos"/>
                <w:sz w:val="22"/>
                <w:szCs w:val="22"/>
              </w:rPr>
              <w:t>High</w:t>
            </w:r>
          </w:p>
        </w:tc>
      </w:tr>
      <w:tr w:rsidR="009B309A" w:rsidRPr="00CF6908" w14:paraId="76E9AF5D" w14:textId="77777777">
        <w:trPr>
          <w:trHeight w:val="360"/>
        </w:trPr>
        <w:tc>
          <w:tcPr>
            <w:tcW w:w="233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1704268"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Privacy Violations</w:t>
            </w:r>
          </w:p>
        </w:tc>
        <w:tc>
          <w:tcPr>
            <w:tcW w:w="251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AB03A1E" w14:textId="183D65C3" w:rsidR="009B309A" w:rsidRPr="00CF6908" w:rsidRDefault="003E74A8" w:rsidP="00CF6908">
            <w:pPr>
              <w:spacing w:after="60"/>
              <w:rPr>
                <w:rFonts w:ascii="Aptos" w:hAnsi="Aptos"/>
                <w:sz w:val="22"/>
                <w:szCs w:val="22"/>
              </w:rPr>
            </w:pPr>
            <w:r>
              <w:rPr>
                <w:rFonts w:ascii="Aptos" w:hAnsi="Aptos"/>
                <w:sz w:val="22"/>
                <w:szCs w:val="22"/>
              </w:rPr>
              <w:t>High</w:t>
            </w:r>
          </w:p>
        </w:tc>
        <w:tc>
          <w:tcPr>
            <w:tcW w:w="28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5B25C6D" w14:textId="3035ACAE" w:rsidR="009B309A" w:rsidRPr="00CF6908" w:rsidRDefault="003E74A8" w:rsidP="00CF6908">
            <w:pPr>
              <w:spacing w:after="60"/>
              <w:rPr>
                <w:rFonts w:ascii="Aptos" w:hAnsi="Aptos"/>
                <w:sz w:val="22"/>
                <w:szCs w:val="22"/>
              </w:rPr>
            </w:pPr>
            <w:r>
              <w:rPr>
                <w:rFonts w:ascii="Aptos" w:hAnsi="Aptos"/>
                <w:sz w:val="22"/>
                <w:szCs w:val="22"/>
              </w:rPr>
              <w:t>High</w:t>
            </w:r>
          </w:p>
        </w:tc>
        <w:tc>
          <w:tcPr>
            <w:tcW w:w="190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690AA80" w14:textId="2F574AE2" w:rsidR="009B309A" w:rsidRPr="00CF6908" w:rsidRDefault="003E74A8" w:rsidP="00CF6908">
            <w:pPr>
              <w:spacing w:after="60"/>
              <w:rPr>
                <w:rFonts w:ascii="Aptos" w:hAnsi="Aptos"/>
                <w:sz w:val="22"/>
                <w:szCs w:val="22"/>
              </w:rPr>
            </w:pPr>
            <w:r>
              <w:rPr>
                <w:rFonts w:ascii="Aptos" w:hAnsi="Aptos"/>
                <w:sz w:val="22"/>
                <w:szCs w:val="22"/>
              </w:rPr>
              <w:t>High</w:t>
            </w:r>
          </w:p>
        </w:tc>
      </w:tr>
      <w:tr w:rsidR="009B309A" w:rsidRPr="00CF6908" w14:paraId="60FE7F1E" w14:textId="77777777">
        <w:trPr>
          <w:trHeight w:val="360"/>
        </w:trPr>
        <w:tc>
          <w:tcPr>
            <w:tcW w:w="233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DF96BD5"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Lack of Transparency</w:t>
            </w:r>
          </w:p>
        </w:tc>
        <w:tc>
          <w:tcPr>
            <w:tcW w:w="251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4AABD8B" w14:textId="5C9046E6" w:rsidR="009B309A" w:rsidRPr="00CF6908" w:rsidRDefault="003E74A8" w:rsidP="00CF6908">
            <w:pPr>
              <w:spacing w:after="60"/>
              <w:rPr>
                <w:rFonts w:ascii="Aptos" w:hAnsi="Aptos"/>
                <w:sz w:val="22"/>
                <w:szCs w:val="22"/>
              </w:rPr>
            </w:pPr>
            <w:r>
              <w:rPr>
                <w:rFonts w:ascii="Aptos" w:hAnsi="Aptos"/>
                <w:sz w:val="22"/>
                <w:szCs w:val="22"/>
              </w:rPr>
              <w:t>High</w:t>
            </w:r>
          </w:p>
        </w:tc>
        <w:tc>
          <w:tcPr>
            <w:tcW w:w="288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5365E62" w14:textId="162E4AA2" w:rsidR="009B309A" w:rsidRPr="00CF6908" w:rsidRDefault="003E74A8" w:rsidP="00CF6908">
            <w:pPr>
              <w:spacing w:after="60"/>
              <w:rPr>
                <w:rFonts w:ascii="Aptos" w:hAnsi="Aptos"/>
                <w:sz w:val="22"/>
                <w:szCs w:val="22"/>
              </w:rPr>
            </w:pPr>
            <w:r>
              <w:rPr>
                <w:rFonts w:ascii="Aptos" w:hAnsi="Aptos"/>
                <w:sz w:val="22"/>
                <w:szCs w:val="22"/>
              </w:rPr>
              <w:t>High</w:t>
            </w:r>
          </w:p>
        </w:tc>
        <w:tc>
          <w:tcPr>
            <w:tcW w:w="190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1CF83C3" w14:textId="42E0797F" w:rsidR="009B309A" w:rsidRPr="00CF6908" w:rsidRDefault="003E74A8" w:rsidP="00CF6908">
            <w:pPr>
              <w:spacing w:after="60"/>
              <w:rPr>
                <w:rFonts w:ascii="Aptos" w:hAnsi="Aptos"/>
                <w:sz w:val="22"/>
                <w:szCs w:val="22"/>
              </w:rPr>
            </w:pPr>
            <w:r>
              <w:rPr>
                <w:rFonts w:ascii="Aptos" w:hAnsi="Aptos"/>
                <w:sz w:val="22"/>
                <w:szCs w:val="22"/>
              </w:rPr>
              <w:t>High</w:t>
            </w:r>
          </w:p>
        </w:tc>
      </w:tr>
      <w:tr w:rsidR="009B309A" w:rsidRPr="00CF6908" w14:paraId="0D1A603C" w14:textId="77777777">
        <w:trPr>
          <w:trHeight w:val="360"/>
        </w:trPr>
        <w:tc>
          <w:tcPr>
            <w:tcW w:w="233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E5F9358"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Harmful Responses</w:t>
            </w:r>
          </w:p>
        </w:tc>
        <w:tc>
          <w:tcPr>
            <w:tcW w:w="251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3A44A98" w14:textId="25FCC910" w:rsidR="009B309A" w:rsidRPr="00CF6908" w:rsidRDefault="003E74A8" w:rsidP="00CF6908">
            <w:pPr>
              <w:spacing w:after="60"/>
              <w:rPr>
                <w:rFonts w:ascii="Aptos" w:hAnsi="Aptos"/>
                <w:sz w:val="22"/>
                <w:szCs w:val="22"/>
              </w:rPr>
            </w:pPr>
            <w:r>
              <w:rPr>
                <w:rFonts w:ascii="Aptos" w:hAnsi="Aptos"/>
                <w:sz w:val="22"/>
                <w:szCs w:val="22"/>
              </w:rPr>
              <w:t>High</w:t>
            </w:r>
          </w:p>
        </w:tc>
        <w:tc>
          <w:tcPr>
            <w:tcW w:w="28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0CE88D3" w14:textId="08F1DDE8" w:rsidR="009B309A" w:rsidRPr="00CF6908" w:rsidRDefault="003E74A8" w:rsidP="00CF6908">
            <w:pPr>
              <w:spacing w:after="60"/>
              <w:rPr>
                <w:rFonts w:ascii="Aptos" w:hAnsi="Aptos"/>
                <w:sz w:val="22"/>
                <w:szCs w:val="22"/>
              </w:rPr>
            </w:pPr>
            <w:r>
              <w:rPr>
                <w:rFonts w:ascii="Aptos" w:hAnsi="Aptos"/>
                <w:sz w:val="22"/>
                <w:szCs w:val="22"/>
              </w:rPr>
              <w:t>High</w:t>
            </w:r>
          </w:p>
        </w:tc>
        <w:tc>
          <w:tcPr>
            <w:tcW w:w="190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E63FE29" w14:textId="38A1DC39" w:rsidR="009B309A" w:rsidRPr="00CF6908" w:rsidRDefault="003E74A8" w:rsidP="00CF6908">
            <w:pPr>
              <w:spacing w:after="60"/>
              <w:rPr>
                <w:rFonts w:ascii="Aptos" w:hAnsi="Aptos"/>
                <w:sz w:val="22"/>
                <w:szCs w:val="22"/>
              </w:rPr>
            </w:pPr>
            <w:r>
              <w:rPr>
                <w:rFonts w:ascii="Aptos" w:hAnsi="Aptos"/>
                <w:sz w:val="22"/>
                <w:szCs w:val="22"/>
              </w:rPr>
              <w:t>High</w:t>
            </w:r>
          </w:p>
        </w:tc>
      </w:tr>
      <w:tr w:rsidR="009B309A" w:rsidRPr="00CF6908" w14:paraId="078991B8" w14:textId="77777777">
        <w:trPr>
          <w:trHeight w:val="360"/>
        </w:trPr>
        <w:tc>
          <w:tcPr>
            <w:tcW w:w="233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7EAA282"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Potential Misuse</w:t>
            </w:r>
          </w:p>
        </w:tc>
        <w:tc>
          <w:tcPr>
            <w:tcW w:w="251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F691E5C" w14:textId="6DBA26AE" w:rsidR="009B309A" w:rsidRPr="00CF6908" w:rsidRDefault="003E74A8" w:rsidP="00CF6908">
            <w:pPr>
              <w:spacing w:after="60"/>
              <w:rPr>
                <w:rFonts w:ascii="Aptos" w:hAnsi="Aptos"/>
                <w:sz w:val="22"/>
                <w:szCs w:val="22"/>
              </w:rPr>
            </w:pPr>
            <w:r>
              <w:rPr>
                <w:rFonts w:ascii="Aptos" w:hAnsi="Aptos"/>
                <w:sz w:val="22"/>
                <w:szCs w:val="22"/>
              </w:rPr>
              <w:t>High</w:t>
            </w:r>
          </w:p>
        </w:tc>
        <w:tc>
          <w:tcPr>
            <w:tcW w:w="288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EBE6DB0" w14:textId="41DAB179" w:rsidR="009B309A" w:rsidRPr="00CF6908" w:rsidRDefault="003E74A8" w:rsidP="00CF6908">
            <w:pPr>
              <w:spacing w:after="60"/>
              <w:rPr>
                <w:rFonts w:ascii="Aptos" w:hAnsi="Aptos"/>
                <w:sz w:val="22"/>
                <w:szCs w:val="22"/>
              </w:rPr>
            </w:pPr>
            <w:r>
              <w:rPr>
                <w:rFonts w:ascii="Aptos" w:hAnsi="Aptos"/>
                <w:sz w:val="22"/>
                <w:szCs w:val="22"/>
              </w:rPr>
              <w:t>High</w:t>
            </w:r>
          </w:p>
        </w:tc>
        <w:tc>
          <w:tcPr>
            <w:tcW w:w="190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A82D09A" w14:textId="348A3D71" w:rsidR="009B309A" w:rsidRPr="00CF6908" w:rsidRDefault="003E74A8" w:rsidP="00CF6908">
            <w:pPr>
              <w:spacing w:after="60"/>
              <w:rPr>
                <w:rFonts w:ascii="Aptos" w:hAnsi="Aptos"/>
                <w:sz w:val="22"/>
                <w:szCs w:val="22"/>
              </w:rPr>
            </w:pPr>
            <w:r>
              <w:rPr>
                <w:rFonts w:ascii="Aptos" w:hAnsi="Aptos"/>
                <w:sz w:val="22"/>
                <w:szCs w:val="22"/>
              </w:rPr>
              <w:t>High</w:t>
            </w:r>
          </w:p>
        </w:tc>
      </w:tr>
    </w:tbl>
    <w:p w14:paraId="43A7F75E"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5A5E785A"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753BF726" w14:textId="77777777" w:rsidR="009B309A" w:rsidRPr="00CF6908" w:rsidRDefault="007E48FE" w:rsidP="00CF6908">
      <w:pPr>
        <w:pStyle w:val="Heading1"/>
        <w:rPr>
          <w:rFonts w:eastAsia="Times Roman" w:cs="Times Roman"/>
        </w:rPr>
      </w:pPr>
      <w:r w:rsidRPr="00CF6908">
        <w:t>Section 5: Mitigation Strategies</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16"/>
        <w:gridCol w:w="5386"/>
        <w:gridCol w:w="2159"/>
      </w:tblGrid>
      <w:tr w:rsidR="009B309A" w:rsidRPr="00CF6908" w14:paraId="496254DF" w14:textId="77777777" w:rsidTr="003E74A8">
        <w:trPr>
          <w:trHeight w:val="360"/>
        </w:trPr>
        <w:tc>
          <w:tcPr>
            <w:tcW w:w="201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8856092"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b/>
                <w:bCs/>
                <w:sz w:val="22"/>
                <w:szCs w:val="22"/>
              </w:rPr>
              <w:t>Ethical Risk</w:t>
            </w:r>
          </w:p>
        </w:tc>
        <w:tc>
          <w:tcPr>
            <w:tcW w:w="53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FD68CF1"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b/>
                <w:bCs/>
                <w:sz w:val="22"/>
                <w:szCs w:val="22"/>
              </w:rPr>
              <w:t>Mitigation Actions</w:t>
            </w:r>
          </w:p>
        </w:tc>
        <w:tc>
          <w:tcPr>
            <w:tcW w:w="215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4E9D376"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b/>
                <w:bCs/>
                <w:sz w:val="22"/>
                <w:szCs w:val="22"/>
              </w:rPr>
              <w:t>Responsible Person</w:t>
            </w:r>
          </w:p>
        </w:tc>
      </w:tr>
      <w:tr w:rsidR="009B309A" w:rsidRPr="00CF6908" w14:paraId="2EBCABB1" w14:textId="77777777" w:rsidTr="003E74A8">
        <w:trPr>
          <w:trHeight w:val="360"/>
        </w:trPr>
        <w:tc>
          <w:tcPr>
            <w:tcW w:w="201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C5EC45B"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Bias/Discrimination</w:t>
            </w:r>
          </w:p>
        </w:tc>
        <w:tc>
          <w:tcPr>
            <w:tcW w:w="53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A9FACA1" w14:textId="1EBAF95D" w:rsidR="009B309A" w:rsidRPr="00CF6908" w:rsidRDefault="003E74A8" w:rsidP="00CF6908">
            <w:pPr>
              <w:spacing w:after="60"/>
              <w:rPr>
                <w:rFonts w:ascii="Aptos" w:hAnsi="Aptos"/>
                <w:sz w:val="22"/>
                <w:szCs w:val="22"/>
              </w:rPr>
            </w:pPr>
            <w:r w:rsidRPr="003E74A8">
              <w:rPr>
                <w:rFonts w:ascii="Aptos" w:hAnsi="Aptos"/>
                <w:sz w:val="22"/>
                <w:szCs w:val="22"/>
              </w:rPr>
              <w:t>Regularly audit chatbot responses in multiple languages and update training prompts to ensure fairness and inclusivity. Conduct quarterly fairness reviews.</w:t>
            </w:r>
          </w:p>
        </w:tc>
        <w:tc>
          <w:tcPr>
            <w:tcW w:w="2159"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AAE609A" w14:textId="0AAD14D2" w:rsidR="009B309A" w:rsidRPr="00CF6908" w:rsidRDefault="003E74A8" w:rsidP="00CF6908">
            <w:pPr>
              <w:spacing w:after="60"/>
              <w:rPr>
                <w:rFonts w:ascii="Aptos" w:hAnsi="Aptos"/>
                <w:sz w:val="22"/>
                <w:szCs w:val="22"/>
              </w:rPr>
            </w:pPr>
            <w:r w:rsidRPr="003E74A8">
              <w:rPr>
                <w:rFonts w:ascii="Aptos" w:hAnsi="Aptos"/>
                <w:sz w:val="22"/>
                <w:szCs w:val="22"/>
              </w:rPr>
              <w:t>Ethical Lead / DEI (Diversity, Equity, Inclusion) Officer</w:t>
            </w:r>
          </w:p>
        </w:tc>
      </w:tr>
      <w:tr w:rsidR="009B309A" w:rsidRPr="00CF6908" w14:paraId="6D0565E6" w14:textId="77777777" w:rsidTr="003E74A8">
        <w:trPr>
          <w:trHeight w:val="360"/>
        </w:trPr>
        <w:tc>
          <w:tcPr>
            <w:tcW w:w="201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713848A"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Privacy Violations</w:t>
            </w:r>
          </w:p>
        </w:tc>
        <w:tc>
          <w:tcPr>
            <w:tcW w:w="53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2D05070" w14:textId="15A9D714" w:rsidR="009B309A" w:rsidRPr="00CF6908" w:rsidRDefault="003E74A8" w:rsidP="00CF6908">
            <w:pPr>
              <w:spacing w:after="60"/>
              <w:rPr>
                <w:rFonts w:ascii="Aptos" w:hAnsi="Aptos"/>
                <w:sz w:val="22"/>
                <w:szCs w:val="22"/>
              </w:rPr>
            </w:pPr>
            <w:r w:rsidRPr="003E74A8">
              <w:rPr>
                <w:rFonts w:ascii="Aptos" w:hAnsi="Aptos"/>
                <w:sz w:val="22"/>
                <w:szCs w:val="22"/>
              </w:rPr>
              <w:t>Maintain strict data deletion protocols after each chat session and ensure no personal or sensitive information is requested or stored. Review privacy notices quarterly.</w:t>
            </w:r>
          </w:p>
        </w:tc>
        <w:tc>
          <w:tcPr>
            <w:tcW w:w="215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CAABC44" w14:textId="142E5834" w:rsidR="009B309A" w:rsidRPr="00CF6908" w:rsidRDefault="003E74A8" w:rsidP="00CF6908">
            <w:pPr>
              <w:spacing w:after="60"/>
              <w:rPr>
                <w:rFonts w:ascii="Aptos" w:hAnsi="Aptos"/>
                <w:sz w:val="22"/>
                <w:szCs w:val="22"/>
              </w:rPr>
            </w:pPr>
            <w:r w:rsidRPr="003E74A8">
              <w:rPr>
                <w:rFonts w:ascii="Aptos" w:hAnsi="Aptos"/>
                <w:sz w:val="22"/>
                <w:szCs w:val="22"/>
              </w:rPr>
              <w:t>Data Privacy Officer / Technical Lead</w:t>
            </w:r>
          </w:p>
        </w:tc>
      </w:tr>
      <w:tr w:rsidR="009B309A" w:rsidRPr="00CF6908" w14:paraId="2374DAA5" w14:textId="77777777" w:rsidTr="003E74A8">
        <w:trPr>
          <w:trHeight w:val="360"/>
        </w:trPr>
        <w:tc>
          <w:tcPr>
            <w:tcW w:w="201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32329A9"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Lack of Transparency</w:t>
            </w:r>
          </w:p>
        </w:tc>
        <w:tc>
          <w:tcPr>
            <w:tcW w:w="53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701EAAB" w14:textId="705C85F3" w:rsidR="009B309A" w:rsidRPr="00CF6908" w:rsidRDefault="003E74A8" w:rsidP="00CF6908">
            <w:pPr>
              <w:spacing w:after="60"/>
              <w:rPr>
                <w:rFonts w:ascii="Aptos" w:hAnsi="Aptos"/>
                <w:sz w:val="22"/>
                <w:szCs w:val="22"/>
              </w:rPr>
            </w:pPr>
            <w:r w:rsidRPr="003E74A8">
              <w:rPr>
                <w:rFonts w:ascii="Aptos" w:hAnsi="Aptos"/>
                <w:sz w:val="22"/>
                <w:szCs w:val="22"/>
              </w:rPr>
              <w:t>Maintain a consistent opening disclaimer about chatbot limitations; periodically review messaging to ensure transparency remains clear and prominent.</w:t>
            </w:r>
          </w:p>
        </w:tc>
        <w:tc>
          <w:tcPr>
            <w:tcW w:w="2159"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F949DC2" w14:textId="7F9077A8" w:rsidR="009B309A" w:rsidRPr="00CF6908" w:rsidRDefault="003E74A8" w:rsidP="00CF6908">
            <w:pPr>
              <w:spacing w:after="60"/>
              <w:rPr>
                <w:rFonts w:ascii="Aptos" w:hAnsi="Aptos"/>
                <w:sz w:val="22"/>
                <w:szCs w:val="22"/>
              </w:rPr>
            </w:pPr>
            <w:r w:rsidRPr="003E74A8">
              <w:rPr>
                <w:rFonts w:ascii="Aptos" w:hAnsi="Aptos"/>
                <w:sz w:val="22"/>
                <w:szCs w:val="22"/>
              </w:rPr>
              <w:t>Content Manager / Ethical Oversight Team</w:t>
            </w:r>
          </w:p>
        </w:tc>
      </w:tr>
      <w:tr w:rsidR="009B309A" w:rsidRPr="00CF6908" w14:paraId="5478AD77" w14:textId="77777777" w:rsidTr="003E74A8">
        <w:trPr>
          <w:trHeight w:val="360"/>
        </w:trPr>
        <w:tc>
          <w:tcPr>
            <w:tcW w:w="201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4F4A423"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Harmful Responses</w:t>
            </w:r>
          </w:p>
        </w:tc>
        <w:tc>
          <w:tcPr>
            <w:tcW w:w="53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849B565" w14:textId="10120EA1" w:rsidR="009B309A" w:rsidRPr="00CF6908" w:rsidRDefault="003E74A8" w:rsidP="00CF6908">
            <w:pPr>
              <w:spacing w:after="60"/>
              <w:rPr>
                <w:rFonts w:ascii="Aptos" w:hAnsi="Aptos"/>
                <w:sz w:val="22"/>
                <w:szCs w:val="22"/>
              </w:rPr>
            </w:pPr>
            <w:r w:rsidRPr="003E74A8">
              <w:rPr>
                <w:rFonts w:ascii="Aptos" w:hAnsi="Aptos"/>
                <w:sz w:val="22"/>
                <w:szCs w:val="22"/>
              </w:rPr>
              <w:t>Expand emotional sensitivity testing and create additional guardrails for high-risk topics (e.g., eviction, harassment). Add more empathetic response templates.</w:t>
            </w:r>
          </w:p>
        </w:tc>
        <w:tc>
          <w:tcPr>
            <w:tcW w:w="215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EC0C5FF" w14:textId="08AD27DF" w:rsidR="009B309A" w:rsidRPr="00CF6908" w:rsidRDefault="003E74A8" w:rsidP="00CF6908">
            <w:pPr>
              <w:spacing w:after="60"/>
              <w:rPr>
                <w:rFonts w:ascii="Aptos" w:hAnsi="Aptos"/>
                <w:sz w:val="22"/>
                <w:szCs w:val="22"/>
              </w:rPr>
            </w:pPr>
            <w:r w:rsidRPr="003E74A8">
              <w:rPr>
                <w:rFonts w:ascii="Aptos" w:hAnsi="Aptos"/>
                <w:sz w:val="22"/>
                <w:szCs w:val="22"/>
              </w:rPr>
              <w:t>Quality Assurance Manager / Ethical Review Team</w:t>
            </w:r>
          </w:p>
        </w:tc>
      </w:tr>
      <w:tr w:rsidR="009B309A" w:rsidRPr="00CF6908" w14:paraId="208ED457" w14:textId="77777777" w:rsidTr="003E74A8">
        <w:trPr>
          <w:trHeight w:val="360"/>
        </w:trPr>
        <w:tc>
          <w:tcPr>
            <w:tcW w:w="201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4A3824D"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Potential Misuse</w:t>
            </w:r>
          </w:p>
        </w:tc>
        <w:tc>
          <w:tcPr>
            <w:tcW w:w="53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FCA962A" w14:textId="145C94E0" w:rsidR="009B309A" w:rsidRPr="00CF6908" w:rsidRDefault="003E74A8" w:rsidP="00CF6908">
            <w:pPr>
              <w:spacing w:after="60"/>
              <w:rPr>
                <w:rFonts w:ascii="Aptos" w:hAnsi="Aptos"/>
                <w:sz w:val="22"/>
                <w:szCs w:val="22"/>
              </w:rPr>
            </w:pPr>
            <w:r w:rsidRPr="003E74A8">
              <w:rPr>
                <w:rFonts w:ascii="Aptos" w:hAnsi="Aptos"/>
                <w:sz w:val="22"/>
                <w:szCs w:val="22"/>
              </w:rPr>
              <w:t>Implement clear reminders of the chatbot’s scope ("housing information only") and monitor sessions for repeated off-topic misuse. Add auto-replies that reset or redirect when necessary.</w:t>
            </w:r>
          </w:p>
        </w:tc>
        <w:tc>
          <w:tcPr>
            <w:tcW w:w="2159"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9EFD36E" w14:textId="7B3D6168" w:rsidR="009B309A" w:rsidRPr="00CF6908" w:rsidRDefault="003E74A8" w:rsidP="00CF6908">
            <w:pPr>
              <w:spacing w:after="60"/>
              <w:rPr>
                <w:rFonts w:ascii="Aptos" w:hAnsi="Aptos"/>
                <w:sz w:val="22"/>
                <w:szCs w:val="22"/>
              </w:rPr>
            </w:pPr>
            <w:r w:rsidRPr="003E74A8">
              <w:rPr>
                <w:rFonts w:ascii="Aptos" w:hAnsi="Aptos"/>
                <w:sz w:val="22"/>
                <w:szCs w:val="22"/>
              </w:rPr>
              <w:t>Technical Team Lead / Operations Supervisor</w:t>
            </w:r>
          </w:p>
        </w:tc>
      </w:tr>
    </w:tbl>
    <w:p w14:paraId="2274DBFC"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43CD7022" w14:textId="77777777" w:rsidR="00CF6908" w:rsidRDefault="00CF6908">
      <w:pPr>
        <w:rPr>
          <w:rFonts w:ascii="Aptos" w:hAnsi="Aptos" w:cs="Arial Unicode MS"/>
          <w:b/>
          <w:bCs/>
          <w:color w:val="000000"/>
          <w:sz w:val="22"/>
          <w:szCs w:val="22"/>
          <w14:textOutline w14:w="0" w14:cap="flat" w14:cmpd="sng" w14:algn="ctr">
            <w14:noFill/>
            <w14:prstDash w14:val="solid"/>
            <w14:bevel/>
          </w14:textOutline>
        </w:rPr>
      </w:pPr>
      <w:r>
        <w:rPr>
          <w:rFonts w:ascii="Aptos" w:hAnsi="Aptos"/>
          <w:b/>
          <w:bCs/>
          <w:sz w:val="22"/>
          <w:szCs w:val="22"/>
        </w:rPr>
        <w:br w:type="page"/>
      </w:r>
    </w:p>
    <w:p w14:paraId="3276261D" w14:textId="3E50FB82" w:rsidR="009B309A" w:rsidRPr="00CF6908" w:rsidRDefault="007E48FE" w:rsidP="00CF6908">
      <w:pPr>
        <w:pStyle w:val="Heading1"/>
        <w:rPr>
          <w:rFonts w:eastAsia="Times Roman" w:cs="Times Roman"/>
        </w:rPr>
      </w:pPr>
      <w:r w:rsidRPr="00CF6908">
        <w:lastRenderedPageBreak/>
        <w:t>Section 6: Evaluation Metrics</w:t>
      </w:r>
    </w:p>
    <w:p w14:paraId="79A0E1CD" w14:textId="77777777" w:rsidR="009B309A" w:rsidRPr="00CF6908" w:rsidRDefault="007E48FE" w:rsidP="00CF6908">
      <w:pPr>
        <w:pStyle w:val="Default"/>
        <w:suppressAutoHyphens/>
        <w:spacing w:before="0" w:after="60" w:line="240" w:lineRule="auto"/>
        <w:rPr>
          <w:rFonts w:ascii="Aptos" w:eastAsia="Times Roman" w:hAnsi="Aptos" w:cs="Times Roman"/>
          <w:b/>
          <w:bCs/>
          <w:sz w:val="22"/>
          <w:szCs w:val="22"/>
        </w:rPr>
      </w:pPr>
      <w:r w:rsidRPr="00CF6908">
        <w:rPr>
          <w:rFonts w:ascii="Aptos" w:hAnsi="Aptos"/>
          <w:b/>
          <w:bCs/>
          <w:sz w:val="22"/>
          <w:szCs w:val="22"/>
        </w:rPr>
        <w:t>Quantitative Assessment:</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21"/>
        <w:gridCol w:w="2013"/>
        <w:gridCol w:w="1886"/>
        <w:gridCol w:w="2610"/>
      </w:tblGrid>
      <w:tr w:rsidR="009B309A" w:rsidRPr="00CF6908" w14:paraId="71F52C0D" w14:textId="77777777">
        <w:trPr>
          <w:trHeight w:val="651"/>
        </w:trPr>
        <w:tc>
          <w:tcPr>
            <w:tcW w:w="3120"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C036950"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Metric</w:t>
            </w:r>
          </w:p>
        </w:tc>
        <w:tc>
          <w:tcPr>
            <w:tcW w:w="201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9EBF4DC"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Result (%)</w:t>
            </w:r>
          </w:p>
        </w:tc>
        <w:tc>
          <w:tcPr>
            <w:tcW w:w="18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C1D6AC0"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Ethical Threshold</w:t>
            </w:r>
          </w:p>
        </w:tc>
        <w:tc>
          <w:tcPr>
            <w:tcW w:w="2610"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F94FE85"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Meets Threshold? (Y/N)</w:t>
            </w:r>
          </w:p>
        </w:tc>
      </w:tr>
      <w:tr w:rsidR="009B309A" w:rsidRPr="00CF6908" w14:paraId="757E07E8" w14:textId="77777777">
        <w:trPr>
          <w:trHeight w:val="415"/>
        </w:trPr>
        <w:tc>
          <w:tcPr>
            <w:tcW w:w="3120"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5A7D29A"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Bias Detection Accuracy</w:t>
            </w:r>
          </w:p>
        </w:tc>
        <w:tc>
          <w:tcPr>
            <w:tcW w:w="2013"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2473CBA" w14:textId="4F5D61CB" w:rsidR="009B309A" w:rsidRPr="00CF6908" w:rsidRDefault="00CE721C" w:rsidP="00CF6908">
            <w:pPr>
              <w:spacing w:after="60"/>
              <w:rPr>
                <w:rFonts w:ascii="Aptos" w:hAnsi="Aptos"/>
                <w:sz w:val="22"/>
                <w:szCs w:val="22"/>
              </w:rPr>
            </w:pPr>
            <w:r>
              <w:rPr>
                <w:rFonts w:ascii="Aptos" w:hAnsi="Aptos"/>
                <w:sz w:val="22"/>
                <w:szCs w:val="22"/>
              </w:rPr>
              <w:t>97%</w:t>
            </w:r>
          </w:p>
        </w:tc>
        <w:tc>
          <w:tcPr>
            <w:tcW w:w="18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1F1A328"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≥95%</w:t>
            </w:r>
          </w:p>
        </w:tc>
        <w:tc>
          <w:tcPr>
            <w:tcW w:w="2610"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E0D0B7A" w14:textId="7B3D3B7E" w:rsidR="009B309A" w:rsidRPr="00CF6908" w:rsidRDefault="00CE721C" w:rsidP="00CF6908">
            <w:pPr>
              <w:spacing w:after="60"/>
              <w:rPr>
                <w:rFonts w:ascii="Aptos" w:hAnsi="Aptos"/>
                <w:sz w:val="22"/>
                <w:szCs w:val="22"/>
              </w:rPr>
            </w:pPr>
            <w:r>
              <w:rPr>
                <w:rFonts w:ascii="Aptos" w:hAnsi="Aptos"/>
                <w:sz w:val="22"/>
                <w:szCs w:val="22"/>
              </w:rPr>
              <w:t>Y</w:t>
            </w:r>
          </w:p>
        </w:tc>
      </w:tr>
      <w:tr w:rsidR="009B309A" w:rsidRPr="00CF6908" w14:paraId="594D6A95" w14:textId="77777777">
        <w:trPr>
          <w:trHeight w:val="415"/>
        </w:trPr>
        <w:tc>
          <w:tcPr>
            <w:tcW w:w="3120"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F023F25"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Privacy Compliance</w:t>
            </w:r>
          </w:p>
        </w:tc>
        <w:tc>
          <w:tcPr>
            <w:tcW w:w="201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43D75FD" w14:textId="274AB210" w:rsidR="009B309A" w:rsidRPr="00CF6908" w:rsidRDefault="00CE721C" w:rsidP="00CF6908">
            <w:pPr>
              <w:spacing w:after="60"/>
              <w:rPr>
                <w:rFonts w:ascii="Aptos" w:hAnsi="Aptos"/>
                <w:sz w:val="22"/>
                <w:szCs w:val="22"/>
              </w:rPr>
            </w:pPr>
            <w:r>
              <w:rPr>
                <w:rFonts w:ascii="Aptos" w:hAnsi="Aptos"/>
                <w:sz w:val="22"/>
                <w:szCs w:val="22"/>
              </w:rPr>
              <w:t>100%</w:t>
            </w:r>
          </w:p>
        </w:tc>
        <w:tc>
          <w:tcPr>
            <w:tcW w:w="18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4E43504"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≥98%</w:t>
            </w:r>
          </w:p>
        </w:tc>
        <w:tc>
          <w:tcPr>
            <w:tcW w:w="2610"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1D2A695" w14:textId="772042E3" w:rsidR="009B309A" w:rsidRPr="00CF6908" w:rsidRDefault="00CE721C" w:rsidP="00CF6908">
            <w:pPr>
              <w:spacing w:after="60"/>
              <w:rPr>
                <w:rFonts w:ascii="Aptos" w:hAnsi="Aptos"/>
                <w:sz w:val="22"/>
                <w:szCs w:val="22"/>
              </w:rPr>
            </w:pPr>
            <w:r>
              <w:rPr>
                <w:rFonts w:ascii="Aptos" w:hAnsi="Aptos"/>
                <w:sz w:val="22"/>
                <w:szCs w:val="22"/>
              </w:rPr>
              <w:t>Y</w:t>
            </w:r>
          </w:p>
        </w:tc>
      </w:tr>
      <w:tr w:rsidR="009B309A" w:rsidRPr="00CF6908" w14:paraId="0F053762" w14:textId="77777777">
        <w:trPr>
          <w:trHeight w:val="415"/>
        </w:trPr>
        <w:tc>
          <w:tcPr>
            <w:tcW w:w="3120"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9FEC8C6"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Explainability Score</w:t>
            </w:r>
          </w:p>
        </w:tc>
        <w:tc>
          <w:tcPr>
            <w:tcW w:w="2013"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E6903F6" w14:textId="66A5EF04" w:rsidR="009B309A" w:rsidRPr="00CF6908" w:rsidRDefault="00CE721C" w:rsidP="00CF6908">
            <w:pPr>
              <w:spacing w:after="60"/>
              <w:rPr>
                <w:rFonts w:ascii="Aptos" w:hAnsi="Aptos"/>
                <w:sz w:val="22"/>
                <w:szCs w:val="22"/>
              </w:rPr>
            </w:pPr>
            <w:r>
              <w:rPr>
                <w:rFonts w:ascii="Aptos" w:hAnsi="Aptos"/>
                <w:sz w:val="22"/>
                <w:szCs w:val="22"/>
              </w:rPr>
              <w:t>92%</w:t>
            </w:r>
          </w:p>
        </w:tc>
        <w:tc>
          <w:tcPr>
            <w:tcW w:w="18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DC9B866"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≥90%</w:t>
            </w:r>
          </w:p>
        </w:tc>
        <w:tc>
          <w:tcPr>
            <w:tcW w:w="2610"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EB41E8F" w14:textId="2BB2F0E2" w:rsidR="009B309A" w:rsidRPr="00CF6908" w:rsidRDefault="00CE721C" w:rsidP="00CF6908">
            <w:pPr>
              <w:spacing w:after="60"/>
              <w:rPr>
                <w:rFonts w:ascii="Aptos" w:hAnsi="Aptos"/>
                <w:sz w:val="22"/>
                <w:szCs w:val="22"/>
              </w:rPr>
            </w:pPr>
            <w:r>
              <w:rPr>
                <w:rFonts w:ascii="Aptos" w:hAnsi="Aptos"/>
                <w:sz w:val="22"/>
                <w:szCs w:val="22"/>
              </w:rPr>
              <w:t>Y</w:t>
            </w:r>
          </w:p>
        </w:tc>
      </w:tr>
      <w:tr w:rsidR="009B309A" w:rsidRPr="00CF6908" w14:paraId="35D5FC68" w14:textId="77777777">
        <w:trPr>
          <w:trHeight w:val="415"/>
        </w:trPr>
        <w:tc>
          <w:tcPr>
            <w:tcW w:w="3120"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62A5F93"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Harmful Response Rate</w:t>
            </w:r>
          </w:p>
        </w:tc>
        <w:tc>
          <w:tcPr>
            <w:tcW w:w="201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2A1745A" w14:textId="5E7CBB38" w:rsidR="009B309A" w:rsidRPr="00CF6908" w:rsidRDefault="00CE721C" w:rsidP="00CF6908">
            <w:pPr>
              <w:spacing w:after="60"/>
              <w:rPr>
                <w:rFonts w:ascii="Aptos" w:hAnsi="Aptos"/>
                <w:sz w:val="22"/>
                <w:szCs w:val="22"/>
              </w:rPr>
            </w:pPr>
            <w:r>
              <w:rPr>
                <w:rFonts w:ascii="Aptos" w:hAnsi="Aptos"/>
                <w:sz w:val="22"/>
                <w:szCs w:val="22"/>
              </w:rPr>
              <w:t>0%</w:t>
            </w:r>
          </w:p>
        </w:tc>
        <w:tc>
          <w:tcPr>
            <w:tcW w:w="188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6F97463"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≤1%</w:t>
            </w:r>
          </w:p>
        </w:tc>
        <w:tc>
          <w:tcPr>
            <w:tcW w:w="2610"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AF2F60B" w14:textId="0ACFCFAB" w:rsidR="009B309A" w:rsidRPr="00CF6908" w:rsidRDefault="00CE721C" w:rsidP="00CF6908">
            <w:pPr>
              <w:spacing w:after="60"/>
              <w:rPr>
                <w:rFonts w:ascii="Aptos" w:hAnsi="Aptos"/>
                <w:sz w:val="22"/>
                <w:szCs w:val="22"/>
              </w:rPr>
            </w:pPr>
            <w:r>
              <w:rPr>
                <w:rFonts w:ascii="Aptos" w:hAnsi="Aptos"/>
                <w:sz w:val="22"/>
                <w:szCs w:val="22"/>
              </w:rPr>
              <w:t>Y</w:t>
            </w:r>
          </w:p>
        </w:tc>
      </w:tr>
      <w:tr w:rsidR="009B309A" w:rsidRPr="00CF6908" w14:paraId="31FB67B6" w14:textId="77777777">
        <w:trPr>
          <w:trHeight w:val="651"/>
        </w:trPr>
        <w:tc>
          <w:tcPr>
            <w:tcW w:w="3120"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D40F7A6"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Accessibility Compliance</w:t>
            </w:r>
          </w:p>
        </w:tc>
        <w:tc>
          <w:tcPr>
            <w:tcW w:w="2013"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0697B49" w14:textId="45522409" w:rsidR="009B309A" w:rsidRPr="00CF6908" w:rsidRDefault="00CE721C" w:rsidP="00CF6908">
            <w:pPr>
              <w:spacing w:after="60"/>
              <w:rPr>
                <w:rFonts w:ascii="Aptos" w:hAnsi="Aptos"/>
                <w:sz w:val="22"/>
                <w:szCs w:val="22"/>
              </w:rPr>
            </w:pPr>
            <w:r>
              <w:rPr>
                <w:rFonts w:ascii="Aptos" w:hAnsi="Aptos"/>
                <w:sz w:val="22"/>
                <w:szCs w:val="22"/>
              </w:rPr>
              <w:t>95%</w:t>
            </w:r>
          </w:p>
        </w:tc>
        <w:tc>
          <w:tcPr>
            <w:tcW w:w="188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9AB9396"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≥90%</w:t>
            </w:r>
          </w:p>
        </w:tc>
        <w:tc>
          <w:tcPr>
            <w:tcW w:w="2610"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649A2E7" w14:textId="615E841F" w:rsidR="009B309A" w:rsidRPr="00CF6908" w:rsidRDefault="00CE721C" w:rsidP="00CF6908">
            <w:pPr>
              <w:spacing w:after="60"/>
              <w:rPr>
                <w:rFonts w:ascii="Aptos" w:hAnsi="Aptos"/>
                <w:sz w:val="22"/>
                <w:szCs w:val="22"/>
              </w:rPr>
            </w:pPr>
            <w:r>
              <w:rPr>
                <w:rFonts w:ascii="Aptos" w:hAnsi="Aptos"/>
                <w:sz w:val="22"/>
                <w:szCs w:val="22"/>
              </w:rPr>
              <w:t>Y</w:t>
            </w:r>
          </w:p>
        </w:tc>
      </w:tr>
    </w:tbl>
    <w:p w14:paraId="14C68B42" w14:textId="77777777" w:rsidR="009B309A" w:rsidRPr="00CF6908" w:rsidRDefault="009B309A" w:rsidP="00CF6908">
      <w:pPr>
        <w:pStyle w:val="Default"/>
        <w:suppressAutoHyphens/>
        <w:spacing w:before="0" w:after="60" w:line="240" w:lineRule="auto"/>
        <w:rPr>
          <w:rFonts w:ascii="Aptos" w:eastAsia="Times Roman" w:hAnsi="Aptos" w:cs="Times Roman"/>
          <w:b/>
          <w:bCs/>
          <w:sz w:val="22"/>
          <w:szCs w:val="22"/>
        </w:rPr>
      </w:pPr>
    </w:p>
    <w:p w14:paraId="1FD92A29" w14:textId="77777777" w:rsidR="009B309A" w:rsidRPr="00CF6908" w:rsidRDefault="007E48FE" w:rsidP="00CF6908">
      <w:pPr>
        <w:pStyle w:val="Default"/>
        <w:suppressAutoHyphens/>
        <w:spacing w:before="0" w:after="60" w:line="240" w:lineRule="auto"/>
        <w:rPr>
          <w:rFonts w:ascii="Aptos" w:eastAsia="Times Roman" w:hAnsi="Aptos" w:cs="Times Roman"/>
          <w:b/>
          <w:bCs/>
          <w:sz w:val="22"/>
          <w:szCs w:val="22"/>
        </w:rPr>
      </w:pPr>
      <w:r w:rsidRPr="00CF6908">
        <w:rPr>
          <w:rFonts w:ascii="Aptos" w:hAnsi="Aptos"/>
          <w:b/>
          <w:bCs/>
          <w:sz w:val="22"/>
          <w:szCs w:val="22"/>
        </w:rPr>
        <w:t>Qualitative Assessment:</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89"/>
        <w:gridCol w:w="5341"/>
      </w:tblGrid>
      <w:tr w:rsidR="009B309A" w:rsidRPr="00CF6908" w14:paraId="63F7B131"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9332FCC"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Metric</w:t>
            </w:r>
          </w:p>
        </w:tc>
        <w:tc>
          <w:tcPr>
            <w:tcW w:w="53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BBD9B32"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Summary of Findings</w:t>
            </w:r>
          </w:p>
        </w:tc>
      </w:tr>
      <w:tr w:rsidR="009B309A" w:rsidRPr="00CF6908" w14:paraId="25204C17"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0559186"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Stakeholder Satisfaction</w:t>
            </w:r>
          </w:p>
        </w:tc>
        <w:tc>
          <w:tcPr>
            <w:tcW w:w="53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DBC8AA9" w14:textId="2E922A86" w:rsidR="009B309A" w:rsidRPr="00CF6908" w:rsidRDefault="00CE721C" w:rsidP="00CF6908">
            <w:pPr>
              <w:spacing w:after="60"/>
              <w:rPr>
                <w:rFonts w:ascii="Aptos" w:hAnsi="Aptos"/>
                <w:sz w:val="22"/>
                <w:szCs w:val="22"/>
              </w:rPr>
            </w:pPr>
            <w:r w:rsidRPr="00CE721C">
              <w:rPr>
                <w:rFonts w:ascii="Aptos" w:hAnsi="Aptos"/>
                <w:sz w:val="22"/>
                <w:szCs w:val="22"/>
              </w:rPr>
              <w:t>Stakeholders (users, testers, tenant advocates) reported high satisfaction with tone, clarity, and usefulness. Many testers felt empowered and informed after using the chatbot.</w:t>
            </w:r>
          </w:p>
        </w:tc>
      </w:tr>
      <w:tr w:rsidR="009B309A" w:rsidRPr="00CF6908" w14:paraId="61A47F41"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313C7E6"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Transparency Clarity</w:t>
            </w:r>
          </w:p>
        </w:tc>
        <w:tc>
          <w:tcPr>
            <w:tcW w:w="53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8E8AF94" w14:textId="70C58106" w:rsidR="009B309A" w:rsidRPr="00CF6908" w:rsidRDefault="00CE721C" w:rsidP="00CF6908">
            <w:pPr>
              <w:spacing w:after="60"/>
              <w:rPr>
                <w:rFonts w:ascii="Aptos" w:hAnsi="Aptos"/>
                <w:sz w:val="22"/>
                <w:szCs w:val="22"/>
              </w:rPr>
            </w:pPr>
            <w:r w:rsidRPr="00CE721C">
              <w:rPr>
                <w:rFonts w:ascii="Aptos" w:hAnsi="Aptos"/>
                <w:sz w:val="22"/>
                <w:szCs w:val="22"/>
              </w:rPr>
              <w:t>All test runs showed the chatbot clearly disclosed its AI nature and limits at the start of the conversation. No users reported confusion about the chatbot’s identity.</w:t>
            </w:r>
          </w:p>
        </w:tc>
      </w:tr>
      <w:tr w:rsidR="009B309A" w:rsidRPr="00CF6908" w14:paraId="551FFE9E"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EB2CD2E"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Ethical Governance Effectiveness</w:t>
            </w:r>
          </w:p>
        </w:tc>
        <w:tc>
          <w:tcPr>
            <w:tcW w:w="53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C76657C" w14:textId="77777777" w:rsidR="009B309A" w:rsidRPr="00CF6908" w:rsidRDefault="009B309A" w:rsidP="00CF6908">
            <w:pPr>
              <w:spacing w:after="60"/>
              <w:rPr>
                <w:rFonts w:ascii="Aptos" w:hAnsi="Aptos"/>
                <w:sz w:val="22"/>
                <w:szCs w:val="22"/>
              </w:rPr>
            </w:pPr>
          </w:p>
        </w:tc>
      </w:tr>
      <w:tr w:rsidR="009B309A" w:rsidRPr="00CF6908" w14:paraId="4C751901" w14:textId="77777777">
        <w:trPr>
          <w:trHeight w:val="360"/>
        </w:trPr>
        <w:tc>
          <w:tcPr>
            <w:tcW w:w="4289"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777D28F" w14:textId="77777777" w:rsidR="009B309A" w:rsidRPr="00CF6908" w:rsidRDefault="007E48FE" w:rsidP="00CF6908">
            <w:pPr>
              <w:pStyle w:val="TableStyle2"/>
              <w:suppressAutoHyphens/>
              <w:spacing w:after="60"/>
              <w:rPr>
                <w:rFonts w:ascii="Aptos" w:hAnsi="Aptos"/>
                <w:sz w:val="22"/>
                <w:szCs w:val="22"/>
              </w:rPr>
            </w:pPr>
            <w:r w:rsidRPr="00CF6908">
              <w:rPr>
                <w:rFonts w:ascii="Aptos" w:hAnsi="Aptos"/>
                <w:sz w:val="22"/>
                <w:szCs w:val="22"/>
              </w:rPr>
              <w:t xml:space="preserve">User Perception &amp; </w:t>
            </w:r>
            <w:r w:rsidRPr="00CF6908">
              <w:rPr>
                <w:rFonts w:ascii="Aptos" w:hAnsi="Aptos"/>
                <w:sz w:val="22"/>
                <w:szCs w:val="22"/>
              </w:rPr>
              <w:t>Trust</w:t>
            </w:r>
          </w:p>
        </w:tc>
        <w:tc>
          <w:tcPr>
            <w:tcW w:w="534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AD585A6" w14:textId="77777777" w:rsidR="009B309A" w:rsidRPr="00CF6908" w:rsidRDefault="009B309A" w:rsidP="00CF6908">
            <w:pPr>
              <w:spacing w:after="60"/>
              <w:rPr>
                <w:rFonts w:ascii="Aptos" w:hAnsi="Aptos"/>
                <w:sz w:val="22"/>
                <w:szCs w:val="22"/>
              </w:rPr>
            </w:pPr>
          </w:p>
        </w:tc>
      </w:tr>
    </w:tbl>
    <w:p w14:paraId="434D2430"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017223B4" w14:textId="77777777" w:rsidR="009B309A" w:rsidRPr="00CF6908" w:rsidRDefault="009B309A" w:rsidP="00CF6908">
      <w:pPr>
        <w:pStyle w:val="Default"/>
        <w:suppressAutoHyphens/>
        <w:spacing w:before="0" w:after="60" w:line="240" w:lineRule="auto"/>
        <w:rPr>
          <w:rFonts w:ascii="Aptos" w:eastAsia="Times Roman" w:hAnsi="Aptos" w:cs="Times Roman"/>
          <w:color w:val="808080"/>
          <w:sz w:val="22"/>
          <w:szCs w:val="22"/>
        </w:rPr>
      </w:pPr>
    </w:p>
    <w:p w14:paraId="12D050D6" w14:textId="77777777" w:rsidR="009B309A" w:rsidRPr="00CF6908" w:rsidRDefault="007E48FE" w:rsidP="00CF6908">
      <w:pPr>
        <w:pStyle w:val="Heading1"/>
        <w:rPr>
          <w:rFonts w:eastAsia="Times Roman" w:cs="Times Roman"/>
        </w:rPr>
      </w:pPr>
      <w:r w:rsidRPr="00CF6908">
        <w:t xml:space="preserve"> Section 7: Accountability &amp; Governance</w:t>
      </w:r>
    </w:p>
    <w:p w14:paraId="5CB9EE2B" w14:textId="77777777" w:rsidR="009B309A" w:rsidRPr="00CF6908" w:rsidRDefault="007E48FE" w:rsidP="00CF6908">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Ethics Lead:</w:t>
      </w:r>
    </w:p>
    <w:p w14:paraId="63F2D773" w14:textId="77777777" w:rsidR="009B309A" w:rsidRPr="00CF6908" w:rsidRDefault="007E48FE" w:rsidP="00CF6908">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Technical Lead:</w:t>
      </w:r>
    </w:p>
    <w:p w14:paraId="7640479E" w14:textId="77777777" w:rsidR="009B309A" w:rsidRPr="00CF6908" w:rsidRDefault="007E48FE" w:rsidP="00CF6908">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How will ethical issues be escalated and resolved?</w:t>
      </w:r>
    </w:p>
    <w:p w14:paraId="1B08675F" w14:textId="77777777" w:rsidR="009B309A" w:rsidRDefault="009B309A" w:rsidP="00CF6908">
      <w:pPr>
        <w:pStyle w:val="Default"/>
        <w:suppressAutoHyphens/>
        <w:spacing w:before="0" w:after="60" w:line="240" w:lineRule="auto"/>
        <w:rPr>
          <w:rFonts w:ascii="Aptos" w:eastAsia="Times Roman" w:hAnsi="Aptos" w:cs="Times Roman"/>
          <w:color w:val="808080"/>
          <w:sz w:val="22"/>
          <w:szCs w:val="22"/>
        </w:rPr>
      </w:pPr>
    </w:p>
    <w:p w14:paraId="1722A00C" w14:textId="77777777" w:rsidR="00CF6908" w:rsidRPr="00CF6908" w:rsidRDefault="00CF6908" w:rsidP="00CF6908">
      <w:pPr>
        <w:pStyle w:val="Default"/>
        <w:suppressAutoHyphens/>
        <w:spacing w:before="0" w:after="60" w:line="240" w:lineRule="auto"/>
        <w:rPr>
          <w:rFonts w:ascii="Aptos" w:eastAsia="Times Roman" w:hAnsi="Aptos" w:cs="Times Roman"/>
          <w:color w:val="808080"/>
          <w:sz w:val="22"/>
          <w:szCs w:val="22"/>
        </w:rPr>
      </w:pPr>
    </w:p>
    <w:p w14:paraId="2C725B70" w14:textId="77777777" w:rsidR="009B309A" w:rsidRPr="00CF6908" w:rsidRDefault="007E48FE" w:rsidP="00CF6908">
      <w:pPr>
        <w:pStyle w:val="Heading1"/>
        <w:rPr>
          <w:rFonts w:eastAsia="Times Roman" w:cs="Times Roman"/>
        </w:rPr>
      </w:pPr>
      <w:r w:rsidRPr="00CF6908">
        <w:t>Section 8: Communication &amp; Transparency</w:t>
      </w:r>
    </w:p>
    <w:p w14:paraId="3A2AACCF" w14:textId="77777777" w:rsidR="009B309A" w:rsidRPr="00CF6908" w:rsidRDefault="007E48FE" w:rsidP="00CF6908">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Public Disclosure Methods:</w:t>
      </w:r>
    </w:p>
    <w:p w14:paraId="123441DE" w14:textId="77777777" w:rsidR="009B309A" w:rsidRPr="00CF6908" w:rsidRDefault="007E48FE" w:rsidP="00CF6908">
      <w:pPr>
        <w:pStyle w:val="Default"/>
        <w:numPr>
          <w:ilvl w:val="0"/>
          <w:numId w:val="2"/>
        </w:numPr>
        <w:suppressAutoHyphens/>
        <w:spacing w:before="0" w:after="60" w:line="240" w:lineRule="auto"/>
        <w:rPr>
          <w:rFonts w:ascii="Aptos" w:hAnsi="Aptos"/>
          <w:b/>
          <w:bCs/>
          <w:sz w:val="22"/>
          <w:szCs w:val="22"/>
        </w:rPr>
      </w:pPr>
      <w:r w:rsidRPr="00CF6908">
        <w:rPr>
          <w:rFonts w:ascii="Aptos" w:hAnsi="Aptos"/>
          <w:b/>
          <w:bCs/>
          <w:sz w:val="22"/>
          <w:szCs w:val="22"/>
        </w:rPr>
        <w:t>Channels for Stakeholder Communication:</w:t>
      </w:r>
    </w:p>
    <w:sectPr w:rsidR="009B309A" w:rsidRPr="00CF6908">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ECE4B" w14:textId="77777777" w:rsidR="003A230D" w:rsidRDefault="003A230D">
      <w:r>
        <w:separator/>
      </w:r>
    </w:p>
  </w:endnote>
  <w:endnote w:type="continuationSeparator" w:id="0">
    <w:p w14:paraId="091C21FA" w14:textId="77777777" w:rsidR="003A230D" w:rsidRDefault="003A2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Roman">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Aptos">
    <w:altName w:val="Aptos"/>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98CB" w14:textId="77777777" w:rsidR="009B309A" w:rsidRDefault="009B30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8404D" w14:textId="77777777" w:rsidR="003A230D" w:rsidRDefault="003A230D">
      <w:r>
        <w:separator/>
      </w:r>
    </w:p>
  </w:footnote>
  <w:footnote w:type="continuationSeparator" w:id="0">
    <w:p w14:paraId="3594A00F" w14:textId="77777777" w:rsidR="003A230D" w:rsidRDefault="003A2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1FACD" w14:textId="77777777" w:rsidR="009B309A" w:rsidRDefault="009B30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538CF"/>
    <w:multiLevelType w:val="hybridMultilevel"/>
    <w:tmpl w:val="5A2CD1DA"/>
    <w:styleLink w:val="Bullet"/>
    <w:lvl w:ilvl="0" w:tplc="219831B6">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7D5CBF72">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FA702F3A">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2B58128A">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B2EA43BA">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821CF70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0FE875AA">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909E65A4">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E11C8E6C">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D891CCB"/>
    <w:multiLevelType w:val="hybridMultilevel"/>
    <w:tmpl w:val="5A2CD1DA"/>
    <w:numStyleLink w:val="Bullet"/>
  </w:abstractNum>
  <w:num w:numId="1">
    <w:abstractNumId w:val="0"/>
  </w:num>
  <w:num w:numId="2">
    <w:abstractNumId w:val="1"/>
  </w:num>
  <w:num w:numId="3">
    <w:abstractNumId w:val="1"/>
    <w:lvlOverride w:ilvl="0">
      <w:lvl w:ilvl="0" w:tplc="810E69FC">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30062FA">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7090D76A">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DA2BF04">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968E2FB8">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1B6AFF18">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093821D0">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9300CB88">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B6740BBA">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09A"/>
    <w:rsid w:val="000C4305"/>
    <w:rsid w:val="0021204E"/>
    <w:rsid w:val="00277CB5"/>
    <w:rsid w:val="00320DDC"/>
    <w:rsid w:val="00325CA9"/>
    <w:rsid w:val="003A230D"/>
    <w:rsid w:val="003E74A8"/>
    <w:rsid w:val="004575C5"/>
    <w:rsid w:val="00552F20"/>
    <w:rsid w:val="007E48FE"/>
    <w:rsid w:val="009A4514"/>
    <w:rsid w:val="009B309A"/>
    <w:rsid w:val="00CE721C"/>
    <w:rsid w:val="00CF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542D"/>
  <w15:docId w15:val="{88ECE87F-57C0-7B4F-86F4-3A621984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Default"/>
    <w:next w:val="Normal"/>
    <w:link w:val="Heading1Char"/>
    <w:uiPriority w:val="9"/>
    <w:qFormat/>
    <w:rsid w:val="00CF6908"/>
    <w:pPr>
      <w:suppressAutoHyphens/>
      <w:spacing w:before="0" w:after="60" w:line="240" w:lineRule="auto"/>
      <w:outlineLvl w:val="0"/>
    </w:pPr>
    <w:rPr>
      <w:rFonts w:ascii="Aptos" w:hAnsi="Aptos"/>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277CB5"/>
    <w:rPr>
      <w:sz w:val="16"/>
      <w:szCs w:val="16"/>
    </w:rPr>
  </w:style>
  <w:style w:type="paragraph" w:styleId="CommentText">
    <w:name w:val="annotation text"/>
    <w:basedOn w:val="Normal"/>
    <w:link w:val="CommentTextChar"/>
    <w:uiPriority w:val="99"/>
    <w:semiHidden/>
    <w:unhideWhenUsed/>
    <w:rsid w:val="00277CB5"/>
    <w:rPr>
      <w:sz w:val="20"/>
      <w:szCs w:val="20"/>
    </w:rPr>
  </w:style>
  <w:style w:type="character" w:customStyle="1" w:styleId="CommentTextChar">
    <w:name w:val="Comment Text Char"/>
    <w:basedOn w:val="DefaultParagraphFont"/>
    <w:link w:val="CommentText"/>
    <w:uiPriority w:val="99"/>
    <w:semiHidden/>
    <w:rsid w:val="00277CB5"/>
  </w:style>
  <w:style w:type="paragraph" w:styleId="CommentSubject">
    <w:name w:val="annotation subject"/>
    <w:basedOn w:val="CommentText"/>
    <w:next w:val="CommentText"/>
    <w:link w:val="CommentSubjectChar"/>
    <w:uiPriority w:val="99"/>
    <w:semiHidden/>
    <w:unhideWhenUsed/>
    <w:rsid w:val="00277CB5"/>
    <w:rPr>
      <w:b/>
      <w:bCs/>
    </w:rPr>
  </w:style>
  <w:style w:type="character" w:customStyle="1" w:styleId="CommentSubjectChar">
    <w:name w:val="Comment Subject Char"/>
    <w:basedOn w:val="CommentTextChar"/>
    <w:link w:val="CommentSubject"/>
    <w:uiPriority w:val="99"/>
    <w:semiHidden/>
    <w:rsid w:val="00277CB5"/>
    <w:rPr>
      <w:b/>
      <w:bCs/>
    </w:rPr>
  </w:style>
  <w:style w:type="character" w:customStyle="1" w:styleId="Heading1Char">
    <w:name w:val="Heading 1 Char"/>
    <w:basedOn w:val="DefaultParagraphFont"/>
    <w:link w:val="Heading1"/>
    <w:uiPriority w:val="9"/>
    <w:rsid w:val="00CF6908"/>
    <w:rPr>
      <w:rFonts w:ascii="Aptos" w:hAnsi="Aptos" w:cs="Arial Unicode MS"/>
      <w:b/>
      <w:bCs/>
      <w:color w:val="C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1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4554ae6-46db-45ff-85d6-d12508f81e36" xsi:nil="true"/>
    <lcf76f155ced4ddcb4097134ff3c332f xmlns="4c3b8792-d51b-4fdb-921d-d1c724eb7a9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2E54A374214C438212F139EE05D278" ma:contentTypeVersion="10" ma:contentTypeDescription="Create a new document." ma:contentTypeScope="" ma:versionID="9b2ee1fed70c619930934ecbbb81cea8">
  <xsd:schema xmlns:xsd="http://www.w3.org/2001/XMLSchema" xmlns:xs="http://www.w3.org/2001/XMLSchema" xmlns:p="http://schemas.microsoft.com/office/2006/metadata/properties" xmlns:ns2="4c3b8792-d51b-4fdb-921d-d1c724eb7a9b" xmlns:ns3="24554ae6-46db-45ff-85d6-d12508f81e36" targetNamespace="http://schemas.microsoft.com/office/2006/metadata/properties" ma:root="true" ma:fieldsID="9844a1c81751394c3c45e69481da4a43" ns2:_="" ns3:_="">
    <xsd:import namespace="4c3b8792-d51b-4fdb-921d-d1c724eb7a9b"/>
    <xsd:import namespace="24554ae6-46db-45ff-85d6-d12508f81e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3b8792-d51b-4fdb-921d-d1c724eb7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d54add-fbf2-4b77-ae8f-05ce34c7ec7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554ae6-46db-45ff-85d6-d12508f81e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fe1d04-e044-461e-8967-ac34df26918d}" ma:internalName="TaxCatchAll" ma:showField="CatchAllData" ma:web="24554ae6-46db-45ff-85d6-d12508f81e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3DD76C-DBE9-42DF-BD76-602694F9E3E7}">
  <ds:schemaRefs>
    <ds:schemaRef ds:uri="http://schemas.microsoft.com/office/2006/metadata/properties"/>
    <ds:schemaRef ds:uri="http://schemas.microsoft.com/office/infopath/2007/PartnerControls"/>
    <ds:schemaRef ds:uri="24554ae6-46db-45ff-85d6-d12508f81e36"/>
    <ds:schemaRef ds:uri="4c3b8792-d51b-4fdb-921d-d1c724eb7a9b"/>
  </ds:schemaRefs>
</ds:datastoreItem>
</file>

<file path=customXml/itemProps2.xml><?xml version="1.0" encoding="utf-8"?>
<ds:datastoreItem xmlns:ds="http://schemas.openxmlformats.org/officeDocument/2006/customXml" ds:itemID="{946B0114-4566-4D0B-A5A7-9347FDB7952B}">
  <ds:schemaRefs>
    <ds:schemaRef ds:uri="http://schemas.microsoft.com/sharepoint/v3/contenttype/forms"/>
  </ds:schemaRefs>
</ds:datastoreItem>
</file>

<file path=customXml/itemProps3.xml><?xml version="1.0" encoding="utf-8"?>
<ds:datastoreItem xmlns:ds="http://schemas.openxmlformats.org/officeDocument/2006/customXml" ds:itemID="{36A7F00D-E80D-470C-80FD-F189BCD7C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3b8792-d51b-4fdb-921d-d1c724eb7a9b"/>
    <ds:schemaRef ds:uri="24554ae6-46db-45ff-85d6-d12508f81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Luisa Gianuca (she/her)</cp:lastModifiedBy>
  <cp:revision>5</cp:revision>
  <dcterms:created xsi:type="dcterms:W3CDTF">2025-04-03T19:43:00Z</dcterms:created>
  <dcterms:modified xsi:type="dcterms:W3CDTF">2025-04-27T01:19:00Z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2025-04-03T19:43:09Z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99de880a-1821-4c71-a208-7dff07b78ef3</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0x0101008B2E54A374214C438212F139EE05D278</vt:lpwstr>
  </property>
</Properties>
</file>