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A78D6"/>
          <w:spacing w:val="30"/>
          <w:sz w:val="16"/>
          <w:szCs w:val="16"/>
        </w:rPr>
        <w:t xml:space="preserve">EQUITY RESEARCH NOTE  ·  NASDAQ: APP  ·  AUGUST 18, 2026</w:t>
      </w:r>
    </w:p>
    <w:p>
      <w:pPr>
        <w:spacing w:after="140"/>
      </w:pPr>
      <w:r>
        <w:rPr>
          <w:rFonts w:ascii="Georgia" w:cs="Georgia" w:eastAsia="Georgia" w:hAnsi="Georgia"/>
          <w:b/>
          <w:bCs/>
          <w:color w:val="141414"/>
          <w:sz w:val="56"/>
          <w:szCs w:val="56"/>
        </w:rPr>
        <w:t xml:space="preserve">AppLovin Deep Dive</w:t>
      </w:r>
    </w:p>
    <w:p>
      <w:pPr>
        <w:spacing w:after="120"/>
      </w:pPr>
      <w:r>
        <w:rPr>
          <w:rFonts w:ascii="Calibri" w:cs="Calibri" w:eastAsia="Calibri" w:hAnsi="Calibri"/>
          <w:color w:val="3A3A38"/>
          <w:sz w:val="22"/>
          <w:szCs w:val="22"/>
        </w:rPr>
        <w:t xml:space="preserve">Five years, two boom-bust cycles, one business-model transformation. AppLovin went from a mid-margin mobile-games publisher to a pure-play AI advertising platform running ~85% EBITDA margins — and its stock has twice compounded several hundred percent and twice been cut in half or worse. It now sits 58% below December 2025's all-time high after its first-ever revenue miss, trading at the cheapest forward multiple in its public history outside the 2022 trough.</w:t>
      </w:r>
    </w:p>
    <w:p>
      <w:pPr>
        <w:spacing w:after="240"/>
      </w:pPr>
      <w:r>
        <w:rPr>
          <w:rFonts w:ascii="Calibri" w:cs="Calibri" w:eastAsia="Calibri" w:hAnsi="Calibri"/>
          <w:color w:val="6B6A66"/>
          <w:sz w:val="19"/>
          <w:szCs w:val="19"/>
        </w:rPr>
        <w:t xml:space="preserve">Last price </w:t>
      </w:r>
      <w:r>
        <w:rPr>
          <w:rFonts w:ascii="Calibri" w:cs="Calibri" w:eastAsia="Calibri" w:hAnsi="Calibri"/>
          <w:b/>
          <w:bCs/>
          <w:color w:val="141414"/>
          <w:sz w:val="19"/>
          <w:szCs w:val="19"/>
        </w:rPr>
        <w:t xml:space="preserve">$312.99</w:t>
      </w:r>
      <w:r>
        <w:rPr>
          <w:rFonts w:ascii="Calibri" w:cs="Calibri" w:eastAsia="Calibri" w:hAnsi="Calibri"/>
          <w:color w:val="6B6A66"/>
          <w:sz w:val="19"/>
          <w:szCs w:val="19"/>
        </w:rPr>
        <w:t xml:space="preserve">   ·   Market cap </w:t>
      </w:r>
      <w:r>
        <w:rPr>
          <w:rFonts w:ascii="Calibri" w:cs="Calibri" w:eastAsia="Calibri" w:hAnsi="Calibri"/>
          <w:b/>
          <w:bCs/>
          <w:color w:val="141414"/>
          <w:sz w:val="19"/>
          <w:szCs w:val="19"/>
        </w:rPr>
        <w:t xml:space="preserve">~$104.7B</w:t>
      </w:r>
      <w:r>
        <w:rPr>
          <w:rFonts w:ascii="Calibri" w:cs="Calibri" w:eastAsia="Calibri" w:hAnsi="Calibri"/>
          <w:color w:val="6B6A66"/>
          <w:sz w:val="19"/>
          <w:szCs w:val="19"/>
        </w:rPr>
        <w:t xml:space="preserve">   ·   52-wk range </w:t>
      </w:r>
      <w:r>
        <w:rPr>
          <w:rFonts w:ascii="Calibri" w:cs="Calibri" w:eastAsia="Calibri" w:hAnsi="Calibri"/>
          <w:b/>
          <w:bCs/>
          <w:color w:val="141414"/>
          <w:sz w:val="19"/>
          <w:szCs w:val="19"/>
        </w:rPr>
        <w:t xml:space="preserve">$303.17 – $745.61</w:t>
      </w:r>
      <w:r>
        <w:rPr>
          <w:rFonts w:ascii="Calibri" w:cs="Calibri" w:eastAsia="Calibri" w:hAnsi="Calibri"/>
          <w:color w:val="6B6A66"/>
          <w:sz w:val="19"/>
          <w:szCs w:val="19"/>
        </w:rPr>
        <w:t xml:space="preserve">   ·   S&amp;P 500 member since Sep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500"/>
        <w:gridCol w:w="1600"/>
        <w:gridCol w:w="1660"/>
      </w:tblGrid>
      <w:tr>
        <w:trPr>
          <w:tblHeader/>
        </w:trPr>
        <w:tc>
          <w:tcPr>
            <w:tcW w:type="dxa" w:w="200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left"/>
            </w:pPr>
            <w:r>
              <w:rPr>
                <w:rFonts w:ascii="Calibri" w:cs="Calibri" w:eastAsia="Calibri" w:hAnsi="Calibri"/>
                <w:b/>
                <w:bCs/>
                <w:color w:val="3A3A38"/>
                <w:sz w:val="19"/>
                <w:szCs w:val="19"/>
              </w:rPr>
              <w:t xml:space="preserve">vs. Dec '25 ATH</w:t>
            </w:r>
          </w:p>
        </w:tc>
        <w:tc>
          <w:tcPr>
            <w:tcW w:type="dxa" w:w="130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9"/>
                <w:szCs w:val="19"/>
              </w:rPr>
              <w:t xml:space="preserve">Fwd P/E</w:t>
            </w:r>
          </w:p>
        </w:tc>
        <w:tc>
          <w:tcPr>
            <w:tcW w:type="dxa" w:w="130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9"/>
                <w:szCs w:val="19"/>
              </w:rPr>
              <w:t xml:space="preserve">EV/EBITDA</w:t>
            </w:r>
          </w:p>
        </w:tc>
        <w:tc>
          <w:tcPr>
            <w:tcW w:type="dxa" w:w="150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9"/>
                <w:szCs w:val="19"/>
              </w:rPr>
              <w:t xml:space="preserve">Rev growth TTM</w:t>
            </w:r>
          </w:p>
        </w:tc>
        <w:tc>
          <w:tcPr>
            <w:tcW w:type="dxa" w:w="160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9"/>
                <w:szCs w:val="19"/>
              </w:rPr>
              <w:t xml:space="preserve">Adj EBITDA mgn</w:t>
            </w:r>
          </w:p>
        </w:tc>
        <w:tc>
          <w:tcPr>
            <w:tcW w:type="dxa" w:w="166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9"/>
                <w:szCs w:val="19"/>
              </w:rPr>
              <w:t xml:space="preserve">TTM FCF</w:t>
            </w:r>
          </w:p>
        </w:tc>
      </w:tr>
      <w:tr>
        <w:tc>
          <w:tcPr>
            <w:tcW w:type="dxa" w:w="20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left"/>
            </w:pPr>
            <w:r>
              <w:rPr>
                <w:rFonts w:ascii="Calibri" w:cs="Calibri" w:eastAsia="Calibri" w:hAnsi="Calibri"/>
                <w:b/>
                <w:bCs/>
                <w:color w:val="C23434"/>
                <w:sz w:val="20"/>
                <w:szCs w:val="20"/>
              </w:rPr>
              <w:t xml:space="preserve">−58%</w:t>
            </w:r>
          </w:p>
        </w:tc>
        <w:tc>
          <w:tcPr>
            <w:tcW w:type="dxa" w:w="13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bCs/>
                <w:color w:val="141414"/>
                <w:sz w:val="20"/>
                <w:szCs w:val="20"/>
              </w:rPr>
              <w:t xml:space="preserve">17×</w:t>
            </w:r>
          </w:p>
        </w:tc>
        <w:tc>
          <w:tcPr>
            <w:tcW w:type="dxa" w:w="13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bCs/>
                <w:color w:val="141414"/>
                <w:sz w:val="20"/>
                <w:szCs w:val="20"/>
              </w:rPr>
              <w:t xml:space="preserve">19×</w:t>
            </w:r>
          </w:p>
        </w:tc>
        <w:tc>
          <w:tcPr>
            <w:tcW w:type="dxa" w:w="15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bCs/>
                <w:color w:val="006300"/>
                <w:sz w:val="20"/>
                <w:szCs w:val="20"/>
              </w:rPr>
              <w:t xml:space="preserve">+61%</w:t>
            </w:r>
          </w:p>
        </w:tc>
        <w:tc>
          <w:tcPr>
            <w:tcW w:type="dxa" w:w="16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bCs/>
                <w:color w:val="141414"/>
                <w:sz w:val="20"/>
                <w:szCs w:val="20"/>
              </w:rPr>
              <w:t xml:space="preserve">84%</w:t>
            </w:r>
          </w:p>
        </w:tc>
        <w:tc>
          <w:tcPr>
            <w:tcW w:type="dxa" w:w="166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bCs/>
                <w:color w:val="141414"/>
                <w:sz w:val="20"/>
                <w:szCs w:val="20"/>
              </w:rPr>
              <w:t xml:space="preserve">$4.5B</w:t>
            </w:r>
          </w:p>
        </w:tc>
      </w:tr>
    </w:tbl>
    <w:p>
      <w:pPr>
        <w:spacing w:after="160" w:before="60"/>
      </w:pPr>
      <w:r>
        <w:rPr>
          <w:rFonts w:ascii="Calibri" w:cs="Calibri" w:eastAsia="Calibri" w:hAnsi="Calibri"/>
          <w:i/>
          <w:iCs/>
          <w:color w:val="6B6A66"/>
          <w:sz w:val="17"/>
          <w:szCs w:val="17"/>
        </w:rPr>
        <w:t xml:space="preserve">$733.60 → $312.99. Forward P/E vs 50–59× at YE 2024/2025; EV/EBITDA vs 54–55×. Growth is advertising, continuing operations. Net debt ≈ $0.5B.</w:t>
      </w:r>
    </w:p>
    <w:p>
      <w:pPr>
        <w:spacing w:after="40" w:before="300"/>
      </w:pPr>
      <w:r>
        <w:rPr>
          <w:rFonts w:ascii="Calibri" w:cs="Calibri" w:eastAsia="Calibri" w:hAnsi="Calibri"/>
          <w:b/>
          <w:bCs/>
          <w:color w:val="2A78D6"/>
          <w:spacing w:val="30"/>
          <w:sz w:val="15"/>
          <w:szCs w:val="15"/>
        </w:rPr>
        <w:t xml:space="preserve">01 · THE CYCLE IN ONE CHART</w:t>
      </w:r>
    </w:p>
    <w:p>
      <w:pPr>
        <w:pStyle w:val="Heading1"/>
        <w:pBdr>
          <w:top w:val="single" w:color="141414" w:sz="12" w:space="6"/>
        </w:pBdr>
        <w:spacing w:after="100" w:before="360"/>
      </w:pPr>
      <w:r>
        <w:rPr>
          <w:rFonts w:ascii="Georgia" w:cs="Georgia" w:eastAsia="Georgia" w:hAnsi="Georgia"/>
          <w:b/>
          <w:bCs/>
          <w:color w:val="141414"/>
          <w:sz w:val="30"/>
          <w:szCs w:val="30"/>
        </w:rPr>
        <w:t xml:space="preserve">A boom-bust machine</w:t>
      </w:r>
    </w:p>
    <w:p>
      <w:pPr>
        <w:spacing w:after="120"/>
      </w:pPr>
      <w:r>
        <w:rPr>
          <w:rFonts w:ascii="Calibri" w:cs="Calibri" w:eastAsia="Calibri" w:hAnsi="Calibri"/>
          <w:color w:val="141414"/>
          <w:sz w:val="21"/>
          <w:szCs w:val="21"/>
        </w:rPr>
        <w:t xml:space="preserve">APP is one of the most violently cyclical large caps in the market. It IPO'd at $80 in April 2021, fell 92% to $9.30 by December 2022, then rose roughly 79-fold to $733.60 by December 2025 — including a +713% calendar year 2024, the best of any large-cap tech stock. It has since been cut by more than half in eight months: a short-seller campaign and SEC inquiry in 2025 (both survived), then a ~$40B single-day loss on August 6, 2026, when Q2 revenue missed consensus by roughly $20M.</w:t>
      </w:r>
    </w:p>
    <w:p>
      <w:pPr>
        <w:pStyle w:val="Heading2"/>
        <w:spacing w:after="80" w:before="240"/>
      </w:pPr>
      <w:r>
        <w:rPr>
          <w:rFonts w:ascii="Georgia" w:cs="Georgia" w:eastAsia="Georgia" w:hAnsi="Georgia"/>
          <w:b/>
          <w:bCs/>
          <w:color w:val="141414"/>
          <w:sz w:val="24"/>
          <w:szCs w:val="24"/>
        </w:rPr>
        <w:t xml:space="preserve">Share-price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60"/>
      </w:tblGrid>
      <w:tr>
        <w:trPr>
          <w:tblHeader/>
        </w:trPr>
        <w:tc>
          <w:tcPr>
            <w:tcW w:type="dxa" w:w="190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left"/>
            </w:pPr>
            <w:r>
              <w:rPr>
                <w:rFonts w:ascii="Calibri" w:cs="Calibri" w:eastAsia="Calibri" w:hAnsi="Calibri"/>
                <w:b/>
                <w:bCs/>
                <w:color w:val="3A3A38"/>
                <w:sz w:val="17"/>
                <w:szCs w:val="17"/>
              </w:rPr>
              <w:t xml:space="preserve">Date</w:t>
            </w:r>
          </w:p>
        </w:tc>
        <w:tc>
          <w:tcPr>
            <w:tcW w:type="dxa" w:w="140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7"/>
                <w:szCs w:val="17"/>
              </w:rPr>
              <w:t xml:space="preserve">Price</w:t>
            </w:r>
          </w:p>
        </w:tc>
        <w:tc>
          <w:tcPr>
            <w:tcW w:type="dxa" w:w="606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7"/>
                <w:szCs w:val="17"/>
              </w:rPr>
              <w:t xml:space="preserve">Event</w:t>
            </w:r>
          </w:p>
        </w:tc>
      </w:tr>
      <w:tr>
        <w:tc>
          <w:tcPr>
            <w:tcW w:type="dxa" w:w="19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left"/>
            </w:pPr>
            <w:r>
              <w:rPr>
                <w:rFonts w:ascii="Calibri" w:cs="Calibri" w:eastAsia="Calibri" w:hAnsi="Calibri"/>
                <w:b/>
                <w:bCs/>
                <w:color w:val="141414"/>
                <w:sz w:val="18"/>
                <w:szCs w:val="18"/>
              </w:rPr>
              <w:t xml:space="preserve">Apr 15, 2021</w:t>
            </w:r>
          </w:p>
        </w:tc>
        <w:tc>
          <w:tcPr>
            <w:tcW w:type="dxa" w:w="14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$65.20</w:t>
            </w:r>
          </w:p>
        </w:tc>
        <w:tc>
          <w:tcPr>
            <w:tcW w:type="dxa" w:w="606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IPO day close (priced at $80; fell 18.5% on debut)</w:t>
            </w:r>
          </w:p>
        </w:tc>
      </w:tr>
      <w:tr>
        <w:tc>
          <w:tcPr>
            <w:tcW w:type="dxa" w:w="19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left"/>
            </w:pPr>
            <w:r>
              <w:rPr>
                <w:rFonts w:ascii="Calibri" w:cs="Calibri" w:eastAsia="Calibri" w:hAnsi="Calibri"/>
                <w:b/>
                <w:bCs/>
                <w:color w:val="141414"/>
                <w:sz w:val="18"/>
                <w:szCs w:val="18"/>
              </w:rPr>
              <w:t xml:space="preserve">Nov 11, 2021</w:t>
            </w:r>
          </w:p>
        </w:tc>
        <w:tc>
          <w:tcPr>
            <w:tcW w:type="dxa" w:w="14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$114.85</w:t>
            </w:r>
          </w:p>
        </w:tc>
        <w:tc>
          <w:tcPr>
            <w:tcW w:type="dxa" w:w="606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Post-IPO peak</w:t>
            </w:r>
          </w:p>
        </w:tc>
      </w:tr>
      <w:tr>
        <w:tc>
          <w:tcPr>
            <w:tcW w:type="dxa" w:w="19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left"/>
            </w:pPr>
            <w:r>
              <w:rPr>
                <w:rFonts w:ascii="Calibri" w:cs="Calibri" w:eastAsia="Calibri" w:hAnsi="Calibri"/>
                <w:b/>
                <w:bCs/>
                <w:color w:val="141414"/>
                <w:sz w:val="18"/>
                <w:szCs w:val="18"/>
              </w:rPr>
              <w:t xml:space="preserve">Dec 27, 2022</w:t>
            </w:r>
          </w:p>
        </w:tc>
        <w:tc>
          <w:tcPr>
            <w:tcW w:type="dxa" w:w="14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$9.30</w:t>
            </w:r>
          </w:p>
        </w:tc>
        <w:tc>
          <w:tcPr>
            <w:tcW w:type="dxa" w:w="606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Bear-market trough — −92% from the 2021 peak</w:t>
            </w:r>
          </w:p>
        </w:tc>
      </w:tr>
      <w:tr>
        <w:tc>
          <w:tcPr>
            <w:tcW w:type="dxa" w:w="19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left"/>
            </w:pPr>
            <w:r>
              <w:rPr>
                <w:rFonts w:ascii="Calibri" w:cs="Calibri" w:eastAsia="Calibri" w:hAnsi="Calibri"/>
                <w:b/>
                <w:bCs/>
                <w:color w:val="141414"/>
                <w:sz w:val="18"/>
                <w:szCs w:val="18"/>
              </w:rPr>
              <w:t xml:space="preserve">YE 2023</w:t>
            </w:r>
          </w:p>
        </w:tc>
        <w:tc>
          <w:tcPr>
            <w:tcW w:type="dxa" w:w="14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$39.84</w:t>
            </w:r>
          </w:p>
        </w:tc>
        <w:tc>
          <w:tcPr>
            <w:tcW w:type="dxa" w:w="606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AXON 2.0 launch year: +278%</w:t>
            </w:r>
          </w:p>
        </w:tc>
      </w:tr>
      <w:tr>
        <w:tc>
          <w:tcPr>
            <w:tcW w:type="dxa" w:w="19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left"/>
            </w:pPr>
            <w:r>
              <w:rPr>
                <w:rFonts w:ascii="Calibri" w:cs="Calibri" w:eastAsia="Calibri" w:hAnsi="Calibri"/>
                <w:b/>
                <w:bCs/>
                <w:color w:val="141414"/>
                <w:sz w:val="18"/>
                <w:szCs w:val="18"/>
              </w:rPr>
              <w:t xml:space="preserve">Sep 16, 2024</w:t>
            </w:r>
          </w:p>
        </w:tc>
        <w:tc>
          <w:tcPr>
            <w:tcW w:type="dxa" w:w="14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~$115</w:t>
            </w:r>
          </w:p>
        </w:tc>
        <w:tc>
          <w:tcPr>
            <w:tcW w:type="dxa" w:w="606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Regains the 2021 peak</w:t>
            </w:r>
          </w:p>
        </w:tc>
      </w:tr>
      <w:tr>
        <w:tc>
          <w:tcPr>
            <w:tcW w:type="dxa" w:w="19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left"/>
            </w:pPr>
            <w:r>
              <w:rPr>
                <w:rFonts w:ascii="Calibri" w:cs="Calibri" w:eastAsia="Calibri" w:hAnsi="Calibri"/>
                <w:b/>
                <w:bCs/>
                <w:color w:val="141414"/>
                <w:sz w:val="18"/>
                <w:szCs w:val="18"/>
              </w:rPr>
              <w:t xml:space="preserve">YE 2024</w:t>
            </w:r>
          </w:p>
        </w:tc>
        <w:tc>
          <w:tcPr>
            <w:tcW w:type="dxa" w:w="14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$323.85</w:t>
            </w:r>
          </w:p>
        </w:tc>
        <w:tc>
          <w:tcPr>
            <w:tcW w:type="dxa" w:w="606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+713% for the year — best large-cap tech stock of 2024</w:t>
            </w:r>
          </w:p>
        </w:tc>
      </w:tr>
      <w:tr>
        <w:tc>
          <w:tcPr>
            <w:tcW w:type="dxa" w:w="19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left"/>
            </w:pPr>
            <w:r>
              <w:rPr>
                <w:rFonts w:ascii="Calibri" w:cs="Calibri" w:eastAsia="Calibri" w:hAnsi="Calibri"/>
                <w:b/>
                <w:bCs/>
                <w:color w:val="141414"/>
                <w:sz w:val="18"/>
                <w:szCs w:val="18"/>
              </w:rPr>
              <w:t xml:space="preserve">Feb 2025</w:t>
            </w:r>
          </w:p>
        </w:tc>
        <w:tc>
          <w:tcPr>
            <w:tcW w:type="dxa" w:w="14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~$525</w:t>
            </w:r>
          </w:p>
        </w:tc>
        <w:tc>
          <w:tcPr>
            <w:tcW w:type="dxa" w:w="606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Intraday high, then Fuzzy Panda/Culper (−12%) and Muddy Waters (−20%) short reports</w:t>
            </w:r>
          </w:p>
        </w:tc>
      </w:tr>
      <w:tr>
        <w:tc>
          <w:tcPr>
            <w:tcW w:type="dxa" w:w="19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left"/>
            </w:pPr>
            <w:r>
              <w:rPr>
                <w:rFonts w:ascii="Calibri" w:cs="Calibri" w:eastAsia="Calibri" w:hAnsi="Calibri"/>
                <w:b/>
                <w:bCs/>
                <w:color w:val="141414"/>
                <w:sz w:val="18"/>
                <w:szCs w:val="18"/>
              </w:rPr>
              <w:t xml:space="preserve">Sep 22, 2025</w:t>
            </w:r>
          </w:p>
        </w:tc>
        <w:tc>
          <w:tcPr>
            <w:tcW w:type="dxa" w:w="14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w:t>
            </w:r>
          </w:p>
        </w:tc>
        <w:tc>
          <w:tcPr>
            <w:tcW w:type="dxa" w:w="606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Added to the S&amp;P 500</w:t>
            </w:r>
          </w:p>
        </w:tc>
      </w:tr>
      <w:tr>
        <w:tc>
          <w:tcPr>
            <w:tcW w:type="dxa" w:w="19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left"/>
            </w:pPr>
            <w:r>
              <w:rPr>
                <w:rFonts w:ascii="Calibri" w:cs="Calibri" w:eastAsia="Calibri" w:hAnsi="Calibri"/>
                <w:b/>
                <w:bCs/>
                <w:color w:val="141414"/>
                <w:sz w:val="18"/>
                <w:szCs w:val="18"/>
              </w:rPr>
              <w:t xml:space="preserve">Dec 22, 2025</w:t>
            </w:r>
          </w:p>
        </w:tc>
        <w:tc>
          <w:tcPr>
            <w:tcW w:type="dxa" w:w="14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$733.60</w:t>
            </w:r>
          </w:p>
        </w:tc>
        <w:tc>
          <w:tcPr>
            <w:tcW w:type="dxa" w:w="606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All-time high close</w:t>
            </w:r>
          </w:p>
        </w:tc>
      </w:tr>
      <w:tr>
        <w:tc>
          <w:tcPr>
            <w:tcW w:type="dxa" w:w="19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left"/>
            </w:pPr>
            <w:r>
              <w:rPr>
                <w:rFonts w:ascii="Calibri" w:cs="Calibri" w:eastAsia="Calibri" w:hAnsi="Calibri"/>
                <w:b/>
                <w:bCs/>
                <w:color w:val="141414"/>
                <w:sz w:val="18"/>
                <w:szCs w:val="18"/>
              </w:rPr>
              <w:t xml:space="preserve">Aug 5–6, 2026</w:t>
            </w:r>
          </w:p>
        </w:tc>
        <w:tc>
          <w:tcPr>
            <w:tcW w:type="dxa" w:w="14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$417.80 →</w:t>
            </w:r>
          </w:p>
        </w:tc>
        <w:tc>
          <w:tcPr>
            <w:tcW w:type="dxa" w:w="606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Q2 2026 revenue miss; ~20% one-day drop, ~$40B of market value</w:t>
            </w:r>
          </w:p>
        </w:tc>
      </w:tr>
      <w:tr>
        <w:tc>
          <w:tcPr>
            <w:tcW w:type="dxa" w:w="19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left"/>
            </w:pPr>
            <w:r>
              <w:rPr>
                <w:rFonts w:ascii="Calibri" w:cs="Calibri" w:eastAsia="Calibri" w:hAnsi="Calibri"/>
                <w:b/>
                <w:bCs/>
                <w:color w:val="141414"/>
                <w:sz w:val="18"/>
                <w:szCs w:val="18"/>
              </w:rPr>
              <w:t xml:space="preserve">Aug 18, 2026</w:t>
            </w:r>
          </w:p>
        </w:tc>
        <w:tc>
          <w:tcPr>
            <w:tcW w:type="dxa" w:w="14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bCs/>
                <w:color w:val="141414"/>
                <w:sz w:val="18"/>
                <w:szCs w:val="18"/>
              </w:rPr>
              <w:t xml:space="preserve">$312.99</w:t>
            </w:r>
          </w:p>
        </w:tc>
        <w:tc>
          <w:tcPr>
            <w:tcW w:type="dxa" w:w="606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Current — −58% from the all-time high</w:t>
            </w:r>
          </w:p>
        </w:tc>
      </w:tr>
    </w:tbl>
    <w:p>
      <w:pPr>
        <w:spacing w:after="40" w:before="300"/>
      </w:pPr>
      <w:r>
        <w:rPr>
          <w:rFonts w:ascii="Calibri" w:cs="Calibri" w:eastAsia="Calibri" w:hAnsi="Calibri"/>
          <w:b/>
          <w:bCs/>
          <w:color w:val="2A78D6"/>
          <w:spacing w:val="30"/>
          <w:sz w:val="15"/>
          <w:szCs w:val="15"/>
        </w:rPr>
        <w:t xml:space="preserve">02 · QUARTERLY RESULTS, Q3 2021 – Q2 2026</w:t>
      </w:r>
    </w:p>
    <w:p>
      <w:pPr>
        <w:pStyle w:val="Heading1"/>
        <w:pBdr>
          <w:top w:val="single" w:color="141414" w:sz="12" w:space="6"/>
        </w:pBdr>
        <w:spacing w:after="100" w:before="360"/>
      </w:pPr>
      <w:r>
        <w:rPr>
          <w:rFonts w:ascii="Georgia" w:cs="Georgia" w:eastAsia="Georgia" w:hAnsi="Georgia"/>
          <w:b/>
          <w:bCs/>
          <w:color w:val="141414"/>
          <w:sz w:val="30"/>
          <w:szCs w:val="30"/>
        </w:rPr>
        <w:t xml:space="preserve">Twenty quarters: from games company to ad machine</w:t>
      </w:r>
    </w:p>
    <w:p>
      <w:pPr>
        <w:spacing w:after="120"/>
      </w:pPr>
      <w:r>
        <w:rPr>
          <w:rFonts w:ascii="Calibri" w:cs="Calibri" w:eastAsia="Calibri" w:hAnsi="Calibri"/>
          <w:color w:val="141414"/>
          <w:sz w:val="21"/>
          <w:szCs w:val="21"/>
        </w:rPr>
        <w:t xml:space="preserve">The revenue story is really two stories. Through 2022 the low-margin Apps (mobile games) segment was the bigger revenue line and was shrinking; the software/advertising side grew 56% even through the 2022 ad recession. The AXON 2.0 AI engine (Q2 2023) inflected advertising into hyper-growth, and in June 2025 AppLovin sold the entire games portfolio to Tripledot Studios ($400M cash plus ~20% of Tripledot equity), becoming a pure-play ad platform. From Q2 2025 onward, reported revenue is advertising only. Diluted EPS went from $0.06 to $3.76 in four years with no stock splits ever, helped by an ~11% share-count reduction from ~$4.7B of buybacks.</w:t>
      </w:r>
    </w:p>
    <w:tbl>
      <w:tblPr>
        <w:tblW w:type="dxa" w:w="9090"/>
        <w:tblBorders>
          <w:top w:val="single" w:color="auto" w:sz="4"/>
          <w:left w:val="single" w:color="auto" w:sz="4"/>
          <w:bottom w:val="single" w:color="auto" w:sz="4"/>
          <w:right w:val="single" w:color="auto" w:sz="4"/>
          <w:insideH w:val="single" w:color="auto" w:sz="4"/>
          <w:insideV w:val="single" w:color="auto" w:sz="4"/>
        </w:tblBorders>
      </w:tblPr>
      <w:tblGrid>
        <w:gridCol w:w="1160"/>
        <w:gridCol w:w="890"/>
        <w:gridCol w:w="950"/>
        <w:gridCol w:w="800"/>
        <w:gridCol w:w="1000"/>
        <w:gridCol w:w="850"/>
        <w:gridCol w:w="1010"/>
        <w:gridCol w:w="780"/>
        <w:gridCol w:w="850"/>
        <w:gridCol w:w="800"/>
      </w:tblGrid>
      <w:tr>
        <w:trPr>
          <w:tblHeader/>
        </w:trPr>
        <w:tc>
          <w:tcPr>
            <w:tcW w:type="dxa" w:w="116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left"/>
            </w:pPr>
            <w:r>
              <w:rPr>
                <w:rFonts w:ascii="Calibri" w:cs="Calibri" w:eastAsia="Calibri" w:hAnsi="Calibri"/>
                <w:b/>
                <w:bCs/>
                <w:color w:val="3A3A38"/>
                <w:sz w:val="15"/>
                <w:szCs w:val="15"/>
              </w:rPr>
              <w:t xml:space="preserve">Quarter</w:t>
            </w:r>
          </w:p>
        </w:tc>
        <w:tc>
          <w:tcPr>
            <w:tcW w:type="dxa" w:w="89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5"/>
                <w:szCs w:val="15"/>
              </w:rPr>
              <w:t xml:space="preserve">Rev $M</w:t>
            </w:r>
          </w:p>
        </w:tc>
        <w:tc>
          <w:tcPr>
            <w:tcW w:type="dxa" w:w="95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5"/>
                <w:szCs w:val="15"/>
              </w:rPr>
              <w:t xml:space="preserve">Adv $M</w:t>
            </w:r>
          </w:p>
        </w:tc>
        <w:tc>
          <w:tcPr>
            <w:tcW w:type="dxa" w:w="80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5"/>
                <w:szCs w:val="15"/>
              </w:rPr>
              <w:t xml:space="preserve">Apps $M</w:t>
            </w:r>
          </w:p>
        </w:tc>
        <w:tc>
          <w:tcPr>
            <w:tcW w:type="dxa" w:w="100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5"/>
                <w:szCs w:val="15"/>
              </w:rPr>
              <w:t xml:space="preserve">Net inc $M</w:t>
            </w:r>
          </w:p>
        </w:tc>
        <w:tc>
          <w:tcPr>
            <w:tcW w:type="dxa" w:w="85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5"/>
                <w:szCs w:val="15"/>
              </w:rPr>
              <w:t xml:space="preserve">Dil. EPS</w:t>
            </w:r>
          </w:p>
        </w:tc>
        <w:tc>
          <w:tcPr>
            <w:tcW w:type="dxa" w:w="101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5"/>
                <w:szCs w:val="15"/>
              </w:rPr>
              <w:t xml:space="preserve">EBITDA $M</w:t>
            </w:r>
          </w:p>
        </w:tc>
        <w:tc>
          <w:tcPr>
            <w:tcW w:type="dxa" w:w="78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5"/>
                <w:szCs w:val="15"/>
              </w:rPr>
              <w:t xml:space="preserve">Margin</w:t>
            </w:r>
          </w:p>
        </w:tc>
        <w:tc>
          <w:tcPr>
            <w:tcW w:type="dxa" w:w="85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5"/>
                <w:szCs w:val="15"/>
              </w:rPr>
              <w:t xml:space="preserve">FCF $M</w:t>
            </w:r>
          </w:p>
        </w:tc>
        <w:tc>
          <w:tcPr>
            <w:tcW w:type="dxa" w:w="80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5"/>
                <w:szCs w:val="15"/>
              </w:rPr>
              <w:t xml:space="preserve">YoY</w:t>
            </w:r>
          </w:p>
        </w:tc>
      </w:tr>
      <w:tr>
        <w:tc>
          <w:tcPr>
            <w:tcW w:type="dxa" w:w="116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left"/>
            </w:pPr>
            <w:r>
              <w:rPr>
                <w:rFonts w:ascii="Calibri" w:cs="Calibri" w:eastAsia="Calibri" w:hAnsi="Calibri"/>
                <w:b/>
                <w:bCs/>
                <w:color w:val="141414"/>
                <w:sz w:val="16"/>
                <w:szCs w:val="16"/>
              </w:rPr>
              <w:t xml:space="preserve">Q3 2021</w:t>
            </w:r>
          </w:p>
        </w:tc>
        <w:tc>
          <w:tcPr>
            <w:tcW w:type="dxa" w:w="89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727</w:t>
            </w:r>
          </w:p>
        </w:tc>
        <w:tc>
          <w:tcPr>
            <w:tcW w:type="dxa" w:w="9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193</w:t>
            </w:r>
          </w:p>
        </w:tc>
        <w:tc>
          <w:tcPr>
            <w:tcW w:type="dxa" w:w="8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534</w:t>
            </w:r>
          </w:p>
        </w:tc>
        <w:tc>
          <w:tcPr>
            <w:tcW w:type="dxa" w:w="10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0.1</w:t>
            </w:r>
          </w:p>
        </w:tc>
        <w:tc>
          <w:tcPr>
            <w:tcW w:type="dxa" w:w="8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$0.00</w:t>
            </w:r>
          </w:p>
        </w:tc>
        <w:tc>
          <w:tcPr>
            <w:tcW w:type="dxa" w:w="101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191</w:t>
            </w:r>
          </w:p>
        </w:tc>
        <w:tc>
          <w:tcPr>
            <w:tcW w:type="dxa" w:w="78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26%</w:t>
            </w:r>
          </w:p>
        </w:tc>
        <w:tc>
          <w:tcPr>
            <w:tcW w:type="dxa" w:w="8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124</w:t>
            </w:r>
          </w:p>
        </w:tc>
        <w:tc>
          <w:tcPr>
            <w:tcW w:type="dxa" w:w="8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006300"/>
                <w:sz w:val="16"/>
                <w:szCs w:val="16"/>
              </w:rPr>
              <w:t xml:space="preserve">+90%</w:t>
            </w:r>
          </w:p>
        </w:tc>
      </w:tr>
      <w:tr>
        <w:tc>
          <w:tcPr>
            <w:tcW w:type="dxa" w:w="116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left"/>
            </w:pPr>
            <w:r>
              <w:rPr>
                <w:rFonts w:ascii="Calibri" w:cs="Calibri" w:eastAsia="Calibri" w:hAnsi="Calibri"/>
                <w:b/>
                <w:bCs/>
                <w:color w:val="141414"/>
                <w:sz w:val="16"/>
                <w:szCs w:val="16"/>
              </w:rPr>
              <w:t xml:space="preserve">Q4 2021</w:t>
            </w:r>
          </w:p>
        </w:tc>
        <w:tc>
          <w:tcPr>
            <w:tcW w:type="dxa" w:w="89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794</w:t>
            </w:r>
          </w:p>
        </w:tc>
        <w:tc>
          <w:tcPr>
            <w:tcW w:type="dxa" w:w="9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247</w:t>
            </w:r>
          </w:p>
        </w:tc>
        <w:tc>
          <w:tcPr>
            <w:tcW w:type="dxa" w:w="8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547</w:t>
            </w:r>
          </w:p>
        </w:tc>
        <w:tc>
          <w:tcPr>
            <w:tcW w:type="dxa" w:w="10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31</w:t>
            </w:r>
          </w:p>
        </w:tc>
        <w:tc>
          <w:tcPr>
            <w:tcW w:type="dxa" w:w="8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$0.08</w:t>
            </w:r>
          </w:p>
        </w:tc>
        <w:tc>
          <w:tcPr>
            <w:tcW w:type="dxa" w:w="101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221</w:t>
            </w:r>
          </w:p>
        </w:tc>
        <w:tc>
          <w:tcPr>
            <w:tcW w:type="dxa" w:w="78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28%</w:t>
            </w:r>
          </w:p>
        </w:tc>
        <w:tc>
          <w:tcPr>
            <w:tcW w:type="dxa" w:w="8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85</w:t>
            </w:r>
          </w:p>
        </w:tc>
        <w:tc>
          <w:tcPr>
            <w:tcW w:type="dxa" w:w="8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006300"/>
                <w:sz w:val="16"/>
                <w:szCs w:val="16"/>
              </w:rPr>
              <w:t xml:space="preserve">+56%</w:t>
            </w:r>
          </w:p>
        </w:tc>
      </w:tr>
      <w:tr>
        <w:tc>
          <w:tcPr>
            <w:tcW w:type="dxa" w:w="116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left"/>
            </w:pPr>
            <w:r>
              <w:rPr>
                <w:rFonts w:ascii="Calibri" w:cs="Calibri" w:eastAsia="Calibri" w:hAnsi="Calibri"/>
                <w:b/>
                <w:bCs/>
                <w:color w:val="141414"/>
                <w:sz w:val="16"/>
                <w:szCs w:val="16"/>
              </w:rPr>
              <w:t xml:space="preserve">Q1 2022 *</w:t>
            </w:r>
          </w:p>
        </w:tc>
        <w:tc>
          <w:tcPr>
            <w:tcW w:type="dxa" w:w="89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625</w:t>
            </w:r>
          </w:p>
        </w:tc>
        <w:tc>
          <w:tcPr>
            <w:tcW w:type="dxa" w:w="9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119</w:t>
            </w:r>
          </w:p>
        </w:tc>
        <w:tc>
          <w:tcPr>
            <w:tcW w:type="dxa" w:w="8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507</w:t>
            </w:r>
          </w:p>
        </w:tc>
        <w:tc>
          <w:tcPr>
            <w:tcW w:type="dxa" w:w="10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C23434"/>
                <w:sz w:val="16"/>
                <w:szCs w:val="16"/>
              </w:rPr>
              <w:t xml:space="preserve">(115)</w:t>
            </w:r>
          </w:p>
        </w:tc>
        <w:tc>
          <w:tcPr>
            <w:tcW w:type="dxa" w:w="8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C23434"/>
                <w:sz w:val="16"/>
                <w:szCs w:val="16"/>
              </w:rPr>
              <w:t xml:space="preserve">($0.31)</w:t>
            </w:r>
          </w:p>
        </w:tc>
        <w:tc>
          <w:tcPr>
            <w:tcW w:type="dxa" w:w="101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276</w:t>
            </w:r>
          </w:p>
        </w:tc>
        <w:tc>
          <w:tcPr>
            <w:tcW w:type="dxa" w:w="78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44%*</w:t>
            </w:r>
          </w:p>
        </w:tc>
        <w:tc>
          <w:tcPr>
            <w:tcW w:type="dxa" w:w="8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C23434"/>
                <w:sz w:val="16"/>
                <w:szCs w:val="16"/>
              </w:rPr>
              <w:t xml:space="preserve">(32)</w:t>
            </w:r>
          </w:p>
        </w:tc>
        <w:tc>
          <w:tcPr>
            <w:tcW w:type="dxa" w:w="8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006300"/>
                <w:sz w:val="16"/>
                <w:szCs w:val="16"/>
              </w:rPr>
              <w:t xml:space="preserve">+4%</w:t>
            </w:r>
          </w:p>
        </w:tc>
      </w:tr>
      <w:tr>
        <w:tc>
          <w:tcPr>
            <w:tcW w:type="dxa" w:w="116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left"/>
            </w:pPr>
            <w:r>
              <w:rPr>
                <w:rFonts w:ascii="Calibri" w:cs="Calibri" w:eastAsia="Calibri" w:hAnsi="Calibri"/>
                <w:b/>
                <w:bCs/>
                <w:color w:val="141414"/>
                <w:sz w:val="16"/>
                <w:szCs w:val="16"/>
              </w:rPr>
              <w:t xml:space="preserve">Q2 2022</w:t>
            </w:r>
          </w:p>
        </w:tc>
        <w:tc>
          <w:tcPr>
            <w:tcW w:type="dxa" w:w="89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776</w:t>
            </w:r>
          </w:p>
        </w:tc>
        <w:tc>
          <w:tcPr>
            <w:tcW w:type="dxa" w:w="9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318</w:t>
            </w:r>
          </w:p>
        </w:tc>
        <w:tc>
          <w:tcPr>
            <w:tcW w:type="dxa" w:w="8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459</w:t>
            </w:r>
          </w:p>
        </w:tc>
        <w:tc>
          <w:tcPr>
            <w:tcW w:type="dxa" w:w="10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C23434"/>
                <w:sz w:val="16"/>
                <w:szCs w:val="16"/>
              </w:rPr>
              <w:t xml:space="preserve">(22)</w:t>
            </w:r>
          </w:p>
        </w:tc>
        <w:tc>
          <w:tcPr>
            <w:tcW w:type="dxa" w:w="8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C23434"/>
                <w:sz w:val="16"/>
                <w:szCs w:val="16"/>
              </w:rPr>
              <w:t xml:space="preserve">($0.06)</w:t>
            </w:r>
          </w:p>
        </w:tc>
        <w:tc>
          <w:tcPr>
            <w:tcW w:type="dxa" w:w="101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270</w:t>
            </w:r>
          </w:p>
        </w:tc>
        <w:tc>
          <w:tcPr>
            <w:tcW w:type="dxa" w:w="78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35%</w:t>
            </w:r>
          </w:p>
        </w:tc>
        <w:tc>
          <w:tcPr>
            <w:tcW w:type="dxa" w:w="8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107</w:t>
            </w:r>
          </w:p>
        </w:tc>
        <w:tc>
          <w:tcPr>
            <w:tcW w:type="dxa" w:w="8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006300"/>
                <w:sz w:val="16"/>
                <w:szCs w:val="16"/>
              </w:rPr>
              <w:t xml:space="preserve">+16%</w:t>
            </w:r>
          </w:p>
        </w:tc>
      </w:tr>
      <w:tr>
        <w:tc>
          <w:tcPr>
            <w:tcW w:type="dxa" w:w="116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left"/>
            </w:pPr>
            <w:r>
              <w:rPr>
                <w:rFonts w:ascii="Calibri" w:cs="Calibri" w:eastAsia="Calibri" w:hAnsi="Calibri"/>
                <w:b/>
                <w:bCs/>
                <w:color w:val="141414"/>
                <w:sz w:val="16"/>
                <w:szCs w:val="16"/>
              </w:rPr>
              <w:t xml:space="preserve">Q3 2022</w:t>
            </w:r>
          </w:p>
        </w:tc>
        <w:tc>
          <w:tcPr>
            <w:tcW w:type="dxa" w:w="89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713</w:t>
            </w:r>
          </w:p>
        </w:tc>
        <w:tc>
          <w:tcPr>
            <w:tcW w:type="dxa" w:w="9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307</w:t>
            </w:r>
          </w:p>
        </w:tc>
        <w:tc>
          <w:tcPr>
            <w:tcW w:type="dxa" w:w="8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407</w:t>
            </w:r>
          </w:p>
        </w:tc>
        <w:tc>
          <w:tcPr>
            <w:tcW w:type="dxa" w:w="10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24</w:t>
            </w:r>
          </w:p>
        </w:tc>
        <w:tc>
          <w:tcPr>
            <w:tcW w:type="dxa" w:w="8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$0.06</w:t>
            </w:r>
          </w:p>
        </w:tc>
        <w:tc>
          <w:tcPr>
            <w:tcW w:type="dxa" w:w="101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258</w:t>
            </w:r>
          </w:p>
        </w:tc>
        <w:tc>
          <w:tcPr>
            <w:tcW w:type="dxa" w:w="78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36%</w:t>
            </w:r>
          </w:p>
        </w:tc>
        <w:tc>
          <w:tcPr>
            <w:tcW w:type="dxa" w:w="8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174</w:t>
            </w:r>
          </w:p>
        </w:tc>
        <w:tc>
          <w:tcPr>
            <w:tcW w:type="dxa" w:w="8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C23434"/>
                <w:sz w:val="16"/>
                <w:szCs w:val="16"/>
              </w:rPr>
              <w:t xml:space="preserve">−2%</w:t>
            </w:r>
          </w:p>
        </w:tc>
      </w:tr>
      <w:tr>
        <w:tc>
          <w:tcPr>
            <w:tcW w:type="dxa" w:w="116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left"/>
            </w:pPr>
            <w:r>
              <w:rPr>
                <w:rFonts w:ascii="Calibri" w:cs="Calibri" w:eastAsia="Calibri" w:hAnsi="Calibri"/>
                <w:b/>
                <w:bCs/>
                <w:color w:val="141414"/>
                <w:sz w:val="16"/>
                <w:szCs w:val="16"/>
              </w:rPr>
              <w:t xml:space="preserve">Q4 2022</w:t>
            </w:r>
          </w:p>
        </w:tc>
        <w:tc>
          <w:tcPr>
            <w:tcW w:type="dxa" w:w="89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702</w:t>
            </w:r>
          </w:p>
        </w:tc>
        <w:tc>
          <w:tcPr>
            <w:tcW w:type="dxa" w:w="9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306</w:t>
            </w:r>
          </w:p>
        </w:tc>
        <w:tc>
          <w:tcPr>
            <w:tcW w:type="dxa" w:w="8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396</w:t>
            </w:r>
          </w:p>
        </w:tc>
        <w:tc>
          <w:tcPr>
            <w:tcW w:type="dxa" w:w="10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C23434"/>
                <w:sz w:val="16"/>
                <w:szCs w:val="16"/>
              </w:rPr>
              <w:t xml:space="preserve">(80)</w:t>
            </w:r>
          </w:p>
        </w:tc>
        <w:tc>
          <w:tcPr>
            <w:tcW w:type="dxa" w:w="8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C23434"/>
                <w:sz w:val="16"/>
                <w:szCs w:val="16"/>
              </w:rPr>
              <w:t xml:space="preserve">($0.22)</w:t>
            </w:r>
          </w:p>
        </w:tc>
        <w:tc>
          <w:tcPr>
            <w:tcW w:type="dxa" w:w="101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260</w:t>
            </w:r>
          </w:p>
        </w:tc>
        <w:tc>
          <w:tcPr>
            <w:tcW w:type="dxa" w:w="78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37%</w:t>
            </w:r>
          </w:p>
        </w:tc>
        <w:tc>
          <w:tcPr>
            <w:tcW w:type="dxa" w:w="8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163</w:t>
            </w:r>
          </w:p>
        </w:tc>
        <w:tc>
          <w:tcPr>
            <w:tcW w:type="dxa" w:w="8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C23434"/>
                <w:sz w:val="16"/>
                <w:szCs w:val="16"/>
              </w:rPr>
              <w:t xml:space="preserve">−11%</w:t>
            </w:r>
          </w:p>
        </w:tc>
      </w:tr>
      <w:tr>
        <w:tc>
          <w:tcPr>
            <w:tcW w:type="dxa" w:w="116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left"/>
            </w:pPr>
            <w:r>
              <w:rPr>
                <w:rFonts w:ascii="Calibri" w:cs="Calibri" w:eastAsia="Calibri" w:hAnsi="Calibri"/>
                <w:b/>
                <w:bCs/>
                <w:color w:val="141414"/>
                <w:sz w:val="16"/>
                <w:szCs w:val="16"/>
              </w:rPr>
              <w:t xml:space="preserve">Q1 2023</w:t>
            </w:r>
          </w:p>
        </w:tc>
        <w:tc>
          <w:tcPr>
            <w:tcW w:type="dxa" w:w="89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715</w:t>
            </w:r>
          </w:p>
        </w:tc>
        <w:tc>
          <w:tcPr>
            <w:tcW w:type="dxa" w:w="9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355</w:t>
            </w:r>
          </w:p>
        </w:tc>
        <w:tc>
          <w:tcPr>
            <w:tcW w:type="dxa" w:w="8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361</w:t>
            </w:r>
          </w:p>
        </w:tc>
        <w:tc>
          <w:tcPr>
            <w:tcW w:type="dxa" w:w="10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C23434"/>
                <w:sz w:val="16"/>
                <w:szCs w:val="16"/>
              </w:rPr>
              <w:t xml:space="preserve">(5)</w:t>
            </w:r>
          </w:p>
        </w:tc>
        <w:tc>
          <w:tcPr>
            <w:tcW w:type="dxa" w:w="8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C23434"/>
                <w:sz w:val="16"/>
                <w:szCs w:val="16"/>
              </w:rPr>
              <w:t xml:space="preserve">($0.01)</w:t>
            </w:r>
          </w:p>
        </w:tc>
        <w:tc>
          <w:tcPr>
            <w:tcW w:type="dxa" w:w="101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274</w:t>
            </w:r>
          </w:p>
        </w:tc>
        <w:tc>
          <w:tcPr>
            <w:tcW w:type="dxa" w:w="78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38%</w:t>
            </w:r>
          </w:p>
        </w:tc>
        <w:tc>
          <w:tcPr>
            <w:tcW w:type="dxa" w:w="8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289</w:t>
            </w:r>
          </w:p>
        </w:tc>
        <w:tc>
          <w:tcPr>
            <w:tcW w:type="dxa" w:w="8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006300"/>
                <w:sz w:val="16"/>
                <w:szCs w:val="16"/>
              </w:rPr>
              <w:t xml:space="preserve">+14%</w:t>
            </w:r>
          </w:p>
        </w:tc>
      </w:tr>
      <w:tr>
        <w:tc>
          <w:tcPr>
            <w:tcW w:type="dxa" w:w="116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left"/>
            </w:pPr>
            <w:r>
              <w:rPr>
                <w:rFonts w:ascii="Calibri" w:cs="Calibri" w:eastAsia="Calibri" w:hAnsi="Calibri"/>
                <w:b/>
                <w:bCs/>
                <w:color w:val="141414"/>
                <w:sz w:val="16"/>
                <w:szCs w:val="16"/>
              </w:rPr>
              <w:t xml:space="preserve">Q2 2023</w:t>
            </w:r>
          </w:p>
        </w:tc>
        <w:tc>
          <w:tcPr>
            <w:tcW w:type="dxa" w:w="89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750</w:t>
            </w:r>
          </w:p>
        </w:tc>
        <w:tc>
          <w:tcPr>
            <w:tcW w:type="dxa" w:w="9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406</w:t>
            </w:r>
          </w:p>
        </w:tc>
        <w:tc>
          <w:tcPr>
            <w:tcW w:type="dxa" w:w="8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344</w:t>
            </w:r>
          </w:p>
        </w:tc>
        <w:tc>
          <w:tcPr>
            <w:tcW w:type="dxa" w:w="10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80</w:t>
            </w:r>
          </w:p>
        </w:tc>
        <w:tc>
          <w:tcPr>
            <w:tcW w:type="dxa" w:w="8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$0.22</w:t>
            </w:r>
          </w:p>
        </w:tc>
        <w:tc>
          <w:tcPr>
            <w:tcW w:type="dxa" w:w="101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334</w:t>
            </w:r>
          </w:p>
        </w:tc>
        <w:tc>
          <w:tcPr>
            <w:tcW w:type="dxa" w:w="78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44%</w:t>
            </w:r>
          </w:p>
        </w:tc>
        <w:tc>
          <w:tcPr>
            <w:tcW w:type="dxa" w:w="8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221</w:t>
            </w:r>
          </w:p>
        </w:tc>
        <w:tc>
          <w:tcPr>
            <w:tcW w:type="dxa" w:w="8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C23434"/>
                <w:sz w:val="16"/>
                <w:szCs w:val="16"/>
              </w:rPr>
              <w:t xml:space="preserve">−3%</w:t>
            </w:r>
          </w:p>
        </w:tc>
      </w:tr>
      <w:tr>
        <w:tc>
          <w:tcPr>
            <w:tcW w:type="dxa" w:w="116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left"/>
            </w:pPr>
            <w:r>
              <w:rPr>
                <w:rFonts w:ascii="Calibri" w:cs="Calibri" w:eastAsia="Calibri" w:hAnsi="Calibri"/>
                <w:b/>
                <w:bCs/>
                <w:color w:val="141414"/>
                <w:sz w:val="16"/>
                <w:szCs w:val="16"/>
              </w:rPr>
              <w:t xml:space="preserve">Q3 2023</w:t>
            </w:r>
          </w:p>
        </w:tc>
        <w:tc>
          <w:tcPr>
            <w:tcW w:type="dxa" w:w="89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864</w:t>
            </w:r>
          </w:p>
        </w:tc>
        <w:tc>
          <w:tcPr>
            <w:tcW w:type="dxa" w:w="9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505</w:t>
            </w:r>
          </w:p>
        </w:tc>
        <w:tc>
          <w:tcPr>
            <w:tcW w:type="dxa" w:w="8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360</w:t>
            </w:r>
          </w:p>
        </w:tc>
        <w:tc>
          <w:tcPr>
            <w:tcW w:type="dxa" w:w="10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109</w:t>
            </w:r>
          </w:p>
        </w:tc>
        <w:tc>
          <w:tcPr>
            <w:tcW w:type="dxa" w:w="8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$0.30</w:t>
            </w:r>
          </w:p>
        </w:tc>
        <w:tc>
          <w:tcPr>
            <w:tcW w:type="dxa" w:w="101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419</w:t>
            </w:r>
          </w:p>
        </w:tc>
        <w:tc>
          <w:tcPr>
            <w:tcW w:type="dxa" w:w="78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49%</w:t>
            </w:r>
          </w:p>
        </w:tc>
        <w:tc>
          <w:tcPr>
            <w:tcW w:type="dxa" w:w="8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194</w:t>
            </w:r>
          </w:p>
        </w:tc>
        <w:tc>
          <w:tcPr>
            <w:tcW w:type="dxa" w:w="8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006300"/>
                <w:sz w:val="16"/>
                <w:szCs w:val="16"/>
              </w:rPr>
              <w:t xml:space="preserve">+21%</w:t>
            </w:r>
          </w:p>
        </w:tc>
      </w:tr>
      <w:tr>
        <w:tc>
          <w:tcPr>
            <w:tcW w:type="dxa" w:w="116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left"/>
            </w:pPr>
            <w:r>
              <w:rPr>
                <w:rFonts w:ascii="Calibri" w:cs="Calibri" w:eastAsia="Calibri" w:hAnsi="Calibri"/>
                <w:b/>
                <w:bCs/>
                <w:color w:val="141414"/>
                <w:sz w:val="16"/>
                <w:szCs w:val="16"/>
              </w:rPr>
              <w:t xml:space="preserve">Q4 2023</w:t>
            </w:r>
          </w:p>
        </w:tc>
        <w:tc>
          <w:tcPr>
            <w:tcW w:type="dxa" w:w="89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953</w:t>
            </w:r>
          </w:p>
        </w:tc>
        <w:tc>
          <w:tcPr>
            <w:tcW w:type="dxa" w:w="9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577</w:t>
            </w:r>
          </w:p>
        </w:tc>
        <w:tc>
          <w:tcPr>
            <w:tcW w:type="dxa" w:w="8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377</w:t>
            </w:r>
          </w:p>
        </w:tc>
        <w:tc>
          <w:tcPr>
            <w:tcW w:type="dxa" w:w="10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172</w:t>
            </w:r>
          </w:p>
        </w:tc>
        <w:tc>
          <w:tcPr>
            <w:tcW w:type="dxa" w:w="8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$0.49</w:t>
            </w:r>
          </w:p>
        </w:tc>
        <w:tc>
          <w:tcPr>
            <w:tcW w:type="dxa" w:w="101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476</w:t>
            </w:r>
          </w:p>
        </w:tc>
        <w:tc>
          <w:tcPr>
            <w:tcW w:type="dxa" w:w="78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50%</w:t>
            </w:r>
          </w:p>
        </w:tc>
        <w:tc>
          <w:tcPr>
            <w:tcW w:type="dxa" w:w="8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340</w:t>
            </w:r>
          </w:p>
        </w:tc>
        <w:tc>
          <w:tcPr>
            <w:tcW w:type="dxa" w:w="8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006300"/>
                <w:sz w:val="16"/>
                <w:szCs w:val="16"/>
              </w:rPr>
              <w:t xml:space="preserve">+36%</w:t>
            </w:r>
          </w:p>
        </w:tc>
      </w:tr>
      <w:tr>
        <w:tc>
          <w:tcPr>
            <w:tcW w:type="dxa" w:w="116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left"/>
            </w:pPr>
            <w:r>
              <w:rPr>
                <w:rFonts w:ascii="Calibri" w:cs="Calibri" w:eastAsia="Calibri" w:hAnsi="Calibri"/>
                <w:b/>
                <w:bCs/>
                <w:color w:val="141414"/>
                <w:sz w:val="16"/>
                <w:szCs w:val="16"/>
              </w:rPr>
              <w:t xml:space="preserve">Q1 2024</w:t>
            </w:r>
          </w:p>
        </w:tc>
        <w:tc>
          <w:tcPr>
            <w:tcW w:type="dxa" w:w="89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1,058</w:t>
            </w:r>
          </w:p>
        </w:tc>
        <w:tc>
          <w:tcPr>
            <w:tcW w:type="dxa" w:w="9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678</w:t>
            </w:r>
          </w:p>
        </w:tc>
        <w:tc>
          <w:tcPr>
            <w:tcW w:type="dxa" w:w="8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380</w:t>
            </w:r>
          </w:p>
        </w:tc>
        <w:tc>
          <w:tcPr>
            <w:tcW w:type="dxa" w:w="10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236</w:t>
            </w:r>
          </w:p>
        </w:tc>
        <w:tc>
          <w:tcPr>
            <w:tcW w:type="dxa" w:w="8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$0.67</w:t>
            </w:r>
          </w:p>
        </w:tc>
        <w:tc>
          <w:tcPr>
            <w:tcW w:type="dxa" w:w="101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549</w:t>
            </w:r>
          </w:p>
        </w:tc>
        <w:tc>
          <w:tcPr>
            <w:tcW w:type="dxa" w:w="78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52%</w:t>
            </w:r>
          </w:p>
        </w:tc>
        <w:tc>
          <w:tcPr>
            <w:tcW w:type="dxa" w:w="8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388</w:t>
            </w:r>
          </w:p>
        </w:tc>
        <w:tc>
          <w:tcPr>
            <w:tcW w:type="dxa" w:w="8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006300"/>
                <w:sz w:val="16"/>
                <w:szCs w:val="16"/>
              </w:rPr>
              <w:t xml:space="preserve">+48%</w:t>
            </w:r>
          </w:p>
        </w:tc>
      </w:tr>
      <w:tr>
        <w:tc>
          <w:tcPr>
            <w:tcW w:type="dxa" w:w="116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left"/>
            </w:pPr>
            <w:r>
              <w:rPr>
                <w:rFonts w:ascii="Calibri" w:cs="Calibri" w:eastAsia="Calibri" w:hAnsi="Calibri"/>
                <w:b/>
                <w:bCs/>
                <w:color w:val="141414"/>
                <w:sz w:val="16"/>
                <w:szCs w:val="16"/>
              </w:rPr>
              <w:t xml:space="preserve">Q2 2024</w:t>
            </w:r>
          </w:p>
        </w:tc>
        <w:tc>
          <w:tcPr>
            <w:tcW w:type="dxa" w:w="89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1,080</w:t>
            </w:r>
          </w:p>
        </w:tc>
        <w:tc>
          <w:tcPr>
            <w:tcW w:type="dxa" w:w="9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711</w:t>
            </w:r>
          </w:p>
        </w:tc>
        <w:tc>
          <w:tcPr>
            <w:tcW w:type="dxa" w:w="8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369</w:t>
            </w:r>
          </w:p>
        </w:tc>
        <w:tc>
          <w:tcPr>
            <w:tcW w:type="dxa" w:w="10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310</w:t>
            </w:r>
          </w:p>
        </w:tc>
        <w:tc>
          <w:tcPr>
            <w:tcW w:type="dxa" w:w="8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$0.89</w:t>
            </w:r>
          </w:p>
        </w:tc>
        <w:tc>
          <w:tcPr>
            <w:tcW w:type="dxa" w:w="101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601</w:t>
            </w:r>
          </w:p>
        </w:tc>
        <w:tc>
          <w:tcPr>
            <w:tcW w:type="dxa" w:w="78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56%</w:t>
            </w:r>
          </w:p>
        </w:tc>
        <w:tc>
          <w:tcPr>
            <w:tcW w:type="dxa" w:w="8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446</w:t>
            </w:r>
          </w:p>
        </w:tc>
        <w:tc>
          <w:tcPr>
            <w:tcW w:type="dxa" w:w="8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006300"/>
                <w:sz w:val="16"/>
                <w:szCs w:val="16"/>
              </w:rPr>
              <w:t xml:space="preserve">+44%</w:t>
            </w:r>
          </w:p>
        </w:tc>
      </w:tr>
      <w:tr>
        <w:tc>
          <w:tcPr>
            <w:tcW w:type="dxa" w:w="116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left"/>
            </w:pPr>
            <w:r>
              <w:rPr>
                <w:rFonts w:ascii="Calibri" w:cs="Calibri" w:eastAsia="Calibri" w:hAnsi="Calibri"/>
                <w:b/>
                <w:bCs/>
                <w:color w:val="141414"/>
                <w:sz w:val="16"/>
                <w:szCs w:val="16"/>
              </w:rPr>
              <w:t xml:space="preserve">Q3 2024</w:t>
            </w:r>
          </w:p>
        </w:tc>
        <w:tc>
          <w:tcPr>
            <w:tcW w:type="dxa" w:w="89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1,198</w:t>
            </w:r>
          </w:p>
        </w:tc>
        <w:tc>
          <w:tcPr>
            <w:tcW w:type="dxa" w:w="9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835</w:t>
            </w:r>
          </w:p>
        </w:tc>
        <w:tc>
          <w:tcPr>
            <w:tcW w:type="dxa" w:w="8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363</w:t>
            </w:r>
          </w:p>
        </w:tc>
        <w:tc>
          <w:tcPr>
            <w:tcW w:type="dxa" w:w="10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434</w:t>
            </w:r>
          </w:p>
        </w:tc>
        <w:tc>
          <w:tcPr>
            <w:tcW w:type="dxa" w:w="8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$1.25</w:t>
            </w:r>
          </w:p>
        </w:tc>
        <w:tc>
          <w:tcPr>
            <w:tcW w:type="dxa" w:w="101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722</w:t>
            </w:r>
          </w:p>
        </w:tc>
        <w:tc>
          <w:tcPr>
            <w:tcW w:type="dxa" w:w="78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60%</w:t>
            </w:r>
          </w:p>
        </w:tc>
        <w:tc>
          <w:tcPr>
            <w:tcW w:type="dxa" w:w="8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545</w:t>
            </w:r>
          </w:p>
        </w:tc>
        <w:tc>
          <w:tcPr>
            <w:tcW w:type="dxa" w:w="8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006300"/>
                <w:sz w:val="16"/>
                <w:szCs w:val="16"/>
              </w:rPr>
              <w:t xml:space="preserve">+39%</w:t>
            </w:r>
          </w:p>
        </w:tc>
      </w:tr>
      <w:tr>
        <w:tc>
          <w:tcPr>
            <w:tcW w:type="dxa" w:w="116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left"/>
            </w:pPr>
            <w:r>
              <w:rPr>
                <w:rFonts w:ascii="Calibri" w:cs="Calibri" w:eastAsia="Calibri" w:hAnsi="Calibri"/>
                <w:b/>
                <w:bCs/>
                <w:color w:val="141414"/>
                <w:sz w:val="16"/>
                <w:szCs w:val="16"/>
              </w:rPr>
              <w:t xml:space="preserve">Q4 2024</w:t>
            </w:r>
          </w:p>
        </w:tc>
        <w:tc>
          <w:tcPr>
            <w:tcW w:type="dxa" w:w="89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1,373</w:t>
            </w:r>
          </w:p>
        </w:tc>
        <w:tc>
          <w:tcPr>
            <w:tcW w:type="dxa" w:w="9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1,000</w:t>
            </w:r>
          </w:p>
        </w:tc>
        <w:tc>
          <w:tcPr>
            <w:tcW w:type="dxa" w:w="8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373</w:t>
            </w:r>
          </w:p>
        </w:tc>
        <w:tc>
          <w:tcPr>
            <w:tcW w:type="dxa" w:w="10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599</w:t>
            </w:r>
          </w:p>
        </w:tc>
        <w:tc>
          <w:tcPr>
            <w:tcW w:type="dxa" w:w="8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$1.73</w:t>
            </w:r>
          </w:p>
        </w:tc>
        <w:tc>
          <w:tcPr>
            <w:tcW w:type="dxa" w:w="101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848</w:t>
            </w:r>
          </w:p>
        </w:tc>
        <w:tc>
          <w:tcPr>
            <w:tcW w:type="dxa" w:w="78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62%</w:t>
            </w:r>
          </w:p>
        </w:tc>
        <w:tc>
          <w:tcPr>
            <w:tcW w:type="dxa" w:w="8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695</w:t>
            </w:r>
          </w:p>
        </w:tc>
        <w:tc>
          <w:tcPr>
            <w:tcW w:type="dxa" w:w="8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006300"/>
                <w:sz w:val="16"/>
                <w:szCs w:val="16"/>
              </w:rPr>
              <w:t xml:space="preserve">+44%</w:t>
            </w:r>
          </w:p>
        </w:tc>
      </w:tr>
      <w:tr>
        <w:tc>
          <w:tcPr>
            <w:tcW w:type="dxa" w:w="116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left"/>
            </w:pPr>
            <w:r>
              <w:rPr>
                <w:rFonts w:ascii="Calibri" w:cs="Calibri" w:eastAsia="Calibri" w:hAnsi="Calibri"/>
                <w:b/>
                <w:bCs/>
                <w:color w:val="141414"/>
                <w:sz w:val="16"/>
                <w:szCs w:val="16"/>
              </w:rPr>
              <w:t xml:space="preserve">Q1 2025</w:t>
            </w:r>
          </w:p>
        </w:tc>
        <w:tc>
          <w:tcPr>
            <w:tcW w:type="dxa" w:w="89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1,484</w:t>
            </w:r>
          </w:p>
        </w:tc>
        <w:tc>
          <w:tcPr>
            <w:tcW w:type="dxa" w:w="9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1,159</w:t>
            </w:r>
          </w:p>
        </w:tc>
        <w:tc>
          <w:tcPr>
            <w:tcW w:type="dxa" w:w="8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325</w:t>
            </w:r>
          </w:p>
        </w:tc>
        <w:tc>
          <w:tcPr>
            <w:tcW w:type="dxa" w:w="10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576</w:t>
            </w:r>
          </w:p>
        </w:tc>
        <w:tc>
          <w:tcPr>
            <w:tcW w:type="dxa" w:w="8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$1.67</w:t>
            </w:r>
          </w:p>
        </w:tc>
        <w:tc>
          <w:tcPr>
            <w:tcW w:type="dxa" w:w="101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1,005</w:t>
            </w:r>
          </w:p>
        </w:tc>
        <w:tc>
          <w:tcPr>
            <w:tcW w:type="dxa" w:w="78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68%</w:t>
            </w:r>
          </w:p>
        </w:tc>
        <w:tc>
          <w:tcPr>
            <w:tcW w:type="dxa" w:w="8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826</w:t>
            </w:r>
          </w:p>
        </w:tc>
        <w:tc>
          <w:tcPr>
            <w:tcW w:type="dxa" w:w="8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006300"/>
                <w:sz w:val="16"/>
                <w:szCs w:val="16"/>
              </w:rPr>
              <w:t xml:space="preserve">+40%</w:t>
            </w:r>
          </w:p>
        </w:tc>
      </w:tr>
      <w:tr>
        <w:tc>
          <w:tcPr>
            <w:tcW w:type="dxa" w:w="116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left"/>
            </w:pPr>
            <w:r>
              <w:rPr>
                <w:rFonts w:ascii="Calibri" w:cs="Calibri" w:eastAsia="Calibri" w:hAnsi="Calibri"/>
                <w:b/>
                <w:bCs/>
                <w:color w:val="141414"/>
                <w:sz w:val="16"/>
                <w:szCs w:val="16"/>
              </w:rPr>
              <w:t xml:space="preserve">Q2 2025 †</w:t>
            </w:r>
          </w:p>
        </w:tc>
        <w:tc>
          <w:tcPr>
            <w:tcW w:type="dxa" w:w="89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1,259</w:t>
            </w:r>
          </w:p>
        </w:tc>
        <w:tc>
          <w:tcPr>
            <w:tcW w:type="dxa" w:w="9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1,259</w:t>
            </w:r>
          </w:p>
        </w:tc>
        <w:tc>
          <w:tcPr>
            <w:tcW w:type="dxa" w:w="8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w:t>
            </w:r>
          </w:p>
        </w:tc>
        <w:tc>
          <w:tcPr>
            <w:tcW w:type="dxa" w:w="10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820</w:t>
            </w:r>
          </w:p>
        </w:tc>
        <w:tc>
          <w:tcPr>
            <w:tcW w:type="dxa" w:w="8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$2.39</w:t>
            </w:r>
          </w:p>
        </w:tc>
        <w:tc>
          <w:tcPr>
            <w:tcW w:type="dxa" w:w="101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1,018</w:t>
            </w:r>
          </w:p>
        </w:tc>
        <w:tc>
          <w:tcPr>
            <w:tcW w:type="dxa" w:w="78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81%</w:t>
            </w:r>
          </w:p>
        </w:tc>
        <w:tc>
          <w:tcPr>
            <w:tcW w:type="dxa" w:w="8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768</w:t>
            </w:r>
          </w:p>
        </w:tc>
        <w:tc>
          <w:tcPr>
            <w:tcW w:type="dxa" w:w="8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006300"/>
                <w:sz w:val="16"/>
                <w:szCs w:val="16"/>
              </w:rPr>
              <w:t xml:space="preserve">+77%</w:t>
            </w:r>
          </w:p>
        </w:tc>
      </w:tr>
      <w:tr>
        <w:tc>
          <w:tcPr>
            <w:tcW w:type="dxa" w:w="116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left"/>
            </w:pPr>
            <w:r>
              <w:rPr>
                <w:rFonts w:ascii="Calibri" w:cs="Calibri" w:eastAsia="Calibri" w:hAnsi="Calibri"/>
                <w:b/>
                <w:bCs/>
                <w:color w:val="141414"/>
                <w:sz w:val="16"/>
                <w:szCs w:val="16"/>
              </w:rPr>
              <w:t xml:space="preserve">Q3 2025 †</w:t>
            </w:r>
          </w:p>
        </w:tc>
        <w:tc>
          <w:tcPr>
            <w:tcW w:type="dxa" w:w="89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1,405</w:t>
            </w:r>
          </w:p>
        </w:tc>
        <w:tc>
          <w:tcPr>
            <w:tcW w:type="dxa" w:w="9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1,405</w:t>
            </w:r>
          </w:p>
        </w:tc>
        <w:tc>
          <w:tcPr>
            <w:tcW w:type="dxa" w:w="8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w:t>
            </w:r>
          </w:p>
        </w:tc>
        <w:tc>
          <w:tcPr>
            <w:tcW w:type="dxa" w:w="10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836</w:t>
            </w:r>
          </w:p>
        </w:tc>
        <w:tc>
          <w:tcPr>
            <w:tcW w:type="dxa" w:w="8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$2.45</w:t>
            </w:r>
          </w:p>
        </w:tc>
        <w:tc>
          <w:tcPr>
            <w:tcW w:type="dxa" w:w="101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1,158</w:t>
            </w:r>
          </w:p>
        </w:tc>
        <w:tc>
          <w:tcPr>
            <w:tcW w:type="dxa" w:w="78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82%</w:t>
            </w:r>
          </w:p>
        </w:tc>
        <w:tc>
          <w:tcPr>
            <w:tcW w:type="dxa" w:w="8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1,049</w:t>
            </w:r>
          </w:p>
        </w:tc>
        <w:tc>
          <w:tcPr>
            <w:tcW w:type="dxa" w:w="8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006300"/>
                <w:sz w:val="16"/>
                <w:szCs w:val="16"/>
              </w:rPr>
              <w:t xml:space="preserve">+68%</w:t>
            </w:r>
          </w:p>
        </w:tc>
      </w:tr>
      <w:tr>
        <w:tc>
          <w:tcPr>
            <w:tcW w:type="dxa" w:w="116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left"/>
            </w:pPr>
            <w:r>
              <w:rPr>
                <w:rFonts w:ascii="Calibri" w:cs="Calibri" w:eastAsia="Calibri" w:hAnsi="Calibri"/>
                <w:b/>
                <w:bCs/>
                <w:color w:val="141414"/>
                <w:sz w:val="16"/>
                <w:szCs w:val="16"/>
              </w:rPr>
              <w:t xml:space="preserve">Q4 2025 †</w:t>
            </w:r>
          </w:p>
        </w:tc>
        <w:tc>
          <w:tcPr>
            <w:tcW w:type="dxa" w:w="89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1,658</w:t>
            </w:r>
          </w:p>
        </w:tc>
        <w:tc>
          <w:tcPr>
            <w:tcW w:type="dxa" w:w="9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1,658</w:t>
            </w:r>
          </w:p>
        </w:tc>
        <w:tc>
          <w:tcPr>
            <w:tcW w:type="dxa" w:w="8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w:t>
            </w:r>
          </w:p>
        </w:tc>
        <w:tc>
          <w:tcPr>
            <w:tcW w:type="dxa" w:w="10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1,102</w:t>
            </w:r>
          </w:p>
        </w:tc>
        <w:tc>
          <w:tcPr>
            <w:tcW w:type="dxa" w:w="8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$3.24</w:t>
            </w:r>
          </w:p>
        </w:tc>
        <w:tc>
          <w:tcPr>
            <w:tcW w:type="dxa" w:w="101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1,399</w:t>
            </w:r>
          </w:p>
        </w:tc>
        <w:tc>
          <w:tcPr>
            <w:tcW w:type="dxa" w:w="78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84%</w:t>
            </w:r>
          </w:p>
        </w:tc>
        <w:tc>
          <w:tcPr>
            <w:tcW w:type="dxa" w:w="8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1,309</w:t>
            </w:r>
          </w:p>
        </w:tc>
        <w:tc>
          <w:tcPr>
            <w:tcW w:type="dxa" w:w="8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006300"/>
                <w:sz w:val="16"/>
                <w:szCs w:val="16"/>
              </w:rPr>
              <w:t xml:space="preserve">+66%</w:t>
            </w:r>
          </w:p>
        </w:tc>
      </w:tr>
      <w:tr>
        <w:tc>
          <w:tcPr>
            <w:tcW w:type="dxa" w:w="116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left"/>
            </w:pPr>
            <w:r>
              <w:rPr>
                <w:rFonts w:ascii="Calibri" w:cs="Calibri" w:eastAsia="Calibri" w:hAnsi="Calibri"/>
                <w:b/>
                <w:bCs/>
                <w:color w:val="141414"/>
                <w:sz w:val="16"/>
                <w:szCs w:val="16"/>
              </w:rPr>
              <w:t xml:space="preserve">Q1 2026 †</w:t>
            </w:r>
          </w:p>
        </w:tc>
        <w:tc>
          <w:tcPr>
            <w:tcW w:type="dxa" w:w="89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1,842</w:t>
            </w:r>
          </w:p>
        </w:tc>
        <w:tc>
          <w:tcPr>
            <w:tcW w:type="dxa" w:w="9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1,842</w:t>
            </w:r>
          </w:p>
        </w:tc>
        <w:tc>
          <w:tcPr>
            <w:tcW w:type="dxa" w:w="8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w:t>
            </w:r>
          </w:p>
        </w:tc>
        <w:tc>
          <w:tcPr>
            <w:tcW w:type="dxa" w:w="10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1,206</w:t>
            </w:r>
          </w:p>
        </w:tc>
        <w:tc>
          <w:tcPr>
            <w:tcW w:type="dxa" w:w="8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$3.56</w:t>
            </w:r>
          </w:p>
        </w:tc>
        <w:tc>
          <w:tcPr>
            <w:tcW w:type="dxa" w:w="101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1,560</w:t>
            </w:r>
          </w:p>
        </w:tc>
        <w:tc>
          <w:tcPr>
            <w:tcW w:type="dxa" w:w="78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85%</w:t>
            </w:r>
          </w:p>
        </w:tc>
        <w:tc>
          <w:tcPr>
            <w:tcW w:type="dxa" w:w="8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1,291</w:t>
            </w:r>
          </w:p>
        </w:tc>
        <w:tc>
          <w:tcPr>
            <w:tcW w:type="dxa" w:w="8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006300"/>
                <w:sz w:val="16"/>
                <w:szCs w:val="16"/>
              </w:rPr>
              <w:t xml:space="preserve">+59%</w:t>
            </w:r>
          </w:p>
        </w:tc>
      </w:tr>
      <w:tr>
        <w:tc>
          <w:tcPr>
            <w:tcW w:type="dxa" w:w="116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left"/>
            </w:pPr>
            <w:r>
              <w:rPr>
                <w:rFonts w:ascii="Calibri" w:cs="Calibri" w:eastAsia="Calibri" w:hAnsi="Calibri"/>
                <w:b/>
                <w:bCs/>
                <w:color w:val="141414"/>
                <w:sz w:val="16"/>
                <w:szCs w:val="16"/>
              </w:rPr>
              <w:t xml:space="preserve">Q2 2026 †</w:t>
            </w:r>
          </w:p>
        </w:tc>
        <w:tc>
          <w:tcPr>
            <w:tcW w:type="dxa" w:w="89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1,924</w:t>
            </w:r>
          </w:p>
        </w:tc>
        <w:tc>
          <w:tcPr>
            <w:tcW w:type="dxa" w:w="9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1,924</w:t>
            </w:r>
          </w:p>
        </w:tc>
        <w:tc>
          <w:tcPr>
            <w:tcW w:type="dxa" w:w="8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w:t>
            </w:r>
          </w:p>
        </w:tc>
        <w:tc>
          <w:tcPr>
            <w:tcW w:type="dxa" w:w="10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1,267</w:t>
            </w:r>
          </w:p>
        </w:tc>
        <w:tc>
          <w:tcPr>
            <w:tcW w:type="dxa" w:w="8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$3.76</w:t>
            </w:r>
          </w:p>
        </w:tc>
        <w:tc>
          <w:tcPr>
            <w:tcW w:type="dxa" w:w="101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1,614</w:t>
            </w:r>
          </w:p>
        </w:tc>
        <w:tc>
          <w:tcPr>
            <w:tcW w:type="dxa" w:w="78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84%</w:t>
            </w:r>
          </w:p>
        </w:tc>
        <w:tc>
          <w:tcPr>
            <w:tcW w:type="dxa" w:w="8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6"/>
                <w:szCs w:val="16"/>
              </w:rPr>
              <w:t xml:space="preserve">863</w:t>
            </w:r>
          </w:p>
        </w:tc>
        <w:tc>
          <w:tcPr>
            <w:tcW w:type="dxa" w:w="8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006300"/>
                <w:sz w:val="16"/>
                <w:szCs w:val="16"/>
              </w:rPr>
              <w:t xml:space="preserve">+53%</w:t>
            </w:r>
          </w:p>
        </w:tc>
      </w:tr>
    </w:tbl>
    <w:p>
      <w:pPr>
        <w:spacing w:after="160" w:before="60"/>
      </w:pPr>
      <w:r>
        <w:rPr>
          <w:rFonts w:ascii="Calibri" w:cs="Calibri" w:eastAsia="Calibri" w:hAnsi="Calibri"/>
          <w:i/>
          <w:iCs/>
          <w:color w:val="6B6A66"/>
          <w:sz w:val="17"/>
          <w:szCs w:val="17"/>
        </w:rPr>
        <w:t xml:space="preserve">* Q1 2022 is distorted by $210M of one-time MoPub-migration publisher bonuses booked as contra-revenue and added back to adjusted EBITDA (hence the inflated 44% margin).  † Continuing operations (advertising only) after the Tripledot divestiture; YoY growth is against restated prior-year advertising revenue. Adjusted EBITDA is non-GAAP. FCF before Q2 2023 is an aggregator approximation. Sources: AppLovin IR press releases and SEC shareholder letters; stockanalysis.com.</w:t>
      </w:r>
    </w:p>
    <w:p>
      <w:pPr>
        <w:pStyle w:val="Heading2"/>
        <w:spacing w:after="80" w:before="240"/>
      </w:pPr>
      <w:r>
        <w:rPr>
          <w:rFonts w:ascii="Georgia" w:cs="Georgia" w:eastAsia="Georgia" w:hAnsi="Georgia"/>
          <w:b/>
          <w:bCs/>
          <w:color w:val="141414"/>
          <w:sz w:val="24"/>
          <w:szCs w:val="24"/>
        </w:rPr>
        <w:t xml:space="preserve">Guidance track record</w:t>
      </w:r>
    </w:p>
    <w:p>
      <w:pPr>
        <w:spacing w:after="120"/>
      </w:pPr>
      <w:r>
        <w:rPr>
          <w:rFonts w:ascii="Calibri" w:cs="Calibri" w:eastAsia="Calibri" w:hAnsi="Calibri"/>
          <w:color w:val="141414"/>
          <w:sz w:val="21"/>
          <w:szCs w:val="21"/>
        </w:rPr>
        <w:t xml:space="preserve">APP beat guidance essentially every quarter from Q3 2023 (the AXON inflection; stock +20% the next day) through Q1 2026 — including the Q3 2024 blowout (+46% next day) and Q4 2024 (+24–30% next day, alongside the Apps-sale announcement). Q2 2026 (reported August 5, 2026) was the first stumble: $1.924B (+53% YoY) missed consensus by ~$20M and landed at the low end of guidance; management cited gaming-vertical softness and a slower cadence of AI model improvements. The stock fell more than 20% — its worst earnings reaction ever — a measure of how much perfection was priced in. Q3 2026 guidance: revenue $2.055–2.085B (+46–48%), adjusted EBITDA $1.71–1.74B.</w:t>
      </w:r>
    </w:p>
    <w:p>
      <w:pPr>
        <w:spacing w:after="40" w:before="300"/>
      </w:pPr>
      <w:r>
        <w:rPr>
          <w:rFonts w:ascii="Calibri" w:cs="Calibri" w:eastAsia="Calibri" w:hAnsi="Calibri"/>
          <w:b/>
          <w:bCs/>
          <w:color w:val="2A78D6"/>
          <w:spacing w:val="30"/>
          <w:sz w:val="15"/>
          <w:szCs w:val="15"/>
        </w:rPr>
        <w:t xml:space="preserve">03 · VALUATION VS. ITS OWN HISTORY</w:t>
      </w:r>
    </w:p>
    <w:p>
      <w:pPr>
        <w:pStyle w:val="Heading1"/>
        <w:pBdr>
          <w:top w:val="single" w:color="141414" w:sz="12" w:space="6"/>
        </w:pBdr>
        <w:spacing w:after="100" w:before="360"/>
      </w:pPr>
      <w:r>
        <w:rPr>
          <w:rFonts w:ascii="Georgia" w:cs="Georgia" w:eastAsia="Georgia" w:hAnsi="Georgia"/>
          <w:b/>
          <w:bCs/>
          <w:color w:val="141414"/>
          <w:sz w:val="30"/>
          <w:szCs w:val="30"/>
        </w:rPr>
        <w:t xml:space="preserve">Cheapest since the 2022 trough — on earnings, not on sales</w:t>
      </w:r>
    </w:p>
    <w:p>
      <w:pPr>
        <w:spacing w:after="120"/>
      </w:pPr>
      <w:r>
        <w:rPr>
          <w:rFonts w:ascii="Calibri" w:cs="Calibri" w:eastAsia="Calibri" w:hAnsi="Calibri"/>
          <w:color w:val="141414"/>
          <w:sz w:val="21"/>
          <w:szCs w:val="21"/>
        </w:rPr>
        <w:t xml:space="preserve">Multiple compression has done most of the damage. On forward earnings, APP at ~17× is the cheapest it has ever traded — below even year-end 2022 (42×), because back then earnings were collapsing while today consensus still expects +56% EPS growth in 2026 and +27% in 2027. EV/EBITDA at 19× is a third of the 2024–25 peak. The one metric that is not historically cheap is EV-to-sales (~15×) — a reminder that today's earnings ride on an 85% EBITDA margin that history's comparisons never had, and that the margin itself is now the thing being valued.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230"/>
        <w:gridCol w:w="1230"/>
        <w:gridCol w:w="1230"/>
        <w:gridCol w:w="1230"/>
        <w:gridCol w:w="1230"/>
        <w:gridCol w:w="1460"/>
      </w:tblGrid>
      <w:tr>
        <w:trPr>
          <w:tblHeader/>
        </w:trPr>
        <w:tc>
          <w:tcPr>
            <w:tcW w:type="dxa" w:w="175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left"/>
            </w:pPr>
            <w:r>
              <w:rPr>
                <w:rFonts w:ascii="Calibri" w:cs="Calibri" w:eastAsia="Calibri" w:hAnsi="Calibri"/>
                <w:b/>
                <w:bCs/>
                <w:color w:val="3A3A38"/>
                <w:sz w:val="17"/>
                <w:szCs w:val="17"/>
              </w:rPr>
              <w:t xml:space="preserve">Metric</w:t>
            </w:r>
          </w:p>
        </w:tc>
        <w:tc>
          <w:tcPr>
            <w:tcW w:type="dxa" w:w="123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7"/>
                <w:szCs w:val="17"/>
              </w:rPr>
              <w:t xml:space="preserve">YE 2021</w:t>
            </w:r>
          </w:p>
        </w:tc>
        <w:tc>
          <w:tcPr>
            <w:tcW w:type="dxa" w:w="123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7"/>
                <w:szCs w:val="17"/>
              </w:rPr>
              <w:t xml:space="preserve">YE 2022</w:t>
            </w:r>
          </w:p>
        </w:tc>
        <w:tc>
          <w:tcPr>
            <w:tcW w:type="dxa" w:w="123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7"/>
                <w:szCs w:val="17"/>
              </w:rPr>
              <w:t xml:space="preserve">YE 2023</w:t>
            </w:r>
          </w:p>
        </w:tc>
        <w:tc>
          <w:tcPr>
            <w:tcW w:type="dxa" w:w="123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7"/>
                <w:szCs w:val="17"/>
              </w:rPr>
              <w:t xml:space="preserve">YE 2024</w:t>
            </w:r>
          </w:p>
        </w:tc>
        <w:tc>
          <w:tcPr>
            <w:tcW w:type="dxa" w:w="123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7"/>
                <w:szCs w:val="17"/>
              </w:rPr>
              <w:t xml:space="preserve">YE 2025</w:t>
            </w:r>
          </w:p>
        </w:tc>
        <w:tc>
          <w:tcPr>
            <w:tcW w:type="dxa" w:w="146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7"/>
                <w:szCs w:val="17"/>
              </w:rPr>
              <w:t xml:space="preserve">Now (8/18)</w:t>
            </w:r>
          </w:p>
        </w:tc>
      </w:tr>
      <w:tr>
        <w:tc>
          <w:tcPr>
            <w:tcW w:type="dxa" w:w="17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left"/>
            </w:pPr>
            <w:r>
              <w:rPr>
                <w:rFonts w:ascii="Calibri" w:cs="Calibri" w:eastAsia="Calibri" w:hAnsi="Calibri"/>
                <w:b/>
                <w:bCs/>
                <w:color w:val="141414"/>
                <w:sz w:val="18"/>
                <w:szCs w:val="18"/>
              </w:rPr>
              <w:t xml:space="preserve">Approx. price</w:t>
            </w:r>
          </w:p>
        </w:tc>
        <w:tc>
          <w:tcPr>
            <w:tcW w:type="dxa" w:w="123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~$94</w:t>
            </w:r>
          </w:p>
        </w:tc>
        <w:tc>
          <w:tcPr>
            <w:tcW w:type="dxa" w:w="123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$10.54</w:t>
            </w:r>
          </w:p>
        </w:tc>
        <w:tc>
          <w:tcPr>
            <w:tcW w:type="dxa" w:w="123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$39.84</w:t>
            </w:r>
          </w:p>
        </w:tc>
        <w:tc>
          <w:tcPr>
            <w:tcW w:type="dxa" w:w="123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$323.85</w:t>
            </w:r>
          </w:p>
        </w:tc>
        <w:tc>
          <w:tcPr>
            <w:tcW w:type="dxa" w:w="123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~$670</w:t>
            </w:r>
          </w:p>
        </w:tc>
        <w:tc>
          <w:tcPr>
            <w:tcW w:type="dxa" w:w="146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bCs/>
                <w:color w:val="141414"/>
                <w:sz w:val="18"/>
                <w:szCs w:val="18"/>
              </w:rPr>
              <w:t xml:space="preserve">$312.99</w:t>
            </w:r>
          </w:p>
        </w:tc>
      </w:tr>
      <w:tr>
        <w:tc>
          <w:tcPr>
            <w:tcW w:type="dxa" w:w="17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left"/>
            </w:pPr>
            <w:r>
              <w:rPr>
                <w:rFonts w:ascii="Calibri" w:cs="Calibri" w:eastAsia="Calibri" w:hAnsi="Calibri"/>
                <w:b/>
                <w:bCs/>
                <w:color w:val="141414"/>
                <w:sz w:val="18"/>
                <w:szCs w:val="18"/>
              </w:rPr>
              <w:t xml:space="preserve">Market cap</w:t>
            </w:r>
          </w:p>
        </w:tc>
        <w:tc>
          <w:tcPr>
            <w:tcW w:type="dxa" w:w="123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$35.3B</w:t>
            </w:r>
          </w:p>
        </w:tc>
        <w:tc>
          <w:tcPr>
            <w:tcW w:type="dxa" w:w="123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$3.9B</w:t>
            </w:r>
          </w:p>
        </w:tc>
        <w:tc>
          <w:tcPr>
            <w:tcW w:type="dxa" w:w="123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$13.4B</w:t>
            </w:r>
          </w:p>
        </w:tc>
        <w:tc>
          <w:tcPr>
            <w:tcW w:type="dxa" w:w="123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$108.7B</w:t>
            </w:r>
          </w:p>
        </w:tc>
        <w:tc>
          <w:tcPr>
            <w:tcW w:type="dxa" w:w="123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$227.7B</w:t>
            </w:r>
          </w:p>
        </w:tc>
        <w:tc>
          <w:tcPr>
            <w:tcW w:type="dxa" w:w="146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bCs/>
                <w:color w:val="141414"/>
                <w:sz w:val="18"/>
                <w:szCs w:val="18"/>
              </w:rPr>
              <w:t xml:space="preserve">$104.7B</w:t>
            </w:r>
          </w:p>
        </w:tc>
      </w:tr>
      <w:tr>
        <w:tc>
          <w:tcPr>
            <w:tcW w:type="dxa" w:w="17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left"/>
            </w:pPr>
            <w:r>
              <w:rPr>
                <w:rFonts w:ascii="Calibri" w:cs="Calibri" w:eastAsia="Calibri" w:hAnsi="Calibri"/>
                <w:b/>
                <w:bCs/>
                <w:color w:val="141414"/>
                <w:sz w:val="18"/>
                <w:szCs w:val="18"/>
              </w:rPr>
              <w:t xml:space="preserve">Trailing P/E</w:t>
            </w:r>
          </w:p>
        </w:tc>
        <w:tc>
          <w:tcPr>
            <w:tcW w:type="dxa" w:w="123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~1,113×</w:t>
            </w:r>
          </w:p>
        </w:tc>
        <w:tc>
          <w:tcPr>
            <w:tcW w:type="dxa" w:w="123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n/m (loss)</w:t>
            </w:r>
          </w:p>
        </w:tc>
        <w:tc>
          <w:tcPr>
            <w:tcW w:type="dxa" w:w="123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37.8×</w:t>
            </w:r>
          </w:p>
        </w:tc>
        <w:tc>
          <w:tcPr>
            <w:tcW w:type="dxa" w:w="123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68.9×</w:t>
            </w:r>
          </w:p>
        </w:tc>
        <w:tc>
          <w:tcPr>
            <w:tcW w:type="dxa" w:w="123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68.3×</w:t>
            </w:r>
          </w:p>
        </w:tc>
        <w:tc>
          <w:tcPr>
            <w:tcW w:type="dxa" w:w="146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bCs/>
                <w:color w:val="141414"/>
                <w:sz w:val="18"/>
                <w:szCs w:val="18"/>
              </w:rPr>
              <w:t xml:space="preserve">24.0×</w:t>
            </w:r>
          </w:p>
        </w:tc>
      </w:tr>
      <w:tr>
        <w:tc>
          <w:tcPr>
            <w:tcW w:type="dxa" w:w="17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left"/>
            </w:pPr>
            <w:r>
              <w:rPr>
                <w:rFonts w:ascii="Calibri" w:cs="Calibri" w:eastAsia="Calibri" w:hAnsi="Calibri"/>
                <w:b/>
                <w:bCs/>
                <w:color w:val="141414"/>
                <w:sz w:val="18"/>
                <w:szCs w:val="18"/>
              </w:rPr>
              <w:t xml:space="preserve">Forward P/E</w:t>
            </w:r>
          </w:p>
        </w:tc>
        <w:tc>
          <w:tcPr>
            <w:tcW w:type="dxa" w:w="123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57.6×</w:t>
            </w:r>
          </w:p>
        </w:tc>
        <w:tc>
          <w:tcPr>
            <w:tcW w:type="dxa" w:w="123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41.9×</w:t>
            </w:r>
          </w:p>
        </w:tc>
        <w:tc>
          <w:tcPr>
            <w:tcW w:type="dxa" w:w="123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28.4×</w:t>
            </w:r>
          </w:p>
        </w:tc>
        <w:tc>
          <w:tcPr>
            <w:tcW w:type="dxa" w:w="123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58.5×</w:t>
            </w:r>
          </w:p>
        </w:tc>
        <w:tc>
          <w:tcPr>
            <w:tcW w:type="dxa" w:w="123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50.4×</w:t>
            </w:r>
          </w:p>
        </w:tc>
        <w:tc>
          <w:tcPr>
            <w:tcW w:type="dxa" w:w="146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141414"/>
                <w:sz w:val="18"/>
                <w:szCs w:val="18"/>
              </w:rPr>
              <w:t xml:space="preserve">17.0×</w:t>
            </w:r>
          </w:p>
        </w:tc>
      </w:tr>
      <w:tr>
        <w:tc>
          <w:tcPr>
            <w:tcW w:type="dxa" w:w="17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left"/>
            </w:pPr>
            <w:r>
              <w:rPr>
                <w:rFonts w:ascii="Calibri" w:cs="Calibri" w:eastAsia="Calibri" w:hAnsi="Calibri"/>
                <w:b/>
                <w:bCs/>
                <w:color w:val="141414"/>
                <w:sz w:val="18"/>
                <w:szCs w:val="18"/>
              </w:rPr>
              <w:t xml:space="preserve">EV / EBITDA</w:t>
            </w:r>
          </w:p>
        </w:tc>
        <w:tc>
          <w:tcPr>
            <w:tcW w:type="dxa" w:w="123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60.3×</w:t>
            </w:r>
          </w:p>
        </w:tc>
        <w:tc>
          <w:tcPr>
            <w:tcW w:type="dxa" w:w="123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11.9×</w:t>
            </w:r>
          </w:p>
        </w:tc>
        <w:tc>
          <w:tcPr>
            <w:tcW w:type="dxa" w:w="123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18.2×</w:t>
            </w:r>
          </w:p>
        </w:tc>
        <w:tc>
          <w:tcPr>
            <w:tcW w:type="dxa" w:w="123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54.9×</w:t>
            </w:r>
          </w:p>
        </w:tc>
        <w:tc>
          <w:tcPr>
            <w:tcW w:type="dxa" w:w="123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53.8×</w:t>
            </w:r>
          </w:p>
        </w:tc>
        <w:tc>
          <w:tcPr>
            <w:tcW w:type="dxa" w:w="146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bCs/>
                <w:color w:val="141414"/>
                <w:sz w:val="18"/>
                <w:szCs w:val="18"/>
              </w:rPr>
              <w:t xml:space="preserve">19.3×</w:t>
            </w:r>
          </w:p>
        </w:tc>
      </w:tr>
      <w:tr>
        <w:tc>
          <w:tcPr>
            <w:tcW w:type="dxa" w:w="17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left"/>
            </w:pPr>
            <w:r>
              <w:rPr>
                <w:rFonts w:ascii="Calibri" w:cs="Calibri" w:eastAsia="Calibri" w:hAnsi="Calibri"/>
                <w:b/>
                <w:bCs/>
                <w:color w:val="141414"/>
                <w:sz w:val="18"/>
                <w:szCs w:val="18"/>
              </w:rPr>
              <w:t xml:space="preserve">EV / Sales</w:t>
            </w:r>
          </w:p>
        </w:tc>
        <w:tc>
          <w:tcPr>
            <w:tcW w:type="dxa" w:w="123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12.9×</w:t>
            </w:r>
          </w:p>
        </w:tc>
        <w:tc>
          <w:tcPr>
            <w:tcW w:type="dxa" w:w="123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2.2×</w:t>
            </w:r>
          </w:p>
        </w:tc>
        <w:tc>
          <w:tcPr>
            <w:tcW w:type="dxa" w:w="123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8.8×</w:t>
            </w:r>
          </w:p>
        </w:tc>
        <w:tc>
          <w:tcPr>
            <w:tcW w:type="dxa" w:w="123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34.6×</w:t>
            </w:r>
          </w:p>
        </w:tc>
        <w:tc>
          <w:tcPr>
            <w:tcW w:type="dxa" w:w="123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41.9×</w:t>
            </w:r>
          </w:p>
        </w:tc>
        <w:tc>
          <w:tcPr>
            <w:tcW w:type="dxa" w:w="146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bCs/>
                <w:color w:val="141414"/>
                <w:sz w:val="18"/>
                <w:szCs w:val="18"/>
              </w:rPr>
              <w:t xml:space="preserve">15.3×</w:t>
            </w:r>
          </w:p>
        </w:tc>
      </w:tr>
      <w:tr>
        <w:tc>
          <w:tcPr>
            <w:tcW w:type="dxa" w:w="17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left"/>
            </w:pPr>
            <w:r>
              <w:rPr>
                <w:rFonts w:ascii="Calibri" w:cs="Calibri" w:eastAsia="Calibri" w:hAnsi="Calibri"/>
                <w:b/>
                <w:bCs/>
                <w:color w:val="141414"/>
                <w:sz w:val="18"/>
                <w:szCs w:val="18"/>
              </w:rPr>
              <w:t xml:space="preserve">P / FCF</w:t>
            </w:r>
          </w:p>
        </w:tc>
        <w:tc>
          <w:tcPr>
            <w:tcW w:type="dxa" w:w="123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97.9×</w:t>
            </w:r>
          </w:p>
        </w:tc>
        <w:tc>
          <w:tcPr>
            <w:tcW w:type="dxa" w:w="123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9.5×</w:t>
            </w:r>
          </w:p>
        </w:tc>
        <w:tc>
          <w:tcPr>
            <w:tcW w:type="dxa" w:w="123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12.6×</w:t>
            </w:r>
          </w:p>
        </w:tc>
        <w:tc>
          <w:tcPr>
            <w:tcW w:type="dxa" w:w="123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51.8×</w:t>
            </w:r>
          </w:p>
        </w:tc>
        <w:tc>
          <w:tcPr>
            <w:tcW w:type="dxa" w:w="123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56.7×</w:t>
            </w:r>
          </w:p>
        </w:tc>
        <w:tc>
          <w:tcPr>
            <w:tcW w:type="dxa" w:w="146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bCs/>
                <w:color w:val="141414"/>
                <w:sz w:val="18"/>
                <w:szCs w:val="18"/>
              </w:rPr>
              <w:t xml:space="preserve">23.0×</w:t>
            </w:r>
          </w:p>
        </w:tc>
      </w:tr>
    </w:tbl>
    <w:p>
      <w:pPr>
        <w:spacing w:after="160" w:before="60"/>
      </w:pPr>
      <w:r>
        <w:rPr>
          <w:rFonts w:ascii="Calibri" w:cs="Calibri" w:eastAsia="Calibri" w:hAnsi="Calibri"/>
          <w:i/>
          <w:iCs/>
          <w:color w:val="6B6A66"/>
          <w:sz w:val="17"/>
          <w:szCs w:val="17"/>
        </w:rPr>
        <w:t xml:space="preserve">Basis: stockanalysis.com annual ratio history; 2023+ revenue restated to continuing operations. The current trailing P/E (24×) is flattered by TTM GAAP net income of $4.41B, which includes divestiture-related gains; the forward figure (~17× on $16.56 consensus 2026 EPS) is the cleaner read. At the December 2025 peak the stock traded ~75× trailing / ~44× forward earnings and ~45× sales.</w:t>
      </w:r>
    </w:p>
    <w:p>
      <w:pPr>
        <w:pStyle w:val="Heading2"/>
        <w:spacing w:after="80" w:before="240"/>
      </w:pPr>
      <w:r>
        <w:rPr>
          <w:rFonts w:ascii="Georgia" w:cs="Georgia" w:eastAsia="Georgia" w:hAnsi="Georgia"/>
          <w:b/>
          <w:bCs/>
          <w:color w:val="141414"/>
          <w:sz w:val="24"/>
          <w:szCs w:val="24"/>
        </w:rPr>
        <w:t xml:space="preserve">Against peers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150"/>
        <w:gridCol w:w="1350"/>
        <w:gridCol w:w="1000"/>
        <w:gridCol w:w="2660"/>
      </w:tblGrid>
      <w:tr>
        <w:trPr>
          <w:tblHeader/>
        </w:trPr>
        <w:tc>
          <w:tcPr>
            <w:tcW w:type="dxa" w:w="190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left"/>
            </w:pPr>
            <w:r>
              <w:rPr>
                <w:rFonts w:ascii="Calibri" w:cs="Calibri" w:eastAsia="Calibri" w:hAnsi="Calibri"/>
                <w:b/>
                <w:bCs/>
                <w:color w:val="3A3A38"/>
                <w:sz w:val="17"/>
                <w:szCs w:val="17"/>
              </w:rPr>
              <w:t xml:space="preserve">Company</w:t>
            </w:r>
          </w:p>
        </w:tc>
        <w:tc>
          <w:tcPr>
            <w:tcW w:type="dxa" w:w="130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7"/>
                <w:szCs w:val="17"/>
              </w:rPr>
              <w:t xml:space="preserve">Mkt cap</w:t>
            </w:r>
          </w:p>
        </w:tc>
        <w:tc>
          <w:tcPr>
            <w:tcW w:type="dxa" w:w="115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7"/>
                <w:szCs w:val="17"/>
              </w:rPr>
              <w:t xml:space="preserve">Fwd P/E</w:t>
            </w:r>
          </w:p>
        </w:tc>
        <w:tc>
          <w:tcPr>
            <w:tcW w:type="dxa" w:w="135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7"/>
                <w:szCs w:val="17"/>
              </w:rPr>
              <w:t xml:space="preserve">EV/EBITDA</w:t>
            </w:r>
          </w:p>
        </w:tc>
        <w:tc>
          <w:tcPr>
            <w:tcW w:type="dxa" w:w="100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7"/>
                <w:szCs w:val="17"/>
              </w:rPr>
              <w:t xml:space="preserve">P/S</w:t>
            </w:r>
          </w:p>
        </w:tc>
        <w:tc>
          <w:tcPr>
            <w:tcW w:type="dxa" w:w="2660"/>
            <w:tcBorders>
              <w:top w:val="single" w:color="D9D8D2" w:sz="4"/>
              <w:left w:val="none" w:color="FFFFFF" w:sz="0"/>
              <w:bottom w:val="single" w:color="D9D8D2" w:sz="4"/>
              <w:right w:val="none" w:color="FFFFFF" w:sz="0"/>
            </w:tcBorders>
            <w:shd w:fill="EFF4FB" w:color="auto" w:val="clear"/>
            <w:tcMar>
              <w:top w:type="dxa" w:w="60"/>
              <w:left w:type="dxa" w:w="90"/>
              <w:bottom w:type="dxa" w:w="60"/>
              <w:right w:type="dxa" w:w="90"/>
            </w:tcMar>
            <w:vAlign w:val="center"/>
          </w:tcPr>
          <w:p>
            <w:pPr>
              <w:spacing w:after="0"/>
              <w:jc w:val="right"/>
            </w:pPr>
            <w:r>
              <w:rPr>
                <w:rFonts w:ascii="Calibri" w:cs="Calibri" w:eastAsia="Calibri" w:hAnsi="Calibri"/>
                <w:b/>
                <w:bCs/>
                <w:color w:val="3A3A38"/>
                <w:sz w:val="17"/>
                <w:szCs w:val="17"/>
              </w:rPr>
              <w:t xml:space="preserve">Growth profile</w:t>
            </w:r>
          </w:p>
        </w:tc>
      </w:tr>
      <w:tr>
        <w:tc>
          <w:tcPr>
            <w:tcW w:type="dxa" w:w="19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left"/>
            </w:pPr>
            <w:r>
              <w:rPr>
                <w:rFonts w:ascii="Calibri" w:cs="Calibri" w:eastAsia="Calibri" w:hAnsi="Calibri"/>
                <w:b/>
                <w:bCs/>
                <w:color w:val="141414"/>
                <w:sz w:val="18"/>
                <w:szCs w:val="18"/>
              </w:rPr>
              <w:t xml:space="preserve">AppLovin</w:t>
            </w:r>
          </w:p>
        </w:tc>
        <w:tc>
          <w:tcPr>
            <w:tcW w:type="dxa" w:w="13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$104.7B</w:t>
            </w:r>
          </w:p>
        </w:tc>
        <w:tc>
          <w:tcPr>
            <w:tcW w:type="dxa" w:w="11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bCs/>
                <w:color w:val="141414"/>
                <w:sz w:val="18"/>
                <w:szCs w:val="18"/>
              </w:rPr>
              <w:t xml:space="preserve">17.0×</w:t>
            </w:r>
          </w:p>
        </w:tc>
        <w:tc>
          <w:tcPr>
            <w:tcW w:type="dxa" w:w="13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19.3×</w:t>
            </w:r>
          </w:p>
        </w:tc>
        <w:tc>
          <w:tcPr>
            <w:tcW w:type="dxa" w:w="10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15.3×</w:t>
            </w:r>
          </w:p>
        </w:tc>
        <w:tc>
          <w:tcPr>
            <w:tcW w:type="dxa" w:w="266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+61% TTM; ~+33%/yr 3-yr forecast</w:t>
            </w:r>
          </w:p>
        </w:tc>
      </w:tr>
      <w:tr>
        <w:tc>
          <w:tcPr>
            <w:tcW w:type="dxa" w:w="19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left"/>
            </w:pPr>
            <w:r>
              <w:rPr>
                <w:rFonts w:ascii="Calibri" w:cs="Calibri" w:eastAsia="Calibri" w:hAnsi="Calibri"/>
                <w:b/>
                <w:bCs/>
                <w:color w:val="141414"/>
                <w:sz w:val="18"/>
                <w:szCs w:val="18"/>
              </w:rPr>
              <w:t xml:space="preserve">Meta</w:t>
            </w:r>
          </w:p>
        </w:tc>
        <w:tc>
          <w:tcPr>
            <w:tcW w:type="dxa" w:w="13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$1.40T</w:t>
            </w:r>
          </w:p>
        </w:tc>
        <w:tc>
          <w:tcPr>
            <w:tcW w:type="dxa" w:w="11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17.8×</w:t>
            </w:r>
          </w:p>
        </w:tc>
        <w:tc>
          <w:tcPr>
            <w:tcW w:type="dxa" w:w="13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13.4×</w:t>
            </w:r>
          </w:p>
        </w:tc>
        <w:tc>
          <w:tcPr>
            <w:tcW w:type="dxa" w:w="10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6.4×</w:t>
            </w:r>
          </w:p>
        </w:tc>
        <w:tc>
          <w:tcPr>
            <w:tcW w:type="dxa" w:w="266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~+21%/yr forecast</w:t>
            </w:r>
          </w:p>
        </w:tc>
      </w:tr>
      <w:tr>
        <w:tc>
          <w:tcPr>
            <w:tcW w:type="dxa" w:w="19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left"/>
            </w:pPr>
            <w:r>
              <w:rPr>
                <w:rFonts w:ascii="Calibri" w:cs="Calibri" w:eastAsia="Calibri" w:hAnsi="Calibri"/>
                <w:b/>
                <w:bCs/>
                <w:color w:val="141414"/>
                <w:sz w:val="18"/>
                <w:szCs w:val="18"/>
              </w:rPr>
              <w:t xml:space="preserve">Alphabet</w:t>
            </w:r>
          </w:p>
        </w:tc>
        <w:tc>
          <w:tcPr>
            <w:tcW w:type="dxa" w:w="13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$4.21T</w:t>
            </w:r>
          </w:p>
        </w:tc>
        <w:tc>
          <w:tcPr>
            <w:tcW w:type="dxa" w:w="11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25.9×</w:t>
            </w:r>
          </w:p>
        </w:tc>
        <w:tc>
          <w:tcPr>
            <w:tcW w:type="dxa" w:w="13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23.6×</w:t>
            </w:r>
          </w:p>
        </w:tc>
        <w:tc>
          <w:tcPr>
            <w:tcW w:type="dxa" w:w="10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9.4×</w:t>
            </w:r>
          </w:p>
        </w:tc>
        <w:tc>
          <w:tcPr>
            <w:tcW w:type="dxa" w:w="266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~+21%/yr forecast</w:t>
            </w:r>
          </w:p>
        </w:tc>
      </w:tr>
      <w:tr>
        <w:tc>
          <w:tcPr>
            <w:tcW w:type="dxa" w:w="19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left"/>
            </w:pPr>
            <w:r>
              <w:rPr>
                <w:rFonts w:ascii="Calibri" w:cs="Calibri" w:eastAsia="Calibri" w:hAnsi="Calibri"/>
                <w:b/>
                <w:bCs/>
                <w:color w:val="141414"/>
                <w:sz w:val="18"/>
                <w:szCs w:val="18"/>
              </w:rPr>
              <w:t xml:space="preserve">Unity</w:t>
            </w:r>
          </w:p>
        </w:tc>
        <w:tc>
          <w:tcPr>
            <w:tcW w:type="dxa" w:w="13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$20.3B</w:t>
            </w:r>
          </w:p>
        </w:tc>
        <w:tc>
          <w:tcPr>
            <w:tcW w:type="dxa" w:w="11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30.6×</w:t>
            </w:r>
          </w:p>
        </w:tc>
        <w:tc>
          <w:tcPr>
            <w:tcW w:type="dxa" w:w="13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n/m</w:t>
            </w:r>
          </w:p>
        </w:tc>
        <w:tc>
          <w:tcPr>
            <w:tcW w:type="dxa" w:w="10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9.9×</w:t>
            </w:r>
          </w:p>
        </w:tc>
        <w:tc>
          <w:tcPr>
            <w:tcW w:type="dxa" w:w="266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Unprofitable; losing share to APP</w:t>
            </w:r>
          </w:p>
        </w:tc>
      </w:tr>
      <w:tr>
        <w:tc>
          <w:tcPr>
            <w:tcW w:type="dxa" w:w="19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left"/>
            </w:pPr>
            <w:r>
              <w:rPr>
                <w:rFonts w:ascii="Calibri" w:cs="Calibri" w:eastAsia="Calibri" w:hAnsi="Calibri"/>
                <w:b/>
                <w:bCs/>
                <w:color w:val="141414"/>
                <w:sz w:val="18"/>
                <w:szCs w:val="18"/>
              </w:rPr>
              <w:t xml:space="preserve">Trade Desk</w:t>
            </w:r>
          </w:p>
        </w:tc>
        <w:tc>
          <w:tcPr>
            <w:tcW w:type="dxa" w:w="13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$6.4B</w:t>
            </w:r>
          </w:p>
        </w:tc>
        <w:tc>
          <w:tcPr>
            <w:tcW w:type="dxa" w:w="11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14.8×</w:t>
            </w:r>
          </w:p>
        </w:tc>
        <w:tc>
          <w:tcPr>
            <w:tcW w:type="dxa" w:w="135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7.5×</w:t>
            </w:r>
          </w:p>
        </w:tc>
        <w:tc>
          <w:tcPr>
            <w:tcW w:type="dxa" w:w="100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2.1×</w:t>
            </w:r>
          </w:p>
        </w:tc>
        <w:tc>
          <w:tcPr>
            <w:tcW w:type="dxa" w:w="2660"/>
            <w:tcBorders>
              <w:top w:val="single" w:color="D9D8D2" w:sz="4"/>
              <w:left w:val="none" w:color="FFFFFF" w:sz="0"/>
              <w:bottom w:val="single" w:color="D9D8D2" w:sz="4"/>
              <w:right w:val="none" w:color="FFFFFF" w:sz="0"/>
            </w:tcBorders>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~Flat — growth story broken</w:t>
            </w:r>
          </w:p>
        </w:tc>
      </w:tr>
      <w:tr>
        <w:tc>
          <w:tcPr>
            <w:tcW w:type="dxa" w:w="19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left"/>
            </w:pPr>
            <w:r>
              <w:rPr>
                <w:rFonts w:ascii="Calibri" w:cs="Calibri" w:eastAsia="Calibri" w:hAnsi="Calibri"/>
                <w:b/>
                <w:bCs/>
                <w:color w:val="141414"/>
                <w:sz w:val="18"/>
                <w:szCs w:val="18"/>
              </w:rPr>
              <w:t xml:space="preserve">DoubleVerify</w:t>
            </w:r>
          </w:p>
        </w:tc>
        <w:tc>
          <w:tcPr>
            <w:tcW w:type="dxa" w:w="13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$2.1B</w:t>
            </w:r>
          </w:p>
        </w:tc>
        <w:tc>
          <w:tcPr>
            <w:tcW w:type="dxa" w:w="11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12.0×</w:t>
            </w:r>
          </w:p>
        </w:tc>
        <w:tc>
          <w:tcPr>
            <w:tcW w:type="dxa" w:w="135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13.7×</w:t>
            </w:r>
          </w:p>
        </w:tc>
        <w:tc>
          <w:tcPr>
            <w:tcW w:type="dxa" w:w="100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2.7×</w:t>
            </w:r>
          </w:p>
        </w:tc>
        <w:tc>
          <w:tcPr>
            <w:tcW w:type="dxa" w:w="2660"/>
            <w:tcBorders>
              <w:top w:val="single" w:color="D9D8D2" w:sz="4"/>
              <w:left w:val="none" w:color="FFFFFF" w:sz="0"/>
              <w:bottom w:val="single" w:color="D9D8D2" w:sz="4"/>
              <w:right w:val="none" w:color="FFFFFF" w:sz="0"/>
            </w:tcBorders>
            <w:shd w:fill="F7F7F4" w:color="auto" w:val="clear"/>
            <w:tcMar>
              <w:top w:type="dxa" w:w="60"/>
              <w:left w:type="dxa" w:w="90"/>
              <w:bottom w:type="dxa" w:w="60"/>
              <w:right w:type="dxa" w:w="90"/>
            </w:tcMar>
            <w:vAlign w:val="center"/>
          </w:tcPr>
          <w:p>
            <w:pPr>
              <w:spacing w:after="0"/>
              <w:jc w:val="right"/>
            </w:pPr>
            <w:r>
              <w:rPr>
                <w:rFonts w:ascii="Calibri" w:cs="Calibri" w:eastAsia="Calibri" w:hAnsi="Calibri"/>
                <w:b w:val="false"/>
                <w:bCs w:val="false"/>
                <w:color w:val="141414"/>
                <w:sz w:val="18"/>
                <w:szCs w:val="18"/>
              </w:rPr>
              <w:t xml:space="preserve">~+7%/yr forecast</w:t>
            </w:r>
          </w:p>
        </w:tc>
      </w:tr>
    </w:tbl>
    <w:p>
      <w:pPr>
        <w:spacing w:after="120"/>
      </w:pPr>
      <w:r>
        <w:rPr>
          <w:rFonts w:ascii="Calibri" w:cs="Calibri" w:eastAsia="Calibri" w:hAnsi="Calibri"/>
          <w:color w:val="141414"/>
          <w:sz w:val="21"/>
          <w:szCs w:val="21"/>
        </w:rPr>
        <w:t xml:space="preserve">APP now trades at roughly Meta's forward multiple with ~1.5× Meta's expected growth. The premium price-to-sales and the Trade Desk row are the two cautionary datapoints: TTD shows what the market does to an adtech platform whose growth story breaks (2× sales, 15× earnings) — that is the bear-case comp if AXON's edge erodes. Analyst consensus (33 analysts): 26 Buy / 7 Hold / 0 Sell, mean target $547 (+75%), range $357–$860, with targets being cut post-Q2.</w:t>
      </w:r>
    </w:p>
    <w:p>
      <w:pPr>
        <w:spacing w:after="40" w:before="300"/>
      </w:pPr>
      <w:r>
        <w:rPr>
          <w:rFonts w:ascii="Calibri" w:cs="Calibri" w:eastAsia="Calibri" w:hAnsi="Calibri"/>
          <w:b/>
          <w:bCs/>
          <w:color w:val="2A78D6"/>
          <w:spacing w:val="30"/>
          <w:sz w:val="15"/>
          <w:szCs w:val="15"/>
        </w:rPr>
        <w:t xml:space="preserve">04 · CYCLICAL ANATOMY</w:t>
      </w:r>
    </w:p>
    <w:p>
      <w:pPr>
        <w:pStyle w:val="Heading1"/>
        <w:pBdr>
          <w:top w:val="single" w:color="141414" w:sz="12" w:space="6"/>
        </w:pBdr>
        <w:spacing w:after="100" w:before="360"/>
      </w:pPr>
      <w:r>
        <w:rPr>
          <w:rFonts w:ascii="Georgia" w:cs="Georgia" w:eastAsia="Georgia" w:hAnsi="Georgia"/>
          <w:b/>
          <w:bCs/>
          <w:color w:val="141414"/>
          <w:sz w:val="30"/>
          <w:szCs w:val="30"/>
        </w:rPr>
        <w:t xml:space="preserve">What actually drives the swings</w:t>
      </w:r>
    </w:p>
    <w:p>
      <w:pPr>
        <w:spacing w:after="120"/>
      </w:pPr>
      <w:r>
        <w:rPr>
          <w:rFonts w:ascii="Calibri" w:cs="Calibri" w:eastAsia="Calibri" w:hAnsi="Calibri"/>
          <w:color w:val="141414"/>
          <w:sz w:val="21"/>
          <w:szCs w:val="21"/>
        </w:rPr>
        <w:t xml:space="preserve">The 2022 collapse is the clearest stress test on record: post-COVID gaming normalization, a digital-ad recession, and Apple's ATT privacy shock hit simultaneously. Apps revenue fell 17%, total revenue went negative year-over-year for two quarters, GAAP losses returned — and the stock fell 92%. Crucially, the software/ads side grew 56% through that same year; the segment that caused the damage has since been divested. But the 2026 drawdown proves the cycle didn't leave with the games:</w:t>
      </w:r>
    </w:p>
    <w:p>
      <w:pPr>
        <w:pStyle w:val="ListParagraph"/>
        <w:numPr>
          <w:ilvl w:val="0"/>
          <w:numId w:val="2"/>
        </w:numPr>
        <w:spacing w:after="80"/>
      </w:pPr>
      <w:r>
        <w:rPr>
          <w:rFonts w:ascii="Calibri" w:cs="Calibri" w:eastAsia="Calibri" w:hAnsi="Calibri"/>
          <w:b/>
          <w:bCs/>
          <w:color w:val="141414"/>
          <w:sz w:val="21"/>
          <w:szCs w:val="21"/>
        </w:rPr>
        <w:t xml:space="preserve">Gaming ad budgets (the residual concentration). </w:t>
      </w:r>
      <w:r>
        <w:rPr>
          <w:rFonts w:ascii="Calibri" w:cs="Calibri" w:eastAsia="Calibri" w:hAnsi="Calibri"/>
          <w:color w:val="141414"/>
          <w:sz w:val="21"/>
          <w:szCs w:val="21"/>
        </w:rPr>
        <w:t xml:space="preserve">Gaming advertisers still supply the majority of platform spend (~$10B run-rate). Q2 2026's miss was blamed partly on gaming-vertical softness — the old cycle still bites, now through the demand side.</w:t>
      </w:r>
    </w:p>
    <w:p>
      <w:pPr>
        <w:pStyle w:val="ListParagraph"/>
        <w:numPr>
          <w:ilvl w:val="0"/>
          <w:numId w:val="2"/>
        </w:numPr>
        <w:spacing w:after="80"/>
      </w:pPr>
      <w:r>
        <w:rPr>
          <w:rFonts w:ascii="Calibri" w:cs="Calibri" w:eastAsia="Calibri" w:hAnsi="Calibri"/>
          <w:b/>
          <w:bCs/>
          <w:color w:val="141414"/>
          <w:sz w:val="21"/>
          <w:szCs w:val="21"/>
        </w:rPr>
        <w:t xml:space="preserve">AI model cadence (the new cycle). </w:t>
      </w:r>
      <w:r>
        <w:rPr>
          <w:rFonts w:ascii="Calibri" w:cs="Calibri" w:eastAsia="Calibri" w:hAnsi="Calibri"/>
          <w:color w:val="141414"/>
          <w:sz w:val="21"/>
          <w:szCs w:val="21"/>
        </w:rPr>
        <w:t xml:space="preserve">Growth arrives in step-function “model releases” (AXON 2.0 in 2023; the March 2026 release that drove record April spend). Q2 2026 was the first admission of slower-than-expected model improvement — the first crack in the “AI flywheel compounds forever” narrative, and the market repriced it instantly.</w:t>
      </w:r>
    </w:p>
    <w:p>
      <w:pPr>
        <w:pStyle w:val="ListParagraph"/>
        <w:numPr>
          <w:ilvl w:val="0"/>
          <w:numId w:val="2"/>
        </w:numPr>
        <w:spacing w:after="80"/>
      </w:pPr>
      <w:r>
        <w:rPr>
          <w:rFonts w:ascii="Calibri" w:cs="Calibri" w:eastAsia="Calibri" w:hAnsi="Calibri"/>
          <w:b/>
          <w:bCs/>
          <w:color w:val="141414"/>
          <w:sz w:val="21"/>
          <w:szCs w:val="21"/>
        </w:rPr>
        <w:t xml:space="preserve">Ad-spend cycles. </w:t>
      </w:r>
      <w:r>
        <w:rPr>
          <w:rFonts w:ascii="Calibri" w:cs="Calibri" w:eastAsia="Calibri" w:hAnsi="Calibri"/>
          <w:color w:val="141414"/>
          <w:sz w:val="21"/>
          <w:szCs w:val="21"/>
        </w:rPr>
        <w:t xml:space="preserve">100% performance advertising: more resilient than brand in downturns, but revenue is effectively a take-rate on auction spend and participates fully in booms and busts.</w:t>
      </w:r>
    </w:p>
    <w:p>
      <w:pPr>
        <w:pStyle w:val="ListParagraph"/>
        <w:numPr>
          <w:ilvl w:val="0"/>
          <w:numId w:val="2"/>
        </w:numPr>
        <w:spacing w:after="80"/>
      </w:pPr>
      <w:r>
        <w:rPr>
          <w:rFonts w:ascii="Calibri" w:cs="Calibri" w:eastAsia="Calibri" w:hAnsi="Calibri"/>
          <w:b/>
          <w:bCs/>
          <w:color w:val="141414"/>
          <w:sz w:val="21"/>
          <w:szCs w:val="21"/>
        </w:rPr>
        <w:t xml:space="preserve">Platform and privacy regime changes. </w:t>
      </w:r>
      <w:r>
        <w:rPr>
          <w:rFonts w:ascii="Calibri" w:cs="Calibri" w:eastAsia="Calibri" w:hAnsi="Calibri"/>
          <w:color w:val="141414"/>
          <w:sz w:val="21"/>
          <w:szCs w:val="21"/>
        </w:rPr>
        <w:t xml:space="preserve">Apple's ATT (2021) devastated peers but ultimately advantaged APP's first-party-data model — AXON was built for the post-IDFA world. The bear case (per the short sellers) was that AXON's edge relied on fingerprinting that Apple, Google, or Meta would punish. The SEC inquiry opened October 2025 closed with no action in early August 2026, and no platform has moved against APP.</w:t>
      </w:r>
    </w:p>
    <w:p>
      <w:pPr>
        <w:pStyle w:val="ListParagraph"/>
        <w:numPr>
          <w:ilvl w:val="0"/>
          <w:numId w:val="2"/>
        </w:numPr>
        <w:spacing w:after="80"/>
      </w:pPr>
      <w:r>
        <w:rPr>
          <w:rFonts w:ascii="Calibri" w:cs="Calibri" w:eastAsia="Calibri" w:hAnsi="Calibri"/>
          <w:b/>
          <w:bCs/>
          <w:color w:val="141414"/>
          <w:sz w:val="21"/>
          <w:szCs w:val="21"/>
        </w:rPr>
        <w:t xml:space="preserve">Multiple compression as amplifier. </w:t>
      </w:r>
      <w:r>
        <w:rPr>
          <w:rFonts w:ascii="Calibri" w:cs="Calibri" w:eastAsia="Calibri" w:hAnsi="Calibri"/>
          <w:color w:val="141414"/>
          <w:sz w:val="21"/>
          <w:szCs w:val="21"/>
        </w:rPr>
        <w:t xml:space="preserve">Both crashes were mostly the multiple: 60× → 12× EV/EBITDA in 2022; ~55× → 19× in 2025–26. At peak multiples, a $20M revenue miss costs $40B of market cap.</w:t>
      </w:r>
    </w:p>
    <w:p>
      <w:pPr>
        <w:spacing w:after="120"/>
      </w:pPr>
      <w:r>
        <w:rPr>
          <w:rFonts w:ascii="Calibri" w:cs="Calibri" w:eastAsia="Calibri" w:hAnsi="Calibri"/>
          <w:color w:val="141414"/>
          <w:sz w:val="21"/>
          <w:szCs w:val="21"/>
        </w:rPr>
        <w:t xml:space="preserve">Pattern worth noting: APP's stock cycle has run peak-to-trough −92% (2021–22) and −58% so far (2025–26), each time from a valuation peak of 50–60× EBITDA, and each time while the core ad business kept growing more than 50%. The business is far less cyclical than the stock; the multiple is where the cycle lives.</w:t>
      </w:r>
    </w:p>
    <w:p>
      <w:pPr>
        <w:spacing w:after="40" w:before="300"/>
      </w:pPr>
      <w:r>
        <w:rPr>
          <w:rFonts w:ascii="Calibri" w:cs="Calibri" w:eastAsia="Calibri" w:hAnsi="Calibri"/>
          <w:b/>
          <w:bCs/>
          <w:color w:val="2A78D6"/>
          <w:spacing w:val="30"/>
          <w:sz w:val="15"/>
          <w:szCs w:val="15"/>
        </w:rPr>
        <w:t xml:space="preserve">05 · THE DEBATE FROM HERE</w:t>
      </w:r>
    </w:p>
    <w:p>
      <w:pPr>
        <w:pStyle w:val="Heading1"/>
        <w:pBdr>
          <w:top w:val="single" w:color="141414" w:sz="12" w:space="6"/>
        </w:pBdr>
        <w:spacing w:after="100" w:before="360"/>
      </w:pPr>
      <w:r>
        <w:rPr>
          <w:rFonts w:ascii="Georgia" w:cs="Georgia" w:eastAsia="Georgia" w:hAnsi="Georgia"/>
          <w:b/>
          <w:bCs/>
          <w:color w:val="141414"/>
          <w:sz w:val="30"/>
          <w:szCs w:val="30"/>
        </w:rPr>
        <w:t xml:space="preserve">Bull vs. bear at $313</w:t>
      </w:r>
    </w:p>
    <w:p>
      <w:pPr>
        <w:spacing w:after="80" w:before="100"/>
      </w:pPr>
      <w:r>
        <w:rPr>
          <w:rFonts w:ascii="Georgia" w:cs="Georgia" w:eastAsia="Georgia" w:hAnsi="Georgia"/>
          <w:b/>
          <w:bCs/>
          <w:color w:val="006300"/>
          <w:sz w:val="24"/>
          <w:szCs w:val="24"/>
        </w:rPr>
        <w:t xml:space="preserve">Bull case</w:t>
      </w:r>
    </w:p>
    <w:p>
      <w:pPr>
        <w:pStyle w:val="ListParagraph"/>
        <w:numPr>
          <w:ilvl w:val="0"/>
          <w:numId w:val="2"/>
        </w:numPr>
        <w:spacing w:after="80"/>
      </w:pPr>
      <w:r>
        <w:rPr>
          <w:rFonts w:ascii="Calibri" w:cs="Calibri" w:eastAsia="Calibri" w:hAnsi="Calibri"/>
          <w:color w:val="141414"/>
          <w:sz w:val="21"/>
          <w:szCs w:val="21"/>
        </w:rPr>
        <w:t xml:space="preserve">Cheapest forward multiple in company history (17×) against +48% expected 2026 revenue growth and 84% EBITDA margins; P/FCF of 23× with $4.5B trailing free cash flow.</w:t>
      </w:r>
    </w:p>
    <w:p>
      <w:pPr>
        <w:pStyle w:val="ListParagraph"/>
        <w:numPr>
          <w:ilvl w:val="0"/>
          <w:numId w:val="2"/>
        </w:numPr>
        <w:spacing w:after="80"/>
      </w:pPr>
      <w:r>
        <w:rPr>
          <w:rFonts w:ascii="Calibri" w:cs="Calibri" w:eastAsia="Calibri" w:hAnsi="Calibri"/>
          <w:color w:val="141414"/>
          <w:sz w:val="21"/>
          <w:szCs w:val="21"/>
        </w:rPr>
        <w:t xml:space="preserve">The e-commerce/consumer vertical hit a ~$1B run-rate while still referral-only; self-serve (AXON Ads Manager) went generally available in June 2026 — the TAM expansion (management: 5–10× gaming) is just opening.</w:t>
      </w:r>
    </w:p>
    <w:p>
      <w:pPr>
        <w:pStyle w:val="ListParagraph"/>
        <w:numPr>
          <w:ilvl w:val="0"/>
          <w:numId w:val="2"/>
        </w:numPr>
        <w:spacing w:after="80"/>
      </w:pPr>
      <w:r>
        <w:rPr>
          <w:rFonts w:ascii="Calibri" w:cs="Calibri" w:eastAsia="Calibri" w:hAnsi="Calibri"/>
          <w:color w:val="141414"/>
          <w:sz w:val="21"/>
          <w:szCs w:val="21"/>
        </w:rPr>
        <w:t xml:space="preserve">Cleared the gauntlet: three short-seller reports, an S&amp;P-exclusion campaign, and an SEC inquiry — all resolved without action; added to the S&amp;P 500 anyway.</w:t>
      </w:r>
    </w:p>
    <w:p>
      <w:pPr>
        <w:pStyle w:val="ListParagraph"/>
        <w:numPr>
          <w:ilvl w:val="0"/>
          <w:numId w:val="2"/>
        </w:numPr>
        <w:spacing w:after="80"/>
      </w:pPr>
      <w:r>
        <w:rPr>
          <w:rFonts w:ascii="Calibri" w:cs="Calibri" w:eastAsia="Calibri" w:hAnsi="Calibri"/>
          <w:color w:val="141414"/>
          <w:sz w:val="21"/>
          <w:szCs w:val="21"/>
        </w:rPr>
        <w:t xml:space="preserve">Aggressive, well-timed buybacks: ~$4.7B retired 2022–25, ~11% share-count reduction, $3.3B authorization remaining, near-zero net debt.</w:t>
      </w:r>
    </w:p>
    <w:p>
      <w:pPr>
        <w:pStyle w:val="ListParagraph"/>
        <w:numPr>
          <w:ilvl w:val="0"/>
          <w:numId w:val="2"/>
        </w:numPr>
        <w:spacing w:after="80"/>
      </w:pPr>
      <w:r>
        <w:rPr>
          <w:rFonts w:ascii="Calibri" w:cs="Calibri" w:eastAsia="Calibri" w:hAnsi="Calibri"/>
          <w:color w:val="141414"/>
          <w:sz w:val="21"/>
          <w:szCs w:val="21"/>
        </w:rPr>
        <w:t xml:space="preserve">Q3 2026 guidance still implies +46–48% growth — the “miss” was $20M on $1.9B.</w:t>
      </w:r>
    </w:p>
    <w:p>
      <w:pPr>
        <w:spacing w:after="80" w:before="160"/>
      </w:pPr>
      <w:r>
        <w:rPr>
          <w:rFonts w:ascii="Georgia" w:cs="Georgia" w:eastAsia="Georgia" w:hAnsi="Georgia"/>
          <w:b/>
          <w:bCs/>
          <w:color w:val="C23434"/>
          <w:sz w:val="24"/>
          <w:szCs w:val="24"/>
        </w:rPr>
        <w:t xml:space="preserve">Bear case</w:t>
      </w:r>
    </w:p>
    <w:p>
      <w:pPr>
        <w:pStyle w:val="ListParagraph"/>
        <w:numPr>
          <w:ilvl w:val="0"/>
          <w:numId w:val="2"/>
        </w:numPr>
        <w:spacing w:after="80"/>
      </w:pPr>
      <w:r>
        <w:rPr>
          <w:rFonts w:ascii="Calibri" w:cs="Calibri" w:eastAsia="Calibri" w:hAnsi="Calibri"/>
          <w:color w:val="141414"/>
          <w:sz w:val="21"/>
          <w:szCs w:val="21"/>
        </w:rPr>
        <w:t xml:space="preserve">Growth is model-release-driven and just decelerated: +77% → +68% → +66% → +59% → +53%, with the first guidance-quality wobble. If AXON's cadence slows, the multiple has further to fall (see Trade Desk at 2× sales).</w:t>
      </w:r>
    </w:p>
    <w:p>
      <w:pPr>
        <w:pStyle w:val="ListParagraph"/>
        <w:numPr>
          <w:ilvl w:val="0"/>
          <w:numId w:val="2"/>
        </w:numPr>
        <w:spacing w:after="80"/>
      </w:pPr>
      <w:r>
        <w:rPr>
          <w:rFonts w:ascii="Calibri" w:cs="Calibri" w:eastAsia="Calibri" w:hAnsi="Calibri"/>
          <w:color w:val="141414"/>
          <w:sz w:val="21"/>
          <w:szCs w:val="21"/>
        </w:rPr>
        <w:t xml:space="preserve">Still majority-exposed to mobile-gaming ad budgets; e-commerce diversification is real but young, and its take-rate sustainability was the core of the Muddy Waters critique.</w:t>
      </w:r>
    </w:p>
    <w:p>
      <w:pPr>
        <w:pStyle w:val="ListParagraph"/>
        <w:numPr>
          <w:ilvl w:val="0"/>
          <w:numId w:val="2"/>
        </w:numPr>
        <w:spacing w:after="80"/>
      </w:pPr>
      <w:r>
        <w:rPr>
          <w:rFonts w:ascii="Calibri" w:cs="Calibri" w:eastAsia="Calibri" w:hAnsi="Calibri"/>
          <w:color w:val="141414"/>
          <w:sz w:val="21"/>
          <w:szCs w:val="21"/>
        </w:rPr>
        <w:t xml:space="preserve">Meta Advantage+, Google PMax, and Amazon are pushing AI black-box buying into the same performance budgets; Unity's Vector is improving. APP's data edge is contested ground.</w:t>
      </w:r>
    </w:p>
    <w:p>
      <w:pPr>
        <w:pStyle w:val="ListParagraph"/>
        <w:numPr>
          <w:ilvl w:val="0"/>
          <w:numId w:val="2"/>
        </w:numPr>
        <w:spacing w:after="80"/>
      </w:pPr>
      <w:r>
        <w:rPr>
          <w:rFonts w:ascii="Calibri" w:cs="Calibri" w:eastAsia="Calibri" w:hAnsi="Calibri"/>
          <w:color w:val="141414"/>
          <w:sz w:val="21"/>
          <w:szCs w:val="21"/>
        </w:rPr>
        <w:t xml:space="preserve">Platform-policy tail risk never fully dies (Google Play install flows, Apple enforcement), and the announced build-your-own-social-network project (Feb 2026) is an expensive strategic wildcard.</w:t>
      </w:r>
    </w:p>
    <w:p>
      <w:pPr>
        <w:pStyle w:val="ListParagraph"/>
        <w:numPr>
          <w:ilvl w:val="0"/>
          <w:numId w:val="2"/>
        </w:numPr>
        <w:spacing w:after="80"/>
      </w:pPr>
      <w:r>
        <w:rPr>
          <w:rFonts w:ascii="Calibri" w:cs="Calibri" w:eastAsia="Calibri" w:hAnsi="Calibri"/>
          <w:color w:val="141414"/>
          <w:sz w:val="21"/>
          <w:szCs w:val="21"/>
        </w:rPr>
        <w:t xml:space="preserve">15× sales still assumes margin durability no adtech company has ever sustained at scale.</w:t>
      </w:r>
    </w:p>
    <w:p>
      <w:pPr>
        <w:spacing w:after="120"/>
      </w:pPr>
      <w:r>
        <w:rPr>
          <w:rFonts w:ascii="Calibri" w:cs="Calibri" w:eastAsia="Calibri" w:hAnsi="Calibri"/>
          <w:color w:val="141414"/>
          <w:sz w:val="21"/>
          <w:szCs w:val="21"/>
        </w:rPr>
        <w:t xml:space="preserve">The stock is, and has always been, a bet on whether AXON's advantage is durable. History says the business compounds through its drawdowns and the multiple does the damage; the current setup — historically cheap on earnings, historically rich on sales — is exactly what a market that half-believes looks like.</w:t>
      </w:r>
    </w:p>
    <w:p>
      <w:pPr>
        <w:pBdr>
          <w:top w:val="single" w:color="D9D8D2" w:sz="4" w:space="8"/>
        </w:pBdr>
        <w:spacing w:after="60" w:before="400"/>
      </w:pPr>
      <w:r>
        <w:rPr>
          <w:rFonts w:ascii="Calibri" w:cs="Calibri" w:eastAsia="Calibri" w:hAnsi="Calibri"/>
          <w:color w:val="6B6A66"/>
          <w:sz w:val="16"/>
          <w:szCs w:val="16"/>
        </w:rPr>
        <w:t xml:space="preserve">Sources: AppLovin IR press releases &amp; SEC shareholder letters (Q3 2021–Q2 2026); stockanalysis.com (quotes, ratio history, forecasts, peers — pulled Aug 18, 2026); Macrotrends; CNBC; Bloomberg; Seeking Alpha; Muddy Waters / Fuzzy Panda / Culper reports; S&amp;P Dow Jones Indices. Q1 2022 figures reflect $210M MoPub contra-revenue; post-Q1 2025 figures are continuing operations. Compiled August 18, 2026.</w:t>
      </w:r>
    </w:p>
    <w:p>
      <w:pPr>
        <w:spacing w:after="120"/>
      </w:pPr>
      <w:r>
        <w:rPr>
          <w:rFonts w:ascii="Calibri" w:cs="Calibri" w:eastAsia="Calibri" w:hAnsi="Calibri"/>
          <w:i/>
          <w:iCs/>
          <w:color w:val="6B6A66"/>
          <w:sz w:val="16"/>
          <w:szCs w:val="16"/>
        </w:rPr>
        <w:t xml:space="preserve">This report is informational analysis, not investment advice.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4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2026-08-18T14:48:23.381Z</dcterms:created>
  <dcterms:modified xsi:type="dcterms:W3CDTF">2026-08-18T14:48:23.382Z</dcterms:modified>
</cp:coreProperties>
</file>

<file path=docProps/custom.xml><?xml version="1.0" encoding="utf-8"?>
<Properties xmlns="http://schemas.openxmlformats.org/officeDocument/2006/custom-properties" xmlns:vt="http://schemas.openxmlformats.org/officeDocument/2006/docPropsVTypes"/>
</file>