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B6BA" w14:textId="2E5D01D2" w:rsidR="00B06C0B" w:rsidRPr="00D24BD2" w:rsidRDefault="00D24BD2" w:rsidP="00D24BD2">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1312" behindDoc="0" locked="0" layoutInCell="1" allowOverlap="1" wp14:anchorId="4116D502" wp14:editId="5968CCB8">
                <wp:simplePos x="0" y="0"/>
                <wp:positionH relativeFrom="column">
                  <wp:posOffset>-976630</wp:posOffset>
                </wp:positionH>
                <wp:positionV relativeFrom="paragraph">
                  <wp:posOffset>-222250</wp:posOffset>
                </wp:positionV>
                <wp:extent cx="7655560" cy="2540"/>
                <wp:effectExtent l="0" t="0" r="40640" b="48260"/>
                <wp:wrapNone/>
                <wp:docPr id="4" name="Straight Connector 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E54E1"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OkWAJjoAQAAHg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7D3938" w:rsidRPr="00B77089">
        <w:rPr>
          <w:rFonts w:ascii="Calibri" w:hAnsi="Calibri"/>
          <w:b/>
          <w:color w:val="000000" w:themeColor="text1"/>
          <w:sz w:val="28"/>
          <w:szCs w:val="28"/>
        </w:rPr>
        <w:t>4</w:t>
      </w:r>
      <w:r w:rsidRPr="00D24BD2">
        <w:rPr>
          <w:rFonts w:ascii="Calibri" w:hAnsi="Calibri"/>
          <w:b/>
          <w:sz w:val="28"/>
          <w:szCs w:val="28"/>
        </w:rPr>
        <w:tab/>
      </w:r>
      <w:r w:rsidR="00B06C0B" w:rsidRPr="00D24BD2">
        <w:rPr>
          <w:rFonts w:ascii="Calibri" w:hAnsi="Calibri"/>
          <w:b/>
          <w:color w:val="7F7F7F" w:themeColor="text1" w:themeTint="80"/>
          <w:sz w:val="28"/>
          <w:szCs w:val="28"/>
        </w:rPr>
        <w:t>MATERIAL E MÉTODOS</w:t>
      </w:r>
    </w:p>
    <w:p w14:paraId="5E01DB9B" w14:textId="411B8FCF" w:rsidR="00B06C0B" w:rsidRPr="008153C2" w:rsidRDefault="00452189" w:rsidP="008153C2">
      <w:pPr>
        <w:pStyle w:val="p2"/>
        <w:spacing w:line="360" w:lineRule="auto"/>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3F0F360" wp14:editId="06286042">
                <wp:simplePos x="0" y="0"/>
                <wp:positionH relativeFrom="column">
                  <wp:posOffset>-977314</wp:posOffset>
                </wp:positionH>
                <wp:positionV relativeFrom="paragraph">
                  <wp:posOffset>132080</wp:posOffset>
                </wp:positionV>
                <wp:extent cx="8676000" cy="2540"/>
                <wp:effectExtent l="0" t="0" r="36830" b="48260"/>
                <wp:wrapNone/>
                <wp:docPr id="3" name="Straight Connector 3"/>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C88409"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DsH6xd5wEAAB4EAAAOAAAAAAAAAAAAAAAAACwCAABkcnMvZTJvRG9jLnhtbFBL&#10;AQItABQABgAIAAAAIQCBd5/P3wAAAAsBAAAPAAAAAAAAAAAAAAAAAD8EAABkcnMvZG93bnJldi54&#10;bWxQSwUGAAAAAAQABADzAAAASwUAAAAA&#10;" strokecolor="#ed7d31 [3205]" strokeweight="2.5pt">
                <v:stroke joinstyle="miter"/>
              </v:line>
            </w:pict>
          </mc:Fallback>
        </mc:AlternateContent>
      </w:r>
    </w:p>
    <w:p w14:paraId="40453C85" w14:textId="77777777" w:rsidR="00D24BD2" w:rsidRDefault="00D24BD2" w:rsidP="00A81A9A">
      <w:pPr>
        <w:pStyle w:val="p1"/>
        <w:spacing w:line="360" w:lineRule="auto"/>
        <w:ind w:hanging="426"/>
        <w:contextualSpacing/>
        <w:rPr>
          <w:rFonts w:ascii="Calibri" w:hAnsi="Calibri"/>
          <w:b/>
          <w:sz w:val="22"/>
          <w:szCs w:val="22"/>
        </w:rPr>
      </w:pPr>
    </w:p>
    <w:p w14:paraId="0852A194" w14:textId="44A7DC32" w:rsidR="00B06C0B" w:rsidRPr="0076314D" w:rsidRDefault="00B06C0B" w:rsidP="00A81A9A">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4.1 </w:t>
      </w:r>
      <w:r w:rsidR="00A81A9A" w:rsidRPr="0076314D">
        <w:rPr>
          <w:rFonts w:ascii="Calibri" w:hAnsi="Calibri"/>
          <w:b/>
          <w:sz w:val="24"/>
          <w:szCs w:val="24"/>
        </w:rPr>
        <w:tab/>
      </w:r>
      <w:r w:rsidRPr="0076314D">
        <w:rPr>
          <w:rFonts w:ascii="Calibri" w:hAnsi="Calibri"/>
          <w:b/>
          <w:sz w:val="24"/>
          <w:szCs w:val="24"/>
        </w:rPr>
        <w:t>Descrição do modelo</w:t>
      </w:r>
    </w:p>
    <w:p w14:paraId="5E0BDFFA" w14:textId="77777777" w:rsidR="00AC75ED" w:rsidRPr="008153C2" w:rsidRDefault="00AC75ED" w:rsidP="008153C2">
      <w:pPr>
        <w:pStyle w:val="p1"/>
        <w:spacing w:line="360" w:lineRule="auto"/>
        <w:contextualSpacing/>
        <w:rPr>
          <w:rFonts w:ascii="Calibri Light" w:hAnsi="Calibri Light"/>
          <w:sz w:val="22"/>
          <w:szCs w:val="22"/>
        </w:rPr>
      </w:pPr>
    </w:p>
    <w:p w14:paraId="650D5D31" w14:textId="51A5D54A"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 xml:space="preserve">Desenvolvemos um Modelo Baseado em Indivíduo (IBM - Individual </w:t>
      </w:r>
      <w:proofErr w:type="spellStart"/>
      <w:r w:rsidRPr="008153C2">
        <w:rPr>
          <w:rFonts w:ascii="Calibri Light" w:hAnsi="Calibri Light"/>
          <w:sz w:val="22"/>
          <w:szCs w:val="22"/>
        </w:rPr>
        <w:t>Based</w:t>
      </w:r>
      <w:proofErr w:type="spellEnd"/>
      <w:r w:rsidRPr="008153C2">
        <w:rPr>
          <w:rFonts w:ascii="Calibri Light" w:hAnsi="Calibri Light"/>
          <w:sz w:val="22"/>
          <w:szCs w:val="22"/>
        </w:rPr>
        <w:t xml:space="preserve"> </w:t>
      </w:r>
      <w:proofErr w:type="spellStart"/>
      <w:r w:rsidRPr="008153C2">
        <w:rPr>
          <w:rFonts w:ascii="Calibri Light" w:hAnsi="Calibri Light"/>
          <w:sz w:val="22"/>
          <w:szCs w:val="22"/>
        </w:rPr>
        <w:t>Model</w:t>
      </w:r>
      <w:proofErr w:type="spellEnd"/>
      <w:r w:rsidRPr="008153C2">
        <w:rPr>
          <w:rFonts w:ascii="Calibri Light" w:hAnsi="Calibri Light"/>
          <w:sz w:val="22"/>
          <w:szCs w:val="22"/>
        </w:rPr>
        <w:t xml:space="preserve">) não </w:t>
      </w:r>
      <w:proofErr w:type="spellStart"/>
      <w:r w:rsidRPr="008153C2">
        <w:rPr>
          <w:rFonts w:ascii="Calibri Light" w:hAnsi="Calibri Light"/>
          <w:sz w:val="22"/>
          <w:szCs w:val="22"/>
        </w:rPr>
        <w:t>espacializado</w:t>
      </w:r>
      <w:proofErr w:type="spellEnd"/>
      <w:r w:rsidRPr="008153C2">
        <w:rPr>
          <w:rFonts w:ascii="Calibri Light" w:hAnsi="Calibri Light"/>
          <w:sz w:val="22"/>
          <w:szCs w:val="22"/>
        </w:rPr>
        <w:t xml:space="preserve">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lastRenderedPageBreak/>
        <w:tab/>
      </w:r>
      <w:r w:rsidRPr="008153C2">
        <w:rPr>
          <w:rFonts w:ascii="Calibri Light" w:hAnsi="Calibri Light"/>
          <w:sz w:val="22"/>
          <w:szCs w:val="22"/>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8153C2" w:rsidRDefault="00B06C0B" w:rsidP="008153C2">
      <w:pPr>
        <w:pStyle w:val="p2"/>
        <w:spacing w:line="360" w:lineRule="auto"/>
        <w:contextualSpacing/>
        <w:rPr>
          <w:rFonts w:ascii="Calibri Light" w:hAnsi="Calibri Light"/>
          <w:sz w:val="22"/>
          <w:szCs w:val="22"/>
        </w:rPr>
      </w:pPr>
    </w:p>
    <w:p w14:paraId="127E13B7" w14:textId="5FED14D1" w:rsidR="00B06C0B" w:rsidRPr="0076314D" w:rsidRDefault="00B06C0B" w:rsidP="00CB6BBB">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4.2 </w:t>
      </w:r>
      <w:r w:rsidR="00CB6BBB" w:rsidRPr="0076314D">
        <w:rPr>
          <w:rFonts w:ascii="Calibri" w:hAnsi="Calibri"/>
          <w:b/>
          <w:sz w:val="24"/>
          <w:szCs w:val="24"/>
        </w:rPr>
        <w:tab/>
      </w:r>
      <w:r w:rsidRPr="0076314D">
        <w:rPr>
          <w:rFonts w:ascii="Calibri" w:hAnsi="Calibri"/>
          <w:b/>
          <w:sz w:val="24"/>
          <w:szCs w:val="24"/>
        </w:rPr>
        <w:t>Descrição das simulações</w:t>
      </w:r>
    </w:p>
    <w:p w14:paraId="33D14DEC" w14:textId="77777777" w:rsidR="00EC44D7" w:rsidRPr="008153C2" w:rsidRDefault="00EC44D7" w:rsidP="008153C2">
      <w:pPr>
        <w:pStyle w:val="p1"/>
        <w:spacing w:line="360" w:lineRule="auto"/>
        <w:contextualSpacing/>
        <w:rPr>
          <w:rFonts w:ascii="Calibri Light" w:hAnsi="Calibri Light"/>
          <w:sz w:val="22"/>
          <w:szCs w:val="22"/>
        </w:rPr>
      </w:pPr>
    </w:p>
    <w:p w14:paraId="09C71A24" w14:textId="16D0780F"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A fim de gerarmos valores de entrada para simulações, sorteamos valores de parte dos parâmetros por meio do método do Hipercubo Latino e mantivemos invariáveis os valores de outros parâmetros</w:t>
      </w:r>
      <w:r w:rsidR="005639F8">
        <w:rPr>
          <w:rStyle w:val="FootnoteReference"/>
          <w:rFonts w:ascii="Calibri Light" w:hAnsi="Calibri Light"/>
          <w:sz w:val="22"/>
          <w:szCs w:val="22"/>
        </w:rPr>
        <w:footnoteReference w:id="1"/>
      </w:r>
      <w:r w:rsidR="005639F8">
        <w:rPr>
          <w:rStyle w:val="s1"/>
          <w:rFonts w:ascii="Calibri Light" w:hAnsi="Calibri Light"/>
          <w:color w:val="000000" w:themeColor="text1"/>
          <w:sz w:val="22"/>
          <w:szCs w:val="22"/>
        </w:rPr>
        <w:t xml:space="preserve">. </w:t>
      </w:r>
      <w:r w:rsidRPr="008153C2">
        <w:rPr>
          <w:rFonts w:ascii="Calibri Light" w:hAnsi="Calibri Light"/>
          <w:sz w:val="22"/>
          <w:szCs w:val="22"/>
        </w:rPr>
        <w:t xml:space="preserve">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 mais de uma espécie (entre cinco e 500) e taxa de mutação positiva. Todas as simulações apresentaram cerca de 5 000 indivíduos, o número total de gametas femininos produzidos pelos indivíduos foi estabelecido em 20 000 e o número de ciclos rodados foi de 300 000, tempo suficiente para que houvesse mudança na abundância relativa das espécies e na estratégia de vida média das comunidades. Delimitamos </w:t>
      </w:r>
      <w:r w:rsidRPr="008153C2">
        <w:rPr>
          <w:rStyle w:val="s2"/>
          <w:rFonts w:ascii="Calibri Light" w:hAnsi="Calibri Light"/>
          <w:sz w:val="22"/>
          <w:szCs w:val="22"/>
        </w:rPr>
        <w:t xml:space="preserve">os valores de riqueza e o número de indivíduos total das comunidades com base em dados empíricos de riqueza e abundância em florestas tropicais. Em Barro Colorado, em uma área de 10 hectares, há 4 510 árvores com DAP (diâmetro à altura do peito) maior ou igual a 10 cm pertencentes a 170 espécies diferentes </w:t>
      </w:r>
      <w:r w:rsidRPr="008153C2">
        <w:rPr>
          <w:rStyle w:val="s2"/>
          <w:rFonts w:ascii="Calibri Light" w:hAnsi="Calibri Light"/>
          <w:color w:val="000000" w:themeColor="text1"/>
          <w:sz w:val="22"/>
          <w:szCs w:val="22"/>
          <w:highlight w:val="magenta"/>
        </w:rPr>
        <w:t>(</w:t>
      </w:r>
      <w:proofErr w:type="spellStart"/>
      <w:r w:rsidRPr="008153C2">
        <w:rPr>
          <w:rStyle w:val="s3"/>
          <w:rFonts w:ascii="Calibri Light" w:hAnsi="Calibri Light"/>
          <w:color w:val="000000" w:themeColor="text1"/>
          <w:sz w:val="22"/>
          <w:szCs w:val="22"/>
          <w:highlight w:val="magenta"/>
        </w:rPr>
        <w:t>Oksanen</w:t>
      </w:r>
      <w:proofErr w:type="spellEnd"/>
      <w:r w:rsidRPr="008153C2">
        <w:rPr>
          <w:rStyle w:val="s3"/>
          <w:rFonts w:ascii="Calibri Light" w:hAnsi="Calibri Light"/>
          <w:color w:val="000000" w:themeColor="text1"/>
          <w:sz w:val="22"/>
          <w:szCs w:val="22"/>
          <w:highlight w:val="magenta"/>
        </w:rPr>
        <w:t xml:space="preserve"> et al., 2016</w:t>
      </w:r>
      <w:r w:rsidRPr="008153C2">
        <w:rPr>
          <w:rStyle w:val="s2"/>
          <w:rFonts w:ascii="Calibri Light" w:hAnsi="Calibri Light"/>
          <w:color w:val="000000" w:themeColor="text1"/>
          <w:sz w:val="22"/>
          <w:szCs w:val="22"/>
          <w:highlight w:val="magenta"/>
        </w:rPr>
        <w:t>)</w:t>
      </w:r>
      <w:r w:rsidRPr="008153C2">
        <w:rPr>
          <w:rStyle w:val="s2"/>
          <w:rFonts w:ascii="Calibri Light" w:hAnsi="Calibri Light"/>
          <w:sz w:val="22"/>
          <w:szCs w:val="22"/>
          <w:highlight w:val="magenta"/>
        </w:rPr>
        <w:t>.</w:t>
      </w:r>
      <w:r w:rsidRPr="008153C2">
        <w:rPr>
          <w:rStyle w:val="s2"/>
          <w:rFonts w:ascii="Calibri Light" w:hAnsi="Calibri Light"/>
          <w:sz w:val="22"/>
          <w:szCs w:val="22"/>
        </w:rPr>
        <w:t xml:space="preserve"> Em áreas do mesmo tamanho na Mata Atlântica, a abundância de árvores com DAP maior ou igual a 10 cm variou de 4 817 a 4 920 e a riqueza variou de 108 a 325 </w:t>
      </w:r>
      <w:r w:rsidRPr="008153C2">
        <w:rPr>
          <w:rStyle w:val="s2"/>
          <w:rFonts w:ascii="Calibri Light" w:hAnsi="Calibri Light"/>
          <w:color w:val="000000" w:themeColor="text1"/>
          <w:sz w:val="22"/>
          <w:szCs w:val="22"/>
          <w:highlight w:val="magenta"/>
        </w:rPr>
        <w:t>(</w:t>
      </w:r>
      <w:r w:rsidRPr="008153C2">
        <w:rPr>
          <w:rStyle w:val="s3"/>
          <w:rFonts w:ascii="Calibri Light" w:hAnsi="Calibri Light"/>
          <w:color w:val="000000" w:themeColor="text1"/>
          <w:sz w:val="22"/>
          <w:szCs w:val="22"/>
          <w:highlight w:val="magenta"/>
        </w:rPr>
        <w:t>de Lima et al., 2015</w:t>
      </w:r>
      <w:r w:rsidRPr="008153C2">
        <w:rPr>
          <w:rStyle w:val="s2"/>
          <w:rFonts w:ascii="Calibri Light" w:hAnsi="Calibri Light"/>
          <w:color w:val="000000" w:themeColor="text1"/>
          <w:sz w:val="22"/>
          <w:szCs w:val="22"/>
          <w:highlight w:val="magenta"/>
        </w:rPr>
        <w:t>).</w:t>
      </w:r>
      <w:r w:rsidRPr="008153C2">
        <w:rPr>
          <w:rStyle w:val="s2"/>
          <w:rFonts w:ascii="Calibri Light" w:hAnsi="Calibri Light"/>
          <w:sz w:val="22"/>
          <w:szCs w:val="22"/>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8153C2">
        <w:rPr>
          <w:rFonts w:ascii="Calibri Light" w:hAnsi="Calibri Light"/>
          <w:sz w:val="22"/>
          <w:szCs w:val="22"/>
        </w:rPr>
        <w:t xml:space="preserve"> </w:t>
      </w:r>
      <w:r w:rsidRPr="008153C2">
        <w:rPr>
          <w:rStyle w:val="s2"/>
          <w:rFonts w:ascii="Calibri Light" w:hAnsi="Calibri Light"/>
          <w:sz w:val="22"/>
          <w:szCs w:val="22"/>
        </w:rPr>
        <w:t xml:space="preserve">O valor utilizado para parametrizar o número máximo de gametas femininos produzidos por ciclo foi estimado a partir de dados da produção de frutos de uma espécie de árvore da Amazônia, </w:t>
      </w:r>
      <w:proofErr w:type="spellStart"/>
      <w:r w:rsidRPr="0089220A">
        <w:rPr>
          <w:rStyle w:val="s2"/>
          <w:rFonts w:ascii="Calibri Light" w:hAnsi="Calibri Light"/>
          <w:i/>
          <w:sz w:val="22"/>
          <w:szCs w:val="22"/>
        </w:rPr>
        <w:t>Bertholletia</w:t>
      </w:r>
      <w:proofErr w:type="spellEnd"/>
      <w:r w:rsidRPr="0089220A">
        <w:rPr>
          <w:rStyle w:val="s2"/>
          <w:rFonts w:ascii="Calibri Light" w:hAnsi="Calibri Light"/>
          <w:i/>
          <w:sz w:val="22"/>
          <w:szCs w:val="22"/>
        </w:rPr>
        <w:t xml:space="preserve"> excelsa</w:t>
      </w:r>
      <w:r w:rsidRPr="008153C2">
        <w:rPr>
          <w:rStyle w:val="s2"/>
          <w:rFonts w:ascii="Calibri Light" w:hAnsi="Calibri Light"/>
          <w:sz w:val="22"/>
          <w:szCs w:val="22"/>
        </w:rPr>
        <w:t xml:space="preserve">. Dado que todos os gametas femininos do modelo são virtualmente fecundados, podemos considerá-los como propágulos para estimar a ordem de grandeza de sua produção. Uma árvore de B. excelsa produz de 0 a 750 frutos por ciclo </w:t>
      </w:r>
      <w:r w:rsidRPr="008153C2">
        <w:rPr>
          <w:rStyle w:val="s2"/>
          <w:rFonts w:ascii="Calibri Light" w:hAnsi="Calibri Light"/>
          <w:color w:val="000000" w:themeColor="text1"/>
          <w:sz w:val="22"/>
          <w:szCs w:val="22"/>
        </w:rPr>
        <w:t xml:space="preserve">reprodutivo </w:t>
      </w:r>
      <w:r w:rsidRPr="008153C2">
        <w:rPr>
          <w:rStyle w:val="s2"/>
          <w:rFonts w:ascii="Calibri Light" w:hAnsi="Calibri Light"/>
          <w:color w:val="000000" w:themeColor="text1"/>
          <w:sz w:val="22"/>
          <w:szCs w:val="22"/>
          <w:highlight w:val="magenta"/>
        </w:rPr>
        <w:t>(</w:t>
      </w:r>
      <w:proofErr w:type="spellStart"/>
      <w:r w:rsidRPr="008153C2">
        <w:rPr>
          <w:rStyle w:val="s3"/>
          <w:rFonts w:ascii="Calibri Light" w:hAnsi="Calibri Light"/>
          <w:color w:val="000000" w:themeColor="text1"/>
          <w:sz w:val="22"/>
          <w:szCs w:val="22"/>
          <w:highlight w:val="magenta"/>
        </w:rPr>
        <w:t>Rockwell</w:t>
      </w:r>
      <w:proofErr w:type="spellEnd"/>
      <w:r w:rsidRPr="008153C2">
        <w:rPr>
          <w:rStyle w:val="s3"/>
          <w:rFonts w:ascii="Calibri Light" w:hAnsi="Calibri Light"/>
          <w:color w:val="000000" w:themeColor="text1"/>
          <w:sz w:val="22"/>
          <w:szCs w:val="22"/>
          <w:highlight w:val="magenta"/>
        </w:rPr>
        <w:t xml:space="preserve"> et al., 2015</w:t>
      </w:r>
      <w:r w:rsidRPr="008153C2">
        <w:rPr>
          <w:rStyle w:val="s2"/>
          <w:rFonts w:ascii="Calibri Light" w:hAnsi="Calibri Light"/>
          <w:color w:val="000000" w:themeColor="text1"/>
          <w:sz w:val="22"/>
          <w:szCs w:val="22"/>
          <w:highlight w:val="magenta"/>
        </w:rPr>
        <w:t>)</w:t>
      </w:r>
      <w:r w:rsidRPr="008153C2">
        <w:rPr>
          <w:rStyle w:val="s2"/>
          <w:rFonts w:ascii="Calibri Light" w:hAnsi="Calibri Light"/>
          <w:color w:val="000000" w:themeColor="text1"/>
          <w:sz w:val="22"/>
          <w:szCs w:val="22"/>
        </w:rPr>
        <w:t xml:space="preserve">. Como cada fruto possui de 10 a 25 sementes </w:t>
      </w:r>
      <w:r w:rsidRPr="008153C2">
        <w:rPr>
          <w:rStyle w:val="s2"/>
          <w:rFonts w:ascii="Calibri Light" w:hAnsi="Calibri Light"/>
          <w:color w:val="000000" w:themeColor="text1"/>
          <w:sz w:val="22"/>
          <w:szCs w:val="22"/>
          <w:highlight w:val="magenta"/>
        </w:rPr>
        <w:t>(</w:t>
      </w:r>
      <w:r w:rsidRPr="008153C2">
        <w:rPr>
          <w:rStyle w:val="s3"/>
          <w:rFonts w:ascii="Calibri Light" w:hAnsi="Calibri Light"/>
          <w:color w:val="000000" w:themeColor="text1"/>
          <w:sz w:val="22"/>
          <w:szCs w:val="22"/>
          <w:highlight w:val="magenta"/>
        </w:rPr>
        <w:t>Peres et al., 2003</w:t>
      </w:r>
      <w:r w:rsidRPr="008153C2">
        <w:rPr>
          <w:rStyle w:val="s2"/>
          <w:rFonts w:ascii="Calibri Light" w:hAnsi="Calibri Light"/>
          <w:color w:val="000000" w:themeColor="text1"/>
          <w:sz w:val="22"/>
          <w:szCs w:val="22"/>
          <w:highlight w:val="magenta"/>
        </w:rPr>
        <w:t>)</w:t>
      </w:r>
      <w:r w:rsidRPr="008153C2">
        <w:rPr>
          <w:rStyle w:val="s2"/>
          <w:rFonts w:ascii="Calibri Light" w:hAnsi="Calibri Light"/>
          <w:color w:val="000000" w:themeColor="text1"/>
          <w:sz w:val="22"/>
          <w:szCs w:val="22"/>
        </w:rPr>
        <w:t>, tem-se que a produção de sementes por ciclo reprodutivo varia de 0 a 18 750. Dessa forma, escolhemos fixar em 20 000 o valor máximo de produção de gametas femininos por ciclo. Para fazer deste valor um dos extremos do gradiente delimitado pela demanda conflitante entre o nú</w:t>
      </w:r>
      <w:r w:rsidRPr="008153C2">
        <w:rPr>
          <w:rStyle w:val="s2"/>
          <w:rFonts w:ascii="Calibri Light" w:hAnsi="Calibri Light"/>
          <w:sz w:val="22"/>
          <w:szCs w:val="22"/>
        </w:rPr>
        <w:t>mero de gametas femininos produzidos por ciclo e a probabilidade de morte do indivíduo a cada ciclo, determinamos que o número total de propágulos que os indivíduos produziriam no decorrer de todos os ciclos também seria 20 000.</w:t>
      </w:r>
      <w:r w:rsidRPr="008153C2">
        <w:rPr>
          <w:rStyle w:val="apple-converted-space"/>
          <w:rFonts w:ascii="Calibri Light" w:hAnsi="Calibri Light"/>
          <w:sz w:val="22"/>
          <w:szCs w:val="22"/>
        </w:rPr>
        <w:t> </w:t>
      </w:r>
    </w:p>
    <w:p w14:paraId="36429592" w14:textId="25394C2B"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O primeiro grupo de simulações, além de ter o parâmetro da riqueza fixado em um, apresentou taxa de mutação de 500. Escolhemos este valor após verificar</w:t>
      </w:r>
      <w:r w:rsidR="00105854" w:rsidRPr="008153C2">
        <w:rPr>
          <w:rFonts w:ascii="Calibri Light" w:hAnsi="Calibri Light"/>
          <w:sz w:val="22"/>
          <w:szCs w:val="22"/>
        </w:rPr>
        <w:t xml:space="preserve"> </w:t>
      </w:r>
      <w:r w:rsidRPr="008153C2">
        <w:rPr>
          <w:rFonts w:ascii="Calibri Light" w:hAnsi="Calibri Light"/>
          <w:sz w:val="22"/>
          <w:szCs w:val="22"/>
        </w:rPr>
        <w:t xml:space="preserve">que ele possibilitou a formação de novas variantes de estratégia de vida no intervalo de ciclos rodados </w:t>
      </w:r>
      <w:r w:rsidR="00F7435C">
        <w:rPr>
          <w:rFonts w:ascii="Calibri Light" w:hAnsi="Calibri Light"/>
          <w:color w:val="000000" w:themeColor="text1"/>
          <w:sz w:val="22"/>
          <w:szCs w:val="22"/>
          <w:highlight w:val="green"/>
        </w:rPr>
        <w:t>(Apêndice</w:t>
      </w:r>
      <w:r w:rsidR="00F7435C" w:rsidRPr="008153C2">
        <w:rPr>
          <w:rFonts w:ascii="Calibri Light" w:hAnsi="Calibri Light"/>
          <w:color w:val="000000" w:themeColor="text1"/>
          <w:sz w:val="22"/>
          <w:szCs w:val="22"/>
          <w:highlight w:val="green"/>
        </w:rPr>
        <w:t xml:space="preserve"> </w:t>
      </w:r>
      <w:r w:rsidR="00F7435C">
        <w:rPr>
          <w:rFonts w:ascii="Calibri Light" w:hAnsi="Calibri Light"/>
          <w:color w:val="000000" w:themeColor="text1"/>
          <w:sz w:val="22"/>
          <w:szCs w:val="22"/>
          <w:highlight w:val="green"/>
        </w:rPr>
        <w:t>1)</w:t>
      </w:r>
      <w:r w:rsidRPr="008153C2">
        <w:rPr>
          <w:rFonts w:ascii="Calibri Light" w:hAnsi="Calibri Light"/>
          <w:sz w:val="22"/>
          <w:szCs w:val="22"/>
        </w:rPr>
        <w:t>. Neste grupo,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segundo grupo de simulações, o valor da riqueza, que variou de cinco a 500 entre as mil simulações, também foi sorteado pelo Hipercubo Latino a partir de uma distribuição uniforme.</w:t>
      </w:r>
      <w:r w:rsidRPr="008153C2">
        <w:rPr>
          <w:rStyle w:val="s2"/>
          <w:rFonts w:ascii="Calibri Light" w:hAnsi="Calibri Light"/>
          <w:sz w:val="22"/>
          <w:szCs w:val="22"/>
        </w:rPr>
        <w:t xml:space="preserve"> </w:t>
      </w:r>
      <w:r w:rsidRPr="008153C2">
        <w:rPr>
          <w:rFonts w:ascii="Calibri Light" w:hAnsi="Calibri Light"/>
          <w:sz w:val="22"/>
          <w:szCs w:val="22"/>
        </w:rPr>
        <w:t>A partir do valor da riqueza sorteado para uma dada simulação, foi calculada a abundância inicial das espécies tendo como ponto de partida o valor hipotético de 5 000 indivíduos no total da comunidade. O quociente arredondado da razão entre 5 000 e o valor da riqueza foi considerado como a abundância inicial das espécies (assim, a real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último grupo,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A diferença foi o valor da taxa de mutação, que neste grupo foi fixado em 500, como no primeiro grupo. Nos três grupos de simulações,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w:t>
      </w:r>
      <w:r w:rsidR="007648B2" w:rsidRPr="008153C2">
        <w:rPr>
          <w:rFonts w:ascii="Calibri Light" w:hAnsi="Calibri Light"/>
          <w:sz w:val="22"/>
          <w:szCs w:val="22"/>
        </w:rPr>
        <w:t>roporção</w:t>
      </w:r>
      <w:r w:rsidRPr="008153C2">
        <w:rPr>
          <w:rFonts w:ascii="Calibri Light" w:hAnsi="Calibri Light"/>
          <w:sz w:val="22"/>
          <w:szCs w:val="22"/>
        </w:rPr>
        <w:t xml:space="preserve"> de indivíduos da comunidade mortos com o evento.</w:t>
      </w:r>
    </w:p>
    <w:p w14:paraId="3370C83F" w14:textId="77777777" w:rsidR="00B06C0B" w:rsidRPr="008153C2" w:rsidRDefault="00B06C0B" w:rsidP="008153C2">
      <w:pPr>
        <w:pStyle w:val="p2"/>
        <w:spacing w:line="360" w:lineRule="auto"/>
        <w:contextualSpacing/>
        <w:rPr>
          <w:rFonts w:ascii="Calibri Light" w:hAnsi="Calibri Light"/>
          <w:sz w:val="22"/>
          <w:szCs w:val="22"/>
        </w:rPr>
      </w:pPr>
    </w:p>
    <w:p w14:paraId="2194EE2F" w14:textId="2AA47114" w:rsidR="00B06C0B" w:rsidRPr="0076314D" w:rsidRDefault="00B06C0B" w:rsidP="00874F0F">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4.3 </w:t>
      </w:r>
      <w:r w:rsidR="00874F0F" w:rsidRPr="0076314D">
        <w:rPr>
          <w:rFonts w:ascii="Calibri" w:hAnsi="Calibri"/>
          <w:b/>
          <w:sz w:val="24"/>
          <w:szCs w:val="24"/>
        </w:rPr>
        <w:tab/>
      </w:r>
      <w:r w:rsidRPr="0076314D">
        <w:rPr>
          <w:rFonts w:ascii="Calibri" w:hAnsi="Calibri"/>
          <w:b/>
          <w:sz w:val="24"/>
          <w:szCs w:val="24"/>
        </w:rPr>
        <w:t>Descrição das variáveis operacionais</w:t>
      </w:r>
    </w:p>
    <w:p w14:paraId="50F013A3" w14:textId="77777777" w:rsidR="00EE7B5F" w:rsidRPr="008153C2" w:rsidRDefault="00EE7B5F" w:rsidP="008153C2">
      <w:pPr>
        <w:pStyle w:val="p1"/>
        <w:spacing w:line="360" w:lineRule="auto"/>
        <w:contextualSpacing/>
        <w:rPr>
          <w:rFonts w:ascii="Calibri Light" w:hAnsi="Calibri Light"/>
          <w:sz w:val="22"/>
          <w:szCs w:val="22"/>
        </w:rPr>
      </w:pPr>
    </w:p>
    <w:p w14:paraId="698239DE" w14:textId="28CE1F99" w:rsidR="00B06C0B" w:rsidRPr="008153C2" w:rsidRDefault="00D76BC4" w:rsidP="008153C2">
      <w:pPr>
        <w:pStyle w:val="p1"/>
        <w:spacing w:line="360" w:lineRule="auto"/>
        <w:contextualSpacing/>
        <w:rPr>
          <w:rFonts w:ascii="Calibri Light" w:hAnsi="Calibri Light"/>
          <w:sz w:val="22"/>
          <w:szCs w:val="22"/>
        </w:rPr>
      </w:pPr>
      <w:r w:rsidRPr="008153C2">
        <w:rPr>
          <w:rFonts w:ascii="Calibri Light" w:hAnsi="Calibri Light"/>
          <w:sz w:val="22"/>
          <w:szCs w:val="22"/>
        </w:rPr>
        <w:t>Implementamos</w:t>
      </w:r>
      <w:r w:rsidR="00B06C0B" w:rsidRPr="008153C2">
        <w:rPr>
          <w:rFonts w:ascii="Calibri Light" w:hAnsi="Calibri Light"/>
          <w:sz w:val="22"/>
          <w:szCs w:val="22"/>
        </w:rPr>
        <w:t xml:space="preserve"> uma transformação linear do número de gametas femininos produzidos por ciclo, que potencialmente variou de um a 20 000, em um índice de zero a um, a que chamaremos a partir de agora de índice de estratégia de vida. A probabilidade de morte dos indivíduos também é informada pelo índice: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Operacionalizamos a evolução e a diversidade de estratégias de vida por três variáveis contínuas: (i) média geral do índice de estratégia de vida, (</w:t>
      </w:r>
      <w:proofErr w:type="spellStart"/>
      <w:r w:rsidR="00B06C0B" w:rsidRPr="008153C2">
        <w:rPr>
          <w:rFonts w:ascii="Calibri Light" w:hAnsi="Calibri Light"/>
          <w:sz w:val="22"/>
          <w:szCs w:val="22"/>
        </w:rPr>
        <w:t>ii</w:t>
      </w:r>
      <w:proofErr w:type="spellEnd"/>
      <w:r w:rsidR="00B06C0B" w:rsidRPr="008153C2">
        <w:rPr>
          <w:rFonts w:ascii="Calibri Light" w:hAnsi="Calibri Light"/>
          <w:sz w:val="22"/>
          <w:szCs w:val="22"/>
        </w:rPr>
        <w:t>) variância total do índice de estratégia de vida e (</w:t>
      </w:r>
      <w:proofErr w:type="spellStart"/>
      <w:r w:rsidR="00B06C0B" w:rsidRPr="008153C2">
        <w:rPr>
          <w:rFonts w:ascii="Calibri Light" w:hAnsi="Calibri Light"/>
          <w:sz w:val="22"/>
          <w:szCs w:val="22"/>
        </w:rPr>
        <w:t>iii</w:t>
      </w:r>
      <w:proofErr w:type="spellEnd"/>
      <w:r w:rsidR="00B06C0B" w:rsidRPr="008153C2">
        <w:rPr>
          <w:rFonts w:ascii="Calibri Light" w:hAnsi="Calibri Light"/>
          <w:sz w:val="22"/>
          <w:szCs w:val="22"/>
        </w:rPr>
        <w:t>) variância interespecífica do índice de estratégia de vida. A primeira variável-resposta refere-se à estratégia de vida média da comunidade; a segunda, à diversidade total de estratégias de vida presentes na comunidade; e a terceira, à diferença entre as espécies da comunidade em relação às suas estratégias de vida.</w:t>
      </w:r>
    </w:p>
    <w:p w14:paraId="43F2EDB6" w14:textId="6F5D88B2" w:rsidR="00B06C0B" w:rsidRPr="008153C2" w:rsidRDefault="00B06C0B" w:rsidP="008153C2">
      <w:pPr>
        <w:spacing w:line="360" w:lineRule="auto"/>
        <w:ind w:firstLine="720"/>
        <w:jc w:val="both"/>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 xml:space="preserve">A variável teórica que se refere ao distúrbio tem correspondência em duas variáveis: o número de eventos de distúrbio que ocorre na comunidade no decorrer dos ciclos e a intensidade destes eventos. Por meio do produto dessas duas variáveis, criamos um índice contínuo de distúrbio que vai de 1 a 300 000, usado como variável operacional </w:t>
      </w:r>
      <w:r w:rsidR="00B5457A">
        <w:rPr>
          <w:rFonts w:ascii="Calibri Light" w:hAnsi="Calibri Light"/>
          <w:color w:val="000000" w:themeColor="text1"/>
          <w:sz w:val="22"/>
          <w:szCs w:val="22"/>
          <w:highlight w:val="green"/>
        </w:rPr>
        <w:t>(Apêndice</w:t>
      </w:r>
      <w:r w:rsidR="00B5457A" w:rsidRPr="008153C2">
        <w:rPr>
          <w:rFonts w:ascii="Calibri Light" w:hAnsi="Calibri Light"/>
          <w:color w:val="000000" w:themeColor="text1"/>
          <w:sz w:val="22"/>
          <w:szCs w:val="22"/>
          <w:highlight w:val="green"/>
        </w:rPr>
        <w:t xml:space="preserve"> </w:t>
      </w:r>
      <w:r w:rsidR="00B5457A">
        <w:rPr>
          <w:rFonts w:ascii="Calibri Light" w:hAnsi="Calibri Light"/>
          <w:color w:val="000000" w:themeColor="text1"/>
          <w:sz w:val="22"/>
          <w:szCs w:val="22"/>
          <w:highlight w:val="green"/>
        </w:rPr>
        <w:t>2)</w:t>
      </w:r>
      <w:r w:rsidR="00B5457A" w:rsidRPr="003729F9">
        <w:rPr>
          <w:rFonts w:ascii="Calibri Light" w:hAnsi="Calibri Light"/>
          <w:color w:val="000000" w:themeColor="text1"/>
          <w:sz w:val="22"/>
          <w:szCs w:val="22"/>
        </w:rPr>
        <w:t>.</w:t>
      </w:r>
      <w:r w:rsidR="00B5457A">
        <w:rPr>
          <w:rFonts w:ascii="Calibri Light" w:hAnsi="Calibri Light"/>
          <w:color w:val="000000" w:themeColor="text1"/>
          <w:sz w:val="22"/>
          <w:szCs w:val="22"/>
        </w:rPr>
        <w:t xml:space="preserve"> </w:t>
      </w:r>
      <w:r w:rsidR="00ED3D72" w:rsidRPr="008153C2">
        <w:rPr>
          <w:rFonts w:ascii="Calibri Light" w:hAnsi="Calibri Light"/>
          <w:sz w:val="22"/>
          <w:szCs w:val="22"/>
        </w:rPr>
        <w:t xml:space="preserve">Este índice pode ser entendido como o número de vezes que todos os indivíduos da comunidade são repostos em função das mortes por distúrbio. </w:t>
      </w:r>
      <w:r w:rsidRPr="008153C2">
        <w:rPr>
          <w:rFonts w:ascii="Calibri Light" w:hAnsi="Calibri Light"/>
          <w:sz w:val="22"/>
          <w:szCs w:val="22"/>
        </w:rPr>
        <w:t>Por fim, operacionalizamos a adaptação das espécies pela taxa de mutação, que é a única fonte de variação intraespecífica nas comunidades, e a exclusão competitiva das espécies pela riqueza inicial.</w:t>
      </w:r>
      <w:r w:rsidRPr="008153C2">
        <w:rPr>
          <w:rStyle w:val="s5"/>
          <w:rFonts w:ascii="Calibri Light" w:hAnsi="Calibri Light"/>
          <w:sz w:val="22"/>
          <w:szCs w:val="22"/>
        </w:rPr>
        <w:t xml:space="preserve"> </w:t>
      </w:r>
      <w:r w:rsidRPr="008153C2">
        <w:rPr>
          <w:rFonts w:ascii="Calibri Light" w:hAnsi="Calibri Light"/>
          <w:sz w:val="22"/>
          <w:szCs w:val="22"/>
        </w:rPr>
        <w:t xml:space="preserve">Tanto a taxa de mutação quanto a riqueza inicial foram tratadas como variáveis categóricas com dois níveis cada: taxa de mutação nula ou positiva e riqueza inicial 1 ou maior que 1. </w:t>
      </w:r>
      <w:r w:rsidRPr="008153C2">
        <w:rPr>
          <w:rFonts w:ascii="Calibri Light" w:hAnsi="Calibri Light"/>
          <w:sz w:val="22"/>
          <w:szCs w:val="22"/>
          <w:highlight w:val="yellow"/>
        </w:rPr>
        <w:t xml:space="preserve">Quando a taxa de mutação é positiva e a riqueza inicial é igual a 1, temos um cenário em que a evolução ocorre por adaptação das espécies. Quando a taxa de mutação é nula e a riqueza inicial é maior que 1, a mudança na frequência das estratégias de vida dá-se por exclusão competitiva de espécies. Por sua vez, quando a taxa de mutação é positiva e a riqueza inicial é maior que 1, tanto adaptação quanto exclusão de espécies </w:t>
      </w:r>
      <w:proofErr w:type="gramStart"/>
      <w:r w:rsidRPr="008153C2">
        <w:rPr>
          <w:rFonts w:ascii="Calibri Light" w:hAnsi="Calibri Light"/>
          <w:sz w:val="22"/>
          <w:szCs w:val="22"/>
          <w:highlight w:val="yellow"/>
        </w:rPr>
        <w:t>pode</w:t>
      </w:r>
      <w:proofErr w:type="gramEnd"/>
      <w:r w:rsidRPr="008153C2">
        <w:rPr>
          <w:rFonts w:ascii="Calibri Light" w:hAnsi="Calibri Light"/>
          <w:sz w:val="22"/>
          <w:szCs w:val="22"/>
          <w:highlight w:val="yellow"/>
        </w:rPr>
        <w:t xml:space="preserve"> acontecer. O processo de deriva ocorre em todos os cenários </w:t>
      </w:r>
      <w:proofErr w:type="spellStart"/>
      <w:r w:rsidRPr="008153C2">
        <w:rPr>
          <w:rFonts w:ascii="Calibri Light" w:hAnsi="Calibri Light"/>
          <w:sz w:val="22"/>
          <w:szCs w:val="22"/>
          <w:highlight w:val="yellow"/>
        </w:rPr>
        <w:t>eco-evolutivos</w:t>
      </w:r>
      <w:proofErr w:type="spellEnd"/>
      <w:r w:rsidRPr="008153C2">
        <w:rPr>
          <w:rFonts w:ascii="Calibri Light" w:hAnsi="Calibri Light"/>
          <w:sz w:val="22"/>
          <w:szCs w:val="22"/>
          <w:highlight w:val="yellow"/>
        </w:rPr>
        <w:t xml:space="preserve"> descritos.</w:t>
      </w:r>
    </w:p>
    <w:p w14:paraId="599646D1" w14:textId="6E6E0FD5" w:rsidR="00B06C0B" w:rsidRPr="008153C2" w:rsidRDefault="00B06C0B" w:rsidP="008153C2">
      <w:pPr>
        <w:pStyle w:val="p3"/>
        <w:spacing w:line="360" w:lineRule="auto"/>
        <w:contextualSpacing/>
        <w:rPr>
          <w:rFonts w:ascii="Calibri Light" w:hAnsi="Calibri Light"/>
          <w:sz w:val="22"/>
          <w:szCs w:val="22"/>
        </w:rPr>
      </w:pPr>
      <w:r w:rsidRPr="008153C2">
        <w:rPr>
          <w:rStyle w:val="apple-tab-span"/>
          <w:rFonts w:ascii="Calibri Light" w:hAnsi="Calibri Light"/>
          <w:color w:val="000000"/>
          <w:sz w:val="22"/>
          <w:szCs w:val="22"/>
        </w:rPr>
        <w:tab/>
      </w:r>
      <w:r w:rsidRPr="008153C2">
        <w:rPr>
          <w:rStyle w:val="s6"/>
          <w:rFonts w:ascii="Calibri Light" w:hAnsi="Calibri Light"/>
          <w:sz w:val="22"/>
          <w:szCs w:val="22"/>
        </w:rPr>
        <w:t xml:space="preserve">Coletamos os valores das três variáveis-resposta (média, variância total e variância interespecífica da estratégia de vida de todas as comunidades) após decorridas duas mil gerações em cada comunidade.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dez milhões de mortes </w:t>
      </w:r>
      <w:r w:rsidR="00AD21FF">
        <w:rPr>
          <w:rFonts w:ascii="Calibri Light" w:hAnsi="Calibri Light"/>
          <w:color w:val="000000" w:themeColor="text1"/>
          <w:sz w:val="22"/>
          <w:szCs w:val="22"/>
          <w:highlight w:val="green"/>
        </w:rPr>
        <w:t>(Apêndice</w:t>
      </w:r>
      <w:r w:rsidR="002170D1" w:rsidRPr="008153C2">
        <w:rPr>
          <w:rFonts w:ascii="Calibri Light" w:hAnsi="Calibri Light"/>
          <w:color w:val="000000" w:themeColor="text1"/>
          <w:sz w:val="22"/>
          <w:szCs w:val="22"/>
          <w:highlight w:val="green"/>
        </w:rPr>
        <w:t xml:space="preserve"> 3</w:t>
      </w:r>
      <w:r w:rsidR="00AD21FF">
        <w:rPr>
          <w:rFonts w:ascii="Calibri Light" w:hAnsi="Calibri Light"/>
          <w:color w:val="000000" w:themeColor="text1"/>
          <w:sz w:val="22"/>
          <w:szCs w:val="22"/>
          <w:highlight w:val="green"/>
        </w:rPr>
        <w:t>)</w:t>
      </w:r>
      <w:r w:rsidRPr="003729F9">
        <w:rPr>
          <w:rFonts w:ascii="Calibri Light" w:hAnsi="Calibri Light"/>
          <w:color w:val="000000" w:themeColor="text1"/>
          <w:sz w:val="22"/>
          <w:szCs w:val="22"/>
        </w:rPr>
        <w:t>.</w:t>
      </w:r>
    </w:p>
    <w:p w14:paraId="7527A8BF" w14:textId="77777777" w:rsidR="00B06C0B" w:rsidRPr="008153C2" w:rsidRDefault="00B06C0B" w:rsidP="008153C2">
      <w:pPr>
        <w:pStyle w:val="p4"/>
        <w:spacing w:line="360" w:lineRule="auto"/>
        <w:contextualSpacing/>
        <w:rPr>
          <w:rFonts w:ascii="Calibri Light" w:hAnsi="Calibri Light"/>
          <w:sz w:val="22"/>
          <w:szCs w:val="22"/>
        </w:rPr>
      </w:pPr>
    </w:p>
    <w:p w14:paraId="42B0B60C" w14:textId="7274F4E4" w:rsidR="00B06C0B" w:rsidRPr="0076314D" w:rsidRDefault="00540F39" w:rsidP="00365465">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4.4</w:t>
      </w:r>
      <w:r w:rsidR="00B06C0B" w:rsidRPr="0076314D">
        <w:rPr>
          <w:rFonts w:ascii="Calibri" w:hAnsi="Calibri"/>
          <w:b/>
          <w:color w:val="7F7F7F" w:themeColor="text1" w:themeTint="80"/>
          <w:sz w:val="24"/>
          <w:szCs w:val="24"/>
        </w:rPr>
        <w:t xml:space="preserve"> </w:t>
      </w:r>
      <w:r w:rsidR="00365465" w:rsidRPr="0076314D">
        <w:rPr>
          <w:rFonts w:ascii="Calibri" w:hAnsi="Calibri"/>
          <w:b/>
          <w:sz w:val="24"/>
          <w:szCs w:val="24"/>
        </w:rPr>
        <w:tab/>
      </w:r>
      <w:r w:rsidR="00B06C0B" w:rsidRPr="0076314D">
        <w:rPr>
          <w:rFonts w:ascii="Calibri" w:hAnsi="Calibri"/>
          <w:b/>
          <w:sz w:val="24"/>
          <w:szCs w:val="24"/>
        </w:rPr>
        <w:t>Descrição da análise dos dados</w:t>
      </w:r>
    </w:p>
    <w:p w14:paraId="03322233" w14:textId="77777777" w:rsidR="009A298B" w:rsidRPr="008153C2" w:rsidRDefault="009A298B" w:rsidP="008153C2">
      <w:pPr>
        <w:pStyle w:val="p1"/>
        <w:spacing w:line="360" w:lineRule="auto"/>
        <w:contextualSpacing/>
        <w:rPr>
          <w:rFonts w:ascii="Calibri Light" w:hAnsi="Calibri Light"/>
          <w:sz w:val="22"/>
          <w:szCs w:val="22"/>
        </w:rPr>
      </w:pPr>
    </w:p>
    <w:p w14:paraId="1044C4BA" w14:textId="1F847329" w:rsidR="00B06C0B" w:rsidRDefault="00B06C0B" w:rsidP="008153C2">
      <w:pPr>
        <w:pStyle w:val="p1"/>
        <w:spacing w:line="360" w:lineRule="auto"/>
        <w:contextualSpacing/>
        <w:rPr>
          <w:rStyle w:val="s4"/>
          <w:rFonts w:ascii="Calibri Light" w:hAnsi="Calibri Light"/>
          <w:color w:val="000000" w:themeColor="text1"/>
          <w:sz w:val="22"/>
          <w:szCs w:val="22"/>
        </w:rPr>
      </w:pPr>
      <w:r w:rsidRPr="008153C2">
        <w:rPr>
          <w:rFonts w:ascii="Calibri Light" w:hAnsi="Calibri Light"/>
          <w:sz w:val="22"/>
          <w:szCs w:val="22"/>
        </w:rPr>
        <w:t>Utilizamos uma abordage</w:t>
      </w:r>
      <w:bookmarkStart w:id="0" w:name="_GoBack"/>
      <w:bookmarkEnd w:id="0"/>
      <w:r w:rsidRPr="008153C2">
        <w:rPr>
          <w:rFonts w:ascii="Calibri Light" w:hAnsi="Calibri Light"/>
          <w:sz w:val="22"/>
          <w:szCs w:val="22"/>
        </w:rPr>
        <w:t xml:space="preserve">m de seleção de modelos a fim de investigar diferentes formas possíveis para a relação entre o índice de distúrbio e a média, a variância total e a variância interespecífica da estratégia de vida nas comunidades sob os distintos cenários </w:t>
      </w:r>
      <w:proofErr w:type="spellStart"/>
      <w:r w:rsidRPr="008153C2">
        <w:rPr>
          <w:rFonts w:ascii="Calibri Light" w:hAnsi="Calibri Light"/>
          <w:sz w:val="22"/>
          <w:szCs w:val="22"/>
        </w:rPr>
        <w:t>eco-evolutivos</w:t>
      </w:r>
      <w:proofErr w:type="spellEnd"/>
      <w:r w:rsidRPr="008153C2">
        <w:rPr>
          <w:rFonts w:ascii="Calibri Light" w:hAnsi="Calibri Light"/>
          <w:sz w:val="22"/>
          <w:szCs w:val="22"/>
        </w:rPr>
        <w:t xml:space="preserve"> (adaptação, exclusão competitiva de linhagens ou ambos). Para cada </w:t>
      </w:r>
      <w:r w:rsidR="00325196" w:rsidRPr="008153C2">
        <w:rPr>
          <w:rFonts w:ascii="Calibri Light" w:hAnsi="Calibri Light"/>
          <w:sz w:val="22"/>
          <w:szCs w:val="22"/>
        </w:rPr>
        <w:t>cenário</w:t>
      </w:r>
      <w:r w:rsidRPr="008153C2">
        <w:rPr>
          <w:rFonts w:ascii="Calibri Light" w:hAnsi="Calibri Light"/>
          <w:sz w:val="22"/>
          <w:szCs w:val="22"/>
        </w:rPr>
        <w:t>, ajustamos modelos lineares e não lineares através da estimativa de máxima verossimilhança de seus parâmetros. A</w:t>
      </w:r>
      <w:r w:rsidR="00335D41" w:rsidRPr="008153C2">
        <w:rPr>
          <w:rFonts w:ascii="Calibri Light" w:hAnsi="Calibri Light"/>
          <w:sz w:val="22"/>
          <w:szCs w:val="22"/>
        </w:rPr>
        <w:t>s distribuições de erro</w:t>
      </w:r>
      <w:r w:rsidRPr="008153C2">
        <w:rPr>
          <w:rFonts w:ascii="Calibri Light" w:hAnsi="Calibri Light"/>
          <w:sz w:val="22"/>
          <w:szCs w:val="22"/>
        </w:rPr>
        <w:t xml:space="preserve"> utilizada</w:t>
      </w:r>
      <w:r w:rsidR="00335D41" w:rsidRPr="008153C2">
        <w:rPr>
          <w:rFonts w:ascii="Calibri Light" w:hAnsi="Calibri Light"/>
          <w:sz w:val="22"/>
          <w:szCs w:val="22"/>
        </w:rPr>
        <w:t>s foram a</w:t>
      </w:r>
      <w:r w:rsidRPr="008153C2">
        <w:rPr>
          <w:rFonts w:ascii="Calibri Light" w:hAnsi="Calibri Light"/>
          <w:sz w:val="22"/>
          <w:szCs w:val="22"/>
        </w:rPr>
        <w:t xml:space="preserve"> </w:t>
      </w:r>
      <w:r w:rsidR="006A56C2" w:rsidRPr="008153C2">
        <w:rPr>
          <w:rFonts w:ascii="Calibri Light" w:hAnsi="Calibri Light"/>
          <w:sz w:val="22"/>
          <w:szCs w:val="22"/>
        </w:rPr>
        <w:t>normal</w:t>
      </w:r>
      <w:r w:rsidR="00BD7717" w:rsidRPr="008153C2">
        <w:rPr>
          <w:rFonts w:ascii="Calibri Light" w:hAnsi="Calibri Light"/>
          <w:sz w:val="22"/>
          <w:szCs w:val="22"/>
        </w:rPr>
        <w:t xml:space="preserve"> e a gama</w:t>
      </w:r>
      <w:r w:rsidR="00592DA1">
        <w:rPr>
          <w:rStyle w:val="FootnoteReference"/>
          <w:rFonts w:ascii="Calibri Light" w:hAnsi="Calibri Light"/>
          <w:sz w:val="22"/>
          <w:szCs w:val="22"/>
        </w:rPr>
        <w:footnoteReference w:id="2"/>
      </w:r>
      <w:r w:rsidR="00083287" w:rsidRPr="008153C2">
        <w:rPr>
          <w:rFonts w:ascii="Calibri Light" w:hAnsi="Calibri Light"/>
          <w:sz w:val="22"/>
          <w:szCs w:val="22"/>
        </w:rPr>
        <w:t>.</w:t>
      </w:r>
      <w:r w:rsidR="00592DA1">
        <w:rPr>
          <w:rFonts w:ascii="Calibri Light" w:hAnsi="Calibri Light"/>
          <w:sz w:val="22"/>
          <w:szCs w:val="22"/>
        </w:rPr>
        <w:t xml:space="preserve"> </w:t>
      </w:r>
      <w:r w:rsidR="00083287" w:rsidRPr="008153C2">
        <w:rPr>
          <w:rFonts w:ascii="Calibri Light" w:hAnsi="Calibri Light"/>
          <w:sz w:val="22"/>
          <w:szCs w:val="22"/>
        </w:rPr>
        <w:t>P</w:t>
      </w:r>
      <w:r w:rsidRPr="008153C2">
        <w:rPr>
          <w:rFonts w:ascii="Calibri Light" w:hAnsi="Calibri Light"/>
          <w:sz w:val="22"/>
          <w:szCs w:val="22"/>
        </w:rPr>
        <w:t xml:space="preserve">ara a média da estratégia de vida, os modelos candidatos apresentaram as funções linear, Michaelis-Menten, potência, logística e exponencial, além do modelo nulo. Estas funções abarcam diferentes formas de crescimento ou decrescimento </w:t>
      </w:r>
      <w:proofErr w:type="spellStart"/>
      <w:r w:rsidRPr="008153C2">
        <w:rPr>
          <w:rFonts w:ascii="Calibri Light" w:hAnsi="Calibri Light"/>
          <w:sz w:val="22"/>
          <w:szCs w:val="22"/>
        </w:rPr>
        <w:t>monotônico</w:t>
      </w:r>
      <w:proofErr w:type="spellEnd"/>
      <w:r w:rsidRPr="008153C2">
        <w:rPr>
          <w:rFonts w:ascii="Calibri Light" w:hAnsi="Calibri Light"/>
          <w:sz w:val="22"/>
          <w:szCs w:val="22"/>
        </w:rPr>
        <w:t xml:space="preserve"> da variável-resposta em função da variável preditora. Para a variância total e a variância interespecífica, além das funções utilizadas na modelagem da média, ajustamos modelos com as funçõe</w:t>
      </w:r>
      <w:r w:rsidR="000554FD" w:rsidRPr="008153C2">
        <w:rPr>
          <w:rFonts w:ascii="Calibri Light" w:hAnsi="Calibri Light"/>
          <w:sz w:val="22"/>
          <w:szCs w:val="22"/>
        </w:rPr>
        <w:t xml:space="preserve">s gaussiana, quadrática, Ricker e </w:t>
      </w:r>
      <w:proofErr w:type="spellStart"/>
      <w:r w:rsidR="000554FD" w:rsidRPr="008153C2">
        <w:rPr>
          <w:rFonts w:ascii="Calibri Light" w:hAnsi="Calibri Light"/>
          <w:sz w:val="22"/>
          <w:szCs w:val="22"/>
        </w:rPr>
        <w:t>Holling</w:t>
      </w:r>
      <w:proofErr w:type="spellEnd"/>
      <w:r w:rsidRPr="008153C2">
        <w:rPr>
          <w:rFonts w:ascii="Calibri Light" w:hAnsi="Calibri Light"/>
          <w:sz w:val="22"/>
          <w:szCs w:val="22"/>
        </w:rPr>
        <w:t>, que abrangem relações não-</w:t>
      </w:r>
      <w:proofErr w:type="spellStart"/>
      <w:r w:rsidRPr="008153C2">
        <w:rPr>
          <w:rFonts w:ascii="Calibri Light" w:hAnsi="Calibri Light"/>
          <w:sz w:val="22"/>
          <w:szCs w:val="22"/>
        </w:rPr>
        <w:t>monotônicas</w:t>
      </w:r>
      <w:proofErr w:type="spellEnd"/>
      <w:r w:rsidRPr="008153C2">
        <w:rPr>
          <w:rFonts w:ascii="Calibri Light" w:hAnsi="Calibri Light"/>
          <w:sz w:val="22"/>
          <w:szCs w:val="22"/>
        </w:rPr>
        <w:t xml:space="preserve"> entre as variáveis </w:t>
      </w:r>
      <w:r w:rsidR="0028389F" w:rsidRPr="00B12B31">
        <w:rPr>
          <w:rStyle w:val="s4"/>
          <w:rFonts w:ascii="Calibri Light" w:hAnsi="Calibri Light"/>
          <w:color w:val="000000" w:themeColor="text1"/>
          <w:sz w:val="22"/>
          <w:szCs w:val="22"/>
        </w:rPr>
        <w:t>(Tabela 1)</w:t>
      </w:r>
      <w:r w:rsidRPr="008153C2">
        <w:rPr>
          <w:rFonts w:ascii="Calibri Light" w:hAnsi="Calibri Light"/>
          <w:color w:val="000000" w:themeColor="text1"/>
          <w:sz w:val="22"/>
          <w:szCs w:val="22"/>
        </w:rPr>
        <w:t xml:space="preserve">. </w:t>
      </w:r>
      <w:r w:rsidRPr="008153C2">
        <w:rPr>
          <w:rFonts w:ascii="Calibri Light" w:hAnsi="Calibri Light"/>
          <w:sz w:val="22"/>
          <w:szCs w:val="22"/>
        </w:rPr>
        <w:t xml:space="preserve">Para cada grupo de simulações, selecionamos os modelos mais plausíveis por meio do critério de informação de </w:t>
      </w:r>
      <w:proofErr w:type="spellStart"/>
      <w:r w:rsidRPr="008153C2">
        <w:rPr>
          <w:rFonts w:ascii="Calibri Light" w:hAnsi="Calibri Light"/>
          <w:sz w:val="22"/>
          <w:szCs w:val="22"/>
        </w:rPr>
        <w:t>Akaike</w:t>
      </w:r>
      <w:proofErr w:type="spellEnd"/>
      <w:r w:rsidRPr="008153C2">
        <w:rPr>
          <w:rFonts w:ascii="Calibri Light" w:hAnsi="Calibri Light"/>
          <w:sz w:val="22"/>
          <w:szCs w:val="22"/>
        </w:rPr>
        <w:t xml:space="preserve"> (AIC). </w:t>
      </w:r>
      <w:r w:rsidRPr="008153C2">
        <w:rPr>
          <w:rStyle w:val="s4"/>
          <w:rFonts w:ascii="Calibri Light" w:hAnsi="Calibri Light"/>
          <w:color w:val="000000" w:themeColor="text1"/>
          <w:sz w:val="22"/>
          <w:szCs w:val="22"/>
          <w:highlight w:val="yellow"/>
        </w:rPr>
        <w:t>[Para avaliar a semelhança entre os três cenários, realizamos, para cada variável-resposta, uma abordagem de seleção semelhante à descrita acima, mas, em vez de separar os dados entre os três cenários, separamos entre aqueles com taxa de mutação nula e os com taxa de mutação positiva (e, separados dessa forma, fizemos uma seleção dos modelos candidatos e somamos o AIC do modelo selecionado em cada subconjunto); em outra seção, separamos entre aqueles com riqueza inicial igual a um e com riqueza inicial maior que um, novamente fizemos uma seleção de modelos e somamos o AIC do modelo selecionado para cada subconjunto; por fim, ajustamos modelos que incluíram todos os dados, independentemente da taxa de mutação e da riqueza inicial, e fizemos a seleção dos modelos candidatos. Ao final, comparamos o valor do AIC dos 4 modelos resultantes (o que separa os dados por cenário, o que separa os dados por taxa de mutação, o que separa os dados por riqueza inici</w:t>
      </w:r>
      <w:r w:rsidR="007911E3">
        <w:rPr>
          <w:rStyle w:val="s4"/>
          <w:rFonts w:ascii="Calibri Light" w:hAnsi="Calibri Light"/>
          <w:color w:val="000000" w:themeColor="text1"/>
          <w:sz w:val="22"/>
          <w:szCs w:val="22"/>
          <w:highlight w:val="yellow"/>
        </w:rPr>
        <w:t xml:space="preserve">al e o que não separa os </w:t>
      </w:r>
      <w:proofErr w:type="gramStart"/>
      <w:r w:rsidR="007911E3">
        <w:rPr>
          <w:rStyle w:val="s4"/>
          <w:rFonts w:ascii="Calibri Light" w:hAnsi="Calibri Light"/>
          <w:color w:val="000000" w:themeColor="text1"/>
          <w:sz w:val="22"/>
          <w:szCs w:val="22"/>
          <w:highlight w:val="yellow"/>
        </w:rPr>
        <w:t>dados)]</w:t>
      </w:r>
      <w:proofErr w:type="gramEnd"/>
      <w:r w:rsidR="007911E3">
        <w:rPr>
          <w:rStyle w:val="s4"/>
          <w:rFonts w:ascii="Calibri Light" w:hAnsi="Calibri Light"/>
          <w:color w:val="000000" w:themeColor="text1"/>
          <w:sz w:val="22"/>
          <w:szCs w:val="22"/>
          <w:highlight w:val="yellow"/>
        </w:rPr>
        <w:t>.</w:t>
      </w:r>
    </w:p>
    <w:p w14:paraId="784A90F5" w14:textId="77777777" w:rsidR="009D6236" w:rsidRDefault="009D6236" w:rsidP="008153C2">
      <w:pPr>
        <w:pStyle w:val="p1"/>
        <w:spacing w:line="360" w:lineRule="auto"/>
        <w:contextualSpacing/>
        <w:rPr>
          <w:rStyle w:val="s4"/>
          <w:rFonts w:ascii="Calibri Light" w:hAnsi="Calibri Light"/>
          <w:color w:val="000000" w:themeColor="text1"/>
          <w:sz w:val="22"/>
          <w:szCs w:val="22"/>
        </w:rPr>
      </w:pPr>
    </w:p>
    <w:p w14:paraId="26292318" w14:textId="253DD55C" w:rsidR="00FB71B6" w:rsidRDefault="00FB71B6" w:rsidP="00EC5515">
      <w:pPr>
        <w:pStyle w:val="p1"/>
        <w:spacing w:line="276" w:lineRule="auto"/>
        <w:contextualSpacing/>
        <w:rPr>
          <w:rStyle w:val="s4"/>
          <w:rFonts w:ascii="Calibri Light" w:hAnsi="Calibri Light"/>
          <w:color w:val="000000" w:themeColor="text1"/>
          <w:sz w:val="22"/>
          <w:szCs w:val="22"/>
        </w:rPr>
      </w:pPr>
      <w:r w:rsidRPr="0041699D">
        <w:rPr>
          <w:rStyle w:val="s4"/>
          <w:rFonts w:ascii="Calibri" w:hAnsi="Calibri"/>
          <w:b/>
          <w:color w:val="000000" w:themeColor="text1"/>
          <w:sz w:val="22"/>
          <w:szCs w:val="22"/>
        </w:rPr>
        <w:t>Tabela 1</w:t>
      </w:r>
      <w:r w:rsidR="00FE68E5" w:rsidRPr="0041699D">
        <w:rPr>
          <w:rStyle w:val="s4"/>
          <w:rFonts w:ascii="Calibri" w:hAnsi="Calibri"/>
          <w:b/>
          <w:color w:val="000000" w:themeColor="text1"/>
          <w:sz w:val="22"/>
          <w:szCs w:val="22"/>
        </w:rPr>
        <w:t>:</w:t>
      </w:r>
      <w:r w:rsidR="004B43AA">
        <w:rPr>
          <w:rStyle w:val="s4"/>
          <w:rFonts w:ascii="Calibri Light" w:hAnsi="Calibri Light"/>
          <w:color w:val="000000" w:themeColor="text1"/>
          <w:sz w:val="22"/>
          <w:szCs w:val="22"/>
        </w:rPr>
        <w:t xml:space="preserve"> Fórmulas das funções determinísticas usadas nos modelos</w:t>
      </w:r>
      <w:r w:rsidR="00F3709A">
        <w:rPr>
          <w:rStyle w:val="s4"/>
          <w:rFonts w:ascii="Calibri Light" w:hAnsi="Calibri Light"/>
          <w:color w:val="000000" w:themeColor="text1"/>
          <w:sz w:val="22"/>
          <w:szCs w:val="22"/>
        </w:rPr>
        <w:t xml:space="preserve"> estatísticos</w:t>
      </w:r>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que relacionam a distribuição das variáveis-resposta (média, variância total e variância interespecífica do índice de estratégia de vida)</w:t>
      </w:r>
      <w:r w:rsidR="00BE448A">
        <w:rPr>
          <w:rStyle w:val="s4"/>
          <w:rFonts w:ascii="Calibri Light" w:hAnsi="Calibri Light"/>
          <w:color w:val="000000" w:themeColor="text1"/>
          <w:sz w:val="22"/>
          <w:szCs w:val="22"/>
        </w:rPr>
        <w:t xml:space="preserve">, representadas por </w:t>
      </w:r>
      <m:oMath>
        <m:r>
          <w:rPr>
            <w:rFonts w:ascii="Cambria Math" w:hAnsi="Cambria Math"/>
            <w:color w:val="000000" w:themeColor="text1"/>
            <w:sz w:val="22"/>
            <w:szCs w:val="22"/>
          </w:rPr>
          <m:t>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x</m:t>
            </m:r>
          </m:e>
        </m:d>
      </m:oMath>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ao índice de distúrbio</w:t>
      </w:r>
      <w:r w:rsidR="00BE448A">
        <w:rPr>
          <w:rStyle w:val="s4"/>
          <w:rFonts w:ascii="Calibri Light" w:hAnsi="Calibri Light"/>
          <w:color w:val="000000" w:themeColor="text1"/>
          <w:sz w:val="22"/>
          <w:szCs w:val="22"/>
        </w:rPr>
        <w:t xml:space="preserve">, representado por </w:t>
      </w:r>
      <m:oMath>
        <m:r>
          <w:rPr>
            <w:rFonts w:ascii="Cambria Math" w:hAnsi="Cambria Math"/>
            <w:color w:val="000000" w:themeColor="text1"/>
            <w:sz w:val="22"/>
            <w:szCs w:val="22"/>
          </w:rPr>
          <m:t>x</m:t>
        </m:r>
      </m:oMath>
      <w:r w:rsidR="004B43AA">
        <w:rPr>
          <w:rStyle w:val="s4"/>
          <w:rFonts w:ascii="Calibri Light" w:hAnsi="Calibri Light"/>
          <w:color w:val="000000" w:themeColor="text1"/>
          <w:sz w:val="22"/>
          <w:szCs w:val="22"/>
        </w:rPr>
        <w:t>.</w:t>
      </w:r>
    </w:p>
    <w:p w14:paraId="5A2887EA" w14:textId="77777777" w:rsidR="004F27CD" w:rsidRDefault="004F27CD" w:rsidP="00EC5515">
      <w:pPr>
        <w:pStyle w:val="p1"/>
        <w:spacing w:line="276" w:lineRule="auto"/>
        <w:contextualSpacing/>
        <w:rPr>
          <w:rStyle w:val="s4"/>
          <w:rFonts w:ascii="Calibri Light" w:hAnsi="Calibri Light"/>
          <w:color w:val="000000" w:themeColor="text1"/>
          <w:sz w:val="22"/>
          <w:szCs w:val="22"/>
        </w:rPr>
      </w:pPr>
    </w:p>
    <w:p w14:paraId="397E3892" w14:textId="11B74E95" w:rsidR="00F15276" w:rsidRPr="008153C2" w:rsidRDefault="009B039F" w:rsidP="009B039F">
      <w:pPr>
        <w:pStyle w:val="p1"/>
        <w:spacing w:line="360" w:lineRule="auto"/>
        <w:contextualSpacing/>
        <w:jc w:val="center"/>
        <w:rPr>
          <w:rFonts w:ascii="Calibri Light" w:hAnsi="Calibri Light"/>
          <w:sz w:val="22"/>
          <w:szCs w:val="22"/>
        </w:rPr>
      </w:pPr>
      <w:r w:rsidRPr="009B039F">
        <w:rPr>
          <w:rFonts w:ascii="Calibri Light" w:hAnsi="Calibri Light"/>
          <w:noProof/>
          <w:sz w:val="22"/>
          <w:szCs w:val="22"/>
          <w:lang w:val="en-US"/>
        </w:rPr>
        <w:drawing>
          <wp:inline distT="0" distB="0" distL="0" distR="0" wp14:anchorId="404E6DCA" wp14:editId="22FCCF66">
            <wp:extent cx="2880537" cy="4557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723" cy="4573929"/>
                    </a:xfrm>
                    <a:prstGeom prst="rect">
                      <a:avLst/>
                    </a:prstGeom>
                  </pic:spPr>
                </pic:pic>
              </a:graphicData>
            </a:graphic>
          </wp:inline>
        </w:drawing>
      </w:r>
    </w:p>
    <w:p w14:paraId="393BC94B" w14:textId="41351CB3" w:rsidR="003A3A1A" w:rsidRPr="008153C2" w:rsidRDefault="003A3A1A" w:rsidP="008153C2">
      <w:pPr>
        <w:spacing w:line="360" w:lineRule="auto"/>
        <w:contextualSpacing/>
        <w:rPr>
          <w:rFonts w:ascii="Calibri Light" w:hAnsi="Calibri Light"/>
          <w:sz w:val="22"/>
          <w:szCs w:val="22"/>
        </w:rPr>
      </w:pPr>
    </w:p>
    <w:sectPr w:rsidR="003A3A1A" w:rsidRPr="008153C2"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81591" w14:textId="77777777" w:rsidR="0077508E" w:rsidRDefault="0077508E" w:rsidP="005639F8">
      <w:r>
        <w:separator/>
      </w:r>
    </w:p>
  </w:endnote>
  <w:endnote w:type="continuationSeparator" w:id="0">
    <w:p w14:paraId="6CB5CE35" w14:textId="77777777" w:rsidR="0077508E" w:rsidRDefault="0077508E" w:rsidP="0056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A1317" w14:textId="77777777" w:rsidR="0077508E" w:rsidRDefault="0077508E" w:rsidP="005639F8">
      <w:r>
        <w:separator/>
      </w:r>
    </w:p>
  </w:footnote>
  <w:footnote w:type="continuationSeparator" w:id="0">
    <w:p w14:paraId="07147A97" w14:textId="77777777" w:rsidR="0077508E" w:rsidRDefault="0077508E" w:rsidP="005639F8">
      <w:r>
        <w:continuationSeparator/>
      </w:r>
    </w:p>
  </w:footnote>
  <w:footnote w:id="1">
    <w:p w14:paraId="042EF28D" w14:textId="75F08678" w:rsidR="005639F8" w:rsidRPr="005639F8" w:rsidRDefault="005639F8" w:rsidP="005639F8">
      <w:pPr>
        <w:pStyle w:val="FootnoteText"/>
        <w:jc w:val="both"/>
        <w:rPr>
          <w:lang w:val="en-US"/>
        </w:rPr>
      </w:pPr>
      <w:r w:rsidRPr="00EF5955">
        <w:rPr>
          <w:rStyle w:val="FootnoteReference"/>
          <w:rFonts w:ascii="Calibri" w:hAnsi="Calibri"/>
        </w:rPr>
        <w:footnoteRef/>
      </w:r>
      <w:r w:rsidRPr="00EF5955">
        <w:rPr>
          <w:rFonts w:ascii="Calibri" w:hAnsi="Calibri"/>
        </w:rPr>
        <w:t xml:space="preserve"> </w:t>
      </w:r>
      <w:r w:rsidRPr="004D598A">
        <w:rPr>
          <w:rStyle w:val="s1"/>
          <w:rFonts w:ascii="Calibri Light" w:hAnsi="Calibri Light"/>
          <w:color w:val="000000" w:themeColor="text1"/>
          <w:sz w:val="22"/>
          <w:szCs w:val="22"/>
        </w:rPr>
        <w:t>A técnica do hipercubo latino consiste em uma amostragem sistemática das distribuições de probabilidade dos parâmetros de um modelo, dividindo-as em regiões equiprováveis e sorteando um valor de cada região (</w:t>
      </w:r>
      <w:proofErr w:type="spellStart"/>
      <w:r w:rsidRPr="006B3D21">
        <w:rPr>
          <w:rStyle w:val="s1"/>
          <w:rFonts w:ascii="Calibri Light" w:hAnsi="Calibri Light"/>
          <w:color w:val="000000" w:themeColor="text1"/>
          <w:sz w:val="22"/>
          <w:szCs w:val="22"/>
          <w:highlight w:val="magenta"/>
        </w:rPr>
        <w:t>Chalom</w:t>
      </w:r>
      <w:proofErr w:type="spellEnd"/>
      <w:r w:rsidRPr="006B3D21">
        <w:rPr>
          <w:rStyle w:val="s1"/>
          <w:rFonts w:ascii="Calibri Light" w:hAnsi="Calibri Light"/>
          <w:color w:val="000000" w:themeColor="text1"/>
          <w:sz w:val="22"/>
          <w:szCs w:val="22"/>
          <w:highlight w:val="magenta"/>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r w:rsidR="004D309F" w:rsidRPr="004D598A">
        <w:rPr>
          <w:rStyle w:val="s1"/>
          <w:rFonts w:ascii="Calibri Light" w:hAnsi="Calibri Light"/>
          <w:color w:val="000000" w:themeColor="text1"/>
          <w:sz w:val="22"/>
          <w:szCs w:val="22"/>
        </w:rPr>
        <w:t>.</w:t>
      </w:r>
    </w:p>
  </w:footnote>
  <w:footnote w:id="2">
    <w:p w14:paraId="3ADCF0B3" w14:textId="73424AD5" w:rsidR="00592DA1" w:rsidRPr="00592DA1" w:rsidRDefault="00592DA1" w:rsidP="00592DA1">
      <w:pPr>
        <w:pStyle w:val="FootnoteText"/>
        <w:jc w:val="both"/>
        <w:rPr>
          <w:lang w:val="en-US"/>
        </w:rPr>
      </w:pPr>
      <w:r>
        <w:rPr>
          <w:rStyle w:val="FootnoteReference"/>
        </w:rPr>
        <w:footnoteRef/>
      </w:r>
      <w:r>
        <w:t xml:space="preserve"> </w:t>
      </w:r>
      <w:r w:rsidRPr="00592DA1">
        <w:rPr>
          <w:rFonts w:ascii="Calibri Light" w:hAnsi="Calibri Light"/>
          <w:color w:val="000000" w:themeColor="text1"/>
          <w:sz w:val="22"/>
          <w:szCs w:val="22"/>
        </w:rPr>
        <w:t xml:space="preserve">A média, a variância total e a variância interespecífica do índice de estratégia de vida são variáveis contínuas, positivas e assimétricas. A variação intraespecífica no índice de estratégia de vida, como explicitado na seção 4.1, é dada a partir do sorteio de uma distribuição gaussiana, no momento de determinação do índice de estratégia dos indivíduos novos da comunidade. Considerando essas características, as distribuições de probabilidade mais adequadas para potencialmente explicar a variação </w:t>
      </w:r>
      <w:r w:rsidR="00A6293B">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83287"/>
    <w:rsid w:val="00090249"/>
    <w:rsid w:val="000F28E0"/>
    <w:rsid w:val="00105854"/>
    <w:rsid w:val="001072A2"/>
    <w:rsid w:val="001603E5"/>
    <w:rsid w:val="00160A81"/>
    <w:rsid w:val="00160C48"/>
    <w:rsid w:val="001B3785"/>
    <w:rsid w:val="001C00A3"/>
    <w:rsid w:val="001C34E8"/>
    <w:rsid w:val="001D15B7"/>
    <w:rsid w:val="001E294B"/>
    <w:rsid w:val="0020360E"/>
    <w:rsid w:val="002170D1"/>
    <w:rsid w:val="0025613D"/>
    <w:rsid w:val="002727E9"/>
    <w:rsid w:val="0028389F"/>
    <w:rsid w:val="002948C8"/>
    <w:rsid w:val="002D067E"/>
    <w:rsid w:val="003042AA"/>
    <w:rsid w:val="0030665B"/>
    <w:rsid w:val="0032171E"/>
    <w:rsid w:val="0032339D"/>
    <w:rsid w:val="00325196"/>
    <w:rsid w:val="003330C6"/>
    <w:rsid w:val="00335D41"/>
    <w:rsid w:val="003626D2"/>
    <w:rsid w:val="00365465"/>
    <w:rsid w:val="003729F9"/>
    <w:rsid w:val="003952B2"/>
    <w:rsid w:val="003A3A1A"/>
    <w:rsid w:val="003B337C"/>
    <w:rsid w:val="003D6AFD"/>
    <w:rsid w:val="00404A00"/>
    <w:rsid w:val="004068B4"/>
    <w:rsid w:val="00407445"/>
    <w:rsid w:val="00413BCB"/>
    <w:rsid w:val="0041699D"/>
    <w:rsid w:val="0043426D"/>
    <w:rsid w:val="004378EE"/>
    <w:rsid w:val="00452189"/>
    <w:rsid w:val="0045625C"/>
    <w:rsid w:val="004A22F7"/>
    <w:rsid w:val="004A678C"/>
    <w:rsid w:val="004B43AA"/>
    <w:rsid w:val="004D1419"/>
    <w:rsid w:val="004D309F"/>
    <w:rsid w:val="004D45B0"/>
    <w:rsid w:val="004D598A"/>
    <w:rsid w:val="004F27CD"/>
    <w:rsid w:val="004F40A4"/>
    <w:rsid w:val="00510401"/>
    <w:rsid w:val="00511E13"/>
    <w:rsid w:val="00533E30"/>
    <w:rsid w:val="005349F5"/>
    <w:rsid w:val="00540F39"/>
    <w:rsid w:val="00555054"/>
    <w:rsid w:val="00562F35"/>
    <w:rsid w:val="00563256"/>
    <w:rsid w:val="005639F8"/>
    <w:rsid w:val="00592DA1"/>
    <w:rsid w:val="005A2750"/>
    <w:rsid w:val="005B44D1"/>
    <w:rsid w:val="005E11A7"/>
    <w:rsid w:val="00602EF3"/>
    <w:rsid w:val="00657BC1"/>
    <w:rsid w:val="006649F7"/>
    <w:rsid w:val="00673678"/>
    <w:rsid w:val="00690B92"/>
    <w:rsid w:val="006A56C2"/>
    <w:rsid w:val="006B0A3E"/>
    <w:rsid w:val="006B3D21"/>
    <w:rsid w:val="006C34E5"/>
    <w:rsid w:val="006C7768"/>
    <w:rsid w:val="006D2003"/>
    <w:rsid w:val="006D70B8"/>
    <w:rsid w:val="006E5D79"/>
    <w:rsid w:val="006F6E2F"/>
    <w:rsid w:val="0074248F"/>
    <w:rsid w:val="007500F1"/>
    <w:rsid w:val="0076314D"/>
    <w:rsid w:val="007648B2"/>
    <w:rsid w:val="0077508E"/>
    <w:rsid w:val="00782DA4"/>
    <w:rsid w:val="007911E3"/>
    <w:rsid w:val="007B0E4A"/>
    <w:rsid w:val="007B419F"/>
    <w:rsid w:val="007D3938"/>
    <w:rsid w:val="008153C2"/>
    <w:rsid w:val="00857F36"/>
    <w:rsid w:val="00874F0F"/>
    <w:rsid w:val="0087783E"/>
    <w:rsid w:val="0089220A"/>
    <w:rsid w:val="00894CBC"/>
    <w:rsid w:val="008E1465"/>
    <w:rsid w:val="009054FE"/>
    <w:rsid w:val="00986102"/>
    <w:rsid w:val="009A298B"/>
    <w:rsid w:val="009B039F"/>
    <w:rsid w:val="009D6236"/>
    <w:rsid w:val="009E4A1E"/>
    <w:rsid w:val="009F4CDE"/>
    <w:rsid w:val="00A1422E"/>
    <w:rsid w:val="00A31C8C"/>
    <w:rsid w:val="00A31F1F"/>
    <w:rsid w:val="00A6293B"/>
    <w:rsid w:val="00A71A32"/>
    <w:rsid w:val="00A81A9A"/>
    <w:rsid w:val="00AA37B9"/>
    <w:rsid w:val="00AC75ED"/>
    <w:rsid w:val="00AC77C2"/>
    <w:rsid w:val="00AD21FF"/>
    <w:rsid w:val="00AD5645"/>
    <w:rsid w:val="00AD6FF1"/>
    <w:rsid w:val="00AD7ADB"/>
    <w:rsid w:val="00AE42D2"/>
    <w:rsid w:val="00B06C0B"/>
    <w:rsid w:val="00B12B31"/>
    <w:rsid w:val="00B5457A"/>
    <w:rsid w:val="00B7701A"/>
    <w:rsid w:val="00B77089"/>
    <w:rsid w:val="00B8205C"/>
    <w:rsid w:val="00B96352"/>
    <w:rsid w:val="00BA0889"/>
    <w:rsid w:val="00BD2ABB"/>
    <w:rsid w:val="00BD7717"/>
    <w:rsid w:val="00BE448A"/>
    <w:rsid w:val="00C957B4"/>
    <w:rsid w:val="00CA0599"/>
    <w:rsid w:val="00CB35EF"/>
    <w:rsid w:val="00CB6BBB"/>
    <w:rsid w:val="00CC0731"/>
    <w:rsid w:val="00CE2C14"/>
    <w:rsid w:val="00D01C88"/>
    <w:rsid w:val="00D24BD2"/>
    <w:rsid w:val="00D34FF9"/>
    <w:rsid w:val="00D616C4"/>
    <w:rsid w:val="00D76BC4"/>
    <w:rsid w:val="00DE3A0F"/>
    <w:rsid w:val="00E01519"/>
    <w:rsid w:val="00E43E05"/>
    <w:rsid w:val="00E51911"/>
    <w:rsid w:val="00E5797E"/>
    <w:rsid w:val="00E70B37"/>
    <w:rsid w:val="00EC44D7"/>
    <w:rsid w:val="00EC5515"/>
    <w:rsid w:val="00ED22CA"/>
    <w:rsid w:val="00ED3D72"/>
    <w:rsid w:val="00EE7B5F"/>
    <w:rsid w:val="00EF3971"/>
    <w:rsid w:val="00EF5955"/>
    <w:rsid w:val="00F15276"/>
    <w:rsid w:val="00F27516"/>
    <w:rsid w:val="00F3709A"/>
    <w:rsid w:val="00F51D7B"/>
    <w:rsid w:val="00F7435C"/>
    <w:rsid w:val="00FA273C"/>
    <w:rsid w:val="00FB71B6"/>
    <w:rsid w:val="00FD4890"/>
    <w:rsid w:val="00FD48A6"/>
    <w:rsid w:val="00FE68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 w:type="paragraph" w:styleId="FootnoteText">
    <w:name w:val="footnote text"/>
    <w:basedOn w:val="Normal"/>
    <w:link w:val="FootnoteTextChar"/>
    <w:uiPriority w:val="99"/>
    <w:unhideWhenUsed/>
    <w:rsid w:val="005639F8"/>
  </w:style>
  <w:style w:type="character" w:customStyle="1" w:styleId="FootnoteTextChar">
    <w:name w:val="Footnote Text Char"/>
    <w:basedOn w:val="DefaultParagraphFont"/>
    <w:link w:val="FootnoteText"/>
    <w:uiPriority w:val="99"/>
    <w:rsid w:val="005639F8"/>
    <w:rPr>
      <w:lang w:val="pt-BR"/>
    </w:rPr>
  </w:style>
  <w:style w:type="character" w:styleId="FootnoteReference">
    <w:name w:val="footnote reference"/>
    <w:basedOn w:val="DefaultParagraphFont"/>
    <w:uiPriority w:val="99"/>
    <w:unhideWhenUsed/>
    <w:rsid w:val="005639F8"/>
    <w:rPr>
      <w:vertAlign w:val="superscript"/>
    </w:rPr>
  </w:style>
  <w:style w:type="paragraph" w:styleId="Header">
    <w:name w:val="header"/>
    <w:basedOn w:val="Normal"/>
    <w:link w:val="HeaderChar"/>
    <w:uiPriority w:val="99"/>
    <w:unhideWhenUsed/>
    <w:rsid w:val="00D24BD2"/>
    <w:pPr>
      <w:tabs>
        <w:tab w:val="center" w:pos="4680"/>
        <w:tab w:val="right" w:pos="9360"/>
      </w:tabs>
    </w:pPr>
  </w:style>
  <w:style w:type="character" w:customStyle="1" w:styleId="HeaderChar">
    <w:name w:val="Header Char"/>
    <w:basedOn w:val="DefaultParagraphFont"/>
    <w:link w:val="Header"/>
    <w:uiPriority w:val="99"/>
    <w:rsid w:val="00D24BD2"/>
    <w:rPr>
      <w:lang w:val="pt-BR"/>
    </w:rPr>
  </w:style>
  <w:style w:type="paragraph" w:styleId="Footer">
    <w:name w:val="footer"/>
    <w:basedOn w:val="Normal"/>
    <w:link w:val="FooterChar"/>
    <w:uiPriority w:val="99"/>
    <w:unhideWhenUsed/>
    <w:rsid w:val="00D24BD2"/>
    <w:pPr>
      <w:tabs>
        <w:tab w:val="center" w:pos="4680"/>
        <w:tab w:val="right" w:pos="9360"/>
      </w:tabs>
    </w:pPr>
  </w:style>
  <w:style w:type="character" w:customStyle="1" w:styleId="FooterChar">
    <w:name w:val="Footer Char"/>
    <w:basedOn w:val="DefaultParagraphFont"/>
    <w:link w:val="Footer"/>
    <w:uiPriority w:val="99"/>
    <w:rsid w:val="00D24BD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 w:id="1831672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2186</Words>
  <Characters>12461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172</cp:revision>
  <dcterms:created xsi:type="dcterms:W3CDTF">2017-04-16T03:06:00Z</dcterms:created>
  <dcterms:modified xsi:type="dcterms:W3CDTF">2017-04-24T18:51:00Z</dcterms:modified>
</cp:coreProperties>
</file>