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7F8F9EC1"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Caso esses atributos sejam herdáveis, a proporção de indivíduos com os valores ou categorias favoráveis dadas as condições ambientais tende a aumentar na população. O resultado deste processo de evolução por seleção natural, em que a aptidão da população que persiste aumenta progressiv</w:t>
      </w:r>
      <w:r w:rsidR="008E4A5D">
        <w:rPr>
          <w:rFonts w:asciiTheme="majorHAnsi" w:hAnsiTheme="majorHAnsi"/>
        </w:rPr>
        <w:t xml:space="preserve">amente, é chamado de adaptação </w:t>
      </w:r>
      <w:r w:rsidR="008E4A5D" w:rsidRPr="00077AB1">
        <w:rPr>
          <w:rFonts w:asciiTheme="majorHAnsi" w:hAnsiTheme="majorHAnsi"/>
          <w:highlight w:val="red"/>
        </w:rPr>
        <w:t>(Stearns</w:t>
      </w:r>
      <w:r w:rsidR="00C57191" w:rsidRPr="00077AB1">
        <w:rPr>
          <w:rFonts w:asciiTheme="majorHAnsi" w:hAnsiTheme="majorHAnsi"/>
          <w:highlight w:val="red"/>
        </w:rPr>
        <w:t>, cap III.1, PGTEvo</w:t>
      </w:r>
      <w:r w:rsidR="00774670" w:rsidRPr="00077AB1">
        <w:rPr>
          <w:rFonts w:asciiTheme="majorHAnsi" w:hAnsiTheme="majorHAnsi"/>
          <w:highlight w:val="red"/>
        </w:rPr>
        <w:t xml:space="preserve"> e cap III.11, PGTEvo</w:t>
      </w:r>
      <w:r w:rsidR="008E4A5D" w:rsidRPr="00077AB1">
        <w:rPr>
          <w:rFonts w:asciiTheme="majorHAnsi" w:hAnsiTheme="majorHAnsi"/>
          <w:highlight w:val="red"/>
        </w:rPr>
        <w:t>)</w:t>
      </w:r>
      <w:r w:rsidRPr="00077AB1">
        <w:rPr>
          <w:rFonts w:asciiTheme="majorHAnsi" w:hAnsiTheme="majorHAnsi"/>
          <w:highlight w:val="red"/>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(Gause,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w:t>
      </w:r>
      <w:r w:rsidR="00643413">
        <w:rPr>
          <w:rFonts w:asciiTheme="majorHAnsi" w:hAnsiTheme="majorHAnsi"/>
        </w:rPr>
        <w:lastRenderedPageBreak/>
        <w:t>indivíduos que persistem nas populações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7748C9CD" w14:textId="127E59A0" w:rsidR="000C2B71" w:rsidRPr="00E44048" w:rsidRDefault="000C2B71" w:rsidP="000C2B71">
      <w:pPr>
        <w:ind w:firstLine="720"/>
        <w:contextualSpacing/>
        <w:jc w:val="both"/>
        <w:rPr>
          <w:rFonts w:asciiTheme="majorHAnsi" w:hAnsiTheme="majorHAnsi"/>
        </w:rPr>
      </w:pPr>
      <w:commentRangeStart w:id="1"/>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C74968">
        <w:rPr>
          <w:rFonts w:asciiTheme="majorHAnsi" w:hAnsiTheme="majorHAnsi"/>
        </w:rPr>
        <w:t xml:space="preserve"> </w:t>
      </w:r>
      <w:r w:rsidR="00C74968">
        <w:rPr>
          <w:rFonts w:asciiTheme="majorHAnsi" w:hAnsiTheme="majorHAnsi"/>
        </w:rPr>
        <w:fldChar w:fldCharType="begin" w:fldLock="1"/>
      </w:r>
      <w:r w:rsidR="001A3338">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C74968">
        <w:rPr>
          <w:rFonts w:asciiTheme="majorHAnsi" w:hAnsiTheme="majorHAnsi"/>
        </w:rPr>
        <w:fldChar w:fldCharType="separate"/>
      </w:r>
      <w:r w:rsidR="00C74968" w:rsidRPr="00C74968">
        <w:rPr>
          <w:rFonts w:asciiTheme="majorHAnsi" w:hAnsiTheme="majorHAnsi"/>
          <w:noProof/>
        </w:rPr>
        <w:t>(Law, 1979)</w:t>
      </w:r>
      <w:r w:rsidR="00C74968">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Pr="00E44048">
        <w:rPr>
          <w:rFonts w:asciiTheme="majorHAnsi" w:hAnsiTheme="majorHAnsi"/>
        </w:rPr>
        <w:t>.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trade-offs</w:t>
      </w:r>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w:t>
      </w:r>
      <w:commentRangeEnd w:id="1"/>
      <w:r w:rsidR="004F31D8">
        <w:rPr>
          <w:rStyle w:val="CommentReference"/>
        </w:rPr>
        <w:commentReference w:id="1"/>
      </w:r>
      <w:r w:rsidRPr="00E44048">
        <w:rPr>
          <w:rFonts w:asciiTheme="majorHAnsi" w:hAnsiTheme="majorHAnsi"/>
        </w:rPr>
        <w:t xml:space="preserve">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r w:rsidR="00FC700B" w:rsidRPr="00077AB1">
        <w:rPr>
          <w:rFonts w:asciiTheme="majorHAnsi" w:hAnsiTheme="majorHAnsi"/>
          <w:highlight w:val="red"/>
        </w:rPr>
        <w:t>cap III.11, PGTEvo</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 xml:space="preserve">recurso </w:t>
      </w:r>
      <w:r w:rsidR="003614B3">
        <w:rPr>
          <w:rFonts w:asciiTheme="majorHAnsi" w:hAnsiTheme="majorHAnsi"/>
        </w:rPr>
        <w:t>(</w:t>
      </w:r>
      <w:r w:rsidR="003614B3" w:rsidRPr="00077AB1">
        <w:rPr>
          <w:rFonts w:asciiTheme="majorHAnsi" w:hAnsiTheme="majorHAnsi"/>
          <w:highlight w:val="red"/>
        </w:rPr>
        <w:t>cap III.11, PGTEvo</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395DEF">
        <w:rPr>
          <w:rFonts w:asciiTheme="majorHAnsi" w:hAnsiTheme="majorHAnsi"/>
        </w:rPr>
        <w:t>(</w:t>
      </w:r>
      <w:r w:rsidR="00395DEF" w:rsidRPr="00077AB1">
        <w:rPr>
          <w:rFonts w:asciiTheme="majorHAnsi" w:hAnsiTheme="majorHAnsi"/>
          <w:highlight w:val="red"/>
        </w:rPr>
        <w:t>cap III.11, PGTEvo</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Pr="00E44048">
        <w:rPr>
          <w:rFonts w:asciiTheme="majorHAnsi" w:hAnsiTheme="majorHAnsi"/>
        </w:rPr>
        <w:t>. Diferentes estratégias de vida apresentam aptidões d</w:t>
      </w:r>
      <w:r w:rsidR="00D42C6C">
        <w:rPr>
          <w:rFonts w:asciiTheme="majorHAnsi" w:hAnsiTheme="majorHAnsi"/>
        </w:rPr>
        <w:t xml:space="preserve">istintas a depender do ambiente </w:t>
      </w:r>
      <w:r w:rsidR="00D42C6C">
        <w:rPr>
          <w:rFonts w:asciiTheme="majorHAnsi" w:hAnsiTheme="majorHAnsi"/>
        </w:rPr>
        <w:t>(</w:t>
      </w:r>
      <w:r w:rsidR="00D42C6C" w:rsidRPr="00077AB1">
        <w:rPr>
          <w:rFonts w:asciiTheme="majorHAnsi" w:hAnsiTheme="majorHAnsi"/>
          <w:highlight w:val="red"/>
        </w:rPr>
        <w:t>cap III.11 PGTEvo).</w:t>
      </w:r>
      <w:r w:rsidRPr="00E44048">
        <w:rPr>
          <w:rFonts w:asciiTheme="majorHAnsi" w:hAnsiTheme="majorHAnsi"/>
        </w:rPr>
        <w:t xml:space="preserve"> </w:t>
      </w:r>
      <w:r w:rsidRPr="00E44048">
        <w:rPr>
          <w:rFonts w:asciiTheme="majorHAnsi" w:hAnsiTheme="majorHAnsi"/>
          <w:color w:val="000000" w:themeColor="text1"/>
        </w:rPr>
        <w:t>De forma geral, a</w:t>
      </w:r>
      <w:r w:rsidRPr="00E44048">
        <w:rPr>
          <w:rFonts w:asciiTheme="majorHAnsi" w:hAnsiTheme="majorHAnsi"/>
        </w:rPr>
        <w:t xml:space="preserve"> disponibilidade de recursos</w:t>
      </w:r>
      <w:r w:rsidR="009E3916">
        <w:rPr>
          <w:rFonts w:asciiTheme="majorHAnsi" w:hAnsiTheme="majorHAnsi"/>
        </w:rPr>
        <w:t xml:space="preserve"> e </w:t>
      </w:r>
      <w:r w:rsidRPr="00E44048">
        <w:rPr>
          <w:rFonts w:asciiTheme="majorHAnsi" w:hAnsiTheme="majorHAnsi"/>
        </w:rPr>
        <w:t xml:space="preserve">a interação entre </w:t>
      </w:r>
      <w:r w:rsidR="00217E34">
        <w:rPr>
          <w:rFonts w:asciiTheme="majorHAnsi" w:hAnsiTheme="majorHAnsi"/>
        </w:rPr>
        <w:t>indivíduos</w:t>
      </w:r>
      <w:r w:rsidRPr="00E44048">
        <w:rPr>
          <w:rFonts w:asciiTheme="majorHAnsi" w:hAnsiTheme="majorHAnsi"/>
        </w:rPr>
        <w:t xml:space="preserve"> são os fatores que constituem ambientes favoráveis a algumas estratégias de vida e prejudiciais a outras</w:t>
      </w:r>
      <w:r w:rsidR="00DF14D3">
        <w:rPr>
          <w:rFonts w:asciiTheme="majorHAnsi" w:hAnsiTheme="majorHAnsi"/>
        </w:rPr>
        <w:t xml:space="preserve"> (</w:t>
      </w:r>
      <w:r w:rsidR="005A2447" w:rsidRPr="00077AB1">
        <w:rPr>
          <w:rFonts w:asciiTheme="majorHAnsi" w:hAnsiTheme="majorHAnsi"/>
          <w:highlight w:val="red"/>
        </w:rPr>
        <w:t>cap III.11 PGTEvo</w:t>
      </w:r>
      <w:r w:rsidR="00DF14D3" w:rsidRPr="00077AB1">
        <w:rPr>
          <w:rFonts w:asciiTheme="majorHAnsi" w:hAnsiTheme="majorHAnsi"/>
          <w:highlight w:val="red"/>
        </w:rPr>
        <w:t>)</w:t>
      </w:r>
      <w:r w:rsidRPr="00077AB1">
        <w:rPr>
          <w:rFonts w:asciiTheme="majorHAnsi" w:hAnsiTheme="majorHAnsi"/>
          <w:highlight w:val="red"/>
        </w:rPr>
        <w:t>.</w:t>
      </w:r>
    </w:p>
    <w:p w14:paraId="3E72BD9A" w14:textId="2B99B3CA"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rPr>
        <w:t>A ocorrência de distúrbio</w:t>
      </w:r>
      <w:r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w:t>
      </w:r>
      <w:r w:rsidR="00AA7B38">
        <w:rPr>
          <w:rFonts w:asciiTheme="majorHAnsi" w:hAnsiTheme="majorHAnsi" w:cs="Times New Roman"/>
          <w:color w:val="000000" w:themeColor="text1"/>
        </w:rPr>
        <w:t xml:space="preserve">estabelecida </w:t>
      </w:r>
      <w:r w:rsidR="00BB372F">
        <w:rPr>
          <w:rFonts w:asciiTheme="majorHAnsi" w:hAnsiTheme="majorHAnsi" w:cs="Times New Roman"/>
          <w:color w:val="000000" w:themeColor="text1"/>
        </w:rPr>
        <w:t>entre indivíduos</w:t>
      </w:r>
      <w:r w:rsidR="00A13127">
        <w:rPr>
          <w:rFonts w:asciiTheme="majorHAnsi" w:hAnsiTheme="majorHAnsi" w:cs="Times New Roman"/>
          <w:color w:val="000000" w:themeColor="text1"/>
        </w:rPr>
        <w:t xml:space="preserve"> da mesma espécie e de espécies diferentes</w:t>
      </w:r>
      <w:r w:rsidRPr="00E44048">
        <w:rPr>
          <w:rFonts w:asciiTheme="majorHAnsi" w:hAnsiTheme="majorHAnsi" w:cs="Times New Roman"/>
          <w:color w:val="000000" w:themeColor="text1"/>
        </w:rPr>
        <w:t>, configurando um fator com potencial influência sobre a frequência das estratégias de vida em um dado local.</w:t>
      </w:r>
      <w:r w:rsidRPr="00E44048">
        <w:rPr>
          <w:rFonts w:asciiTheme="majorHAnsi" w:hAnsiTheme="majorHAnsi"/>
        </w:rPr>
        <w:t xml:space="preserve"> O distúrbio pode ser definido como </w:t>
      </w:r>
      <w:r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Dessa forma, diferentes regimes de distúrbio podem impactar em maior ou menor grau as dinâmicas ecológica e evolutiva das estratégias de vida. </w:t>
      </w:r>
      <w:commentRangeStart w:id="2"/>
      <w:r w:rsidRPr="00E44048">
        <w:rPr>
          <w:rFonts w:asciiTheme="majorHAnsi" w:hAnsiTheme="majorHAnsi" w:cs="Times New Roman"/>
          <w:color w:val="000000" w:themeColor="text1"/>
        </w:rPr>
        <w:t>Enquanto a dinâmica ecológica refere-se à mudança na abundância das estratégias na comunidade, a dinâmica evolutiva é referente à mudança na frequência relativa das estratégias dentro das populações.</w:t>
      </w:r>
      <w:commentRangeEnd w:id="2"/>
      <w:r w:rsidR="00AA4591">
        <w:rPr>
          <w:rStyle w:val="CommentReference"/>
        </w:rPr>
        <w:commentReference w:id="2"/>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w:t>
      </w:r>
      <w:r w:rsidRPr="00E44048">
        <w:rPr>
          <w:rFonts w:asciiTheme="majorHAnsi" w:hAnsiTheme="majorHAnsi" w:cs="Times New Roman"/>
          <w:color w:val="000000" w:themeColor="text1"/>
        </w:rPr>
        <w:lastRenderedPageBreak/>
        <w:t xml:space="preserve">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Sob 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77777777"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w:t>
      </w:r>
      <w:r w:rsidRPr="00E44048">
        <w:rPr>
          <w:rFonts w:asciiTheme="majorHAnsi" w:hAnsiTheme="majorHAnsi" w:cs="Times New Roman"/>
          <w:color w:val="000000" w:themeColor="text1"/>
        </w:rPr>
        <w:lastRenderedPageBreak/>
        <w:t>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D43336">
        <w:rPr>
          <w:rFonts w:asciiTheme="majorHAnsi" w:hAnsiTheme="majorHAnsi" w:cs="Times New Roman"/>
          <w:color w:val="000000" w:themeColor="text1"/>
        </w:rPr>
        <w:t>de estratégias das comunidades.</w:t>
      </w:r>
    </w:p>
    <w:p w14:paraId="0AC6888F" w14:textId="3AA04B77"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 1980). Nestes casos, o aumento da mortalidade média pode ser encarado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a Hipótese do Distúrbio Intermediário</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4BC8681B"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Sob o viés evolutivo, o impacto do distúrbio é avaliado sobretudo enquanto pressão seletiva que, alterando a taxa de mortalidade, determina a estratégia de vida para a qual a população converge, a depender,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indivíduos com maior aptidão somente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595BC0">
        <w:rPr>
          <w:rFonts w:asciiTheme="majorHAnsi" w:hAnsiTheme="majorHAnsi" w:cs="Times New Roman"/>
          <w:color w:val="000000" w:themeColor="text1"/>
        </w:rPr>
        <w:t xml:space="preserve"> [</w:t>
      </w:r>
      <w:r w:rsidR="00595BC0" w:rsidRPr="001019DE">
        <w:rPr>
          <w:rFonts w:asciiTheme="majorHAnsi" w:hAnsiTheme="majorHAnsi" w:cs="Times New Roman"/>
          <w:color w:val="000000" w:themeColor="text1"/>
          <w:highlight w:val="red"/>
        </w:rPr>
        <w:t>FALAR DE QD PERMITE A COEXISTÊNCIA?</w:t>
      </w:r>
      <w:r w:rsidR="00595BC0">
        <w:rPr>
          <w:rFonts w:asciiTheme="majorHAnsi" w:hAnsiTheme="majorHAnsi" w:cs="Times New Roman"/>
          <w:color w:val="000000" w:themeColor="text1"/>
        </w:rPr>
        <w:t>]</w:t>
      </w:r>
    </w:p>
    <w:p w14:paraId="0A698CFA" w14:textId="7CAAE735"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w:t>
      </w:r>
      <w:r w:rsidRPr="00E44048">
        <w:rPr>
          <w:rFonts w:asciiTheme="majorHAnsi" w:hAnsiTheme="majorHAnsi" w:cs="Times New Roman"/>
          <w:color w:val="000000" w:themeColor="text1"/>
        </w:rPr>
        <w:lastRenderedPageBreak/>
        <w:t>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7BB286CF" w14:textId="34186ED9" w:rsidR="00F14EA6" w:rsidRPr="00186FD5" w:rsidRDefault="000C2B71" w:rsidP="00587C8B">
      <w:pPr>
        <w:widowControl w:val="0"/>
        <w:autoSpaceDE w:val="0"/>
        <w:autoSpaceDN w:val="0"/>
        <w:adjustRightInd w:val="0"/>
        <w:spacing w:after="240"/>
        <w:ind w:firstLine="720"/>
        <w:jc w:val="both"/>
        <w:rPr>
          <w:rFonts w:ascii="Times" w:hAnsi="Times" w:cs="Times"/>
          <w:lang w:val="en-US"/>
        </w:rPr>
      </w:pPr>
      <w:r w:rsidRPr="00E44048">
        <w:rPr>
          <w:rFonts w:asciiTheme="majorHAnsi" w:hAnsiTheme="majorHAnsi" w:cs="Times New Roman"/>
          <w:color w:val="000000" w:themeColor="text1"/>
        </w:rPr>
        <w:t xml:space="preserve">Mais tarde, foi </w:t>
      </w:r>
      <w:r w:rsidRPr="00E44048">
        <w:rPr>
          <w:rFonts w:asciiTheme="majorHAnsi" w:hAnsiTheme="majorHAnsi" w:cs="Times New Roman"/>
          <w:color w:val="000000" w:themeColor="text1"/>
          <w:highlight w:val="yellow"/>
        </w:rPr>
        <w:t>desenvolvida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ampliando as possibilidades de surgimento de polimorfismos verificadas ou hipotetizadas em estudos prévios</w:t>
      </w:r>
      <w:r w:rsidR="00C70694" w:rsidRPr="00587C8B">
        <w:rPr>
          <w:rFonts w:asciiTheme="majorHAnsi" w:hAnsiTheme="majorHAnsi" w:cs="Times New Roman"/>
          <w:color w:val="000000" w:themeColor="text1"/>
        </w:rPr>
        <w:t xml:space="preserve"> </w:t>
      </w:r>
      <w:r w:rsidR="00C70694" w:rsidRPr="008D788D">
        <w:rPr>
          <w:rFonts w:asciiTheme="majorHAnsi" w:hAnsiTheme="majorHAnsi" w:cs="Times New Roman"/>
          <w:color w:val="000000" w:themeColor="text1"/>
          <w:highlight w:val="red"/>
        </w:rPr>
        <w:t>(Bell, cap III.6 PGTEvo</w:t>
      </w:r>
      <w:r w:rsidR="008D788D" w:rsidRPr="008D788D">
        <w:rPr>
          <w:rFonts w:asciiTheme="majorHAnsi" w:hAnsiTheme="majorHAnsi" w:cs="Times New Roman"/>
          <w:color w:val="000000" w:themeColor="text1"/>
          <w:highlight w:val="red"/>
        </w:rPr>
        <w:t xml:space="preserve"> e cap III.3 PGTEvo</w:t>
      </w:r>
      <w:r w:rsidR="00C70694" w:rsidRPr="008D788D">
        <w:rPr>
          <w:rFonts w:asciiTheme="majorHAnsi" w:hAnsiTheme="majorHAnsi" w:cs="Times New Roman"/>
          <w:color w:val="000000" w:themeColor="text1"/>
          <w:highlight w:val="red"/>
        </w:rPr>
        <w:t>)</w:t>
      </w:r>
      <w:r w:rsidRPr="00587C8B">
        <w:rPr>
          <w:rFonts w:asciiTheme="majorHAnsi" w:hAnsiTheme="majorHAnsi" w:cs="Times New Roman"/>
          <w:color w:val="000000" w:themeColor="text1"/>
        </w:rPr>
        <w:t>. Além disso, assim como a Genética Quantitativa (</w:t>
      </w:r>
      <w:r w:rsidR="00186FD5" w:rsidRPr="00CF0729">
        <w:rPr>
          <w:rFonts w:asciiTheme="majorHAnsi" w:hAnsiTheme="majorHAnsi" w:cs="Times"/>
          <w:highlight w:val="red"/>
          <w:lang w:val="en-US"/>
        </w:rPr>
        <w:t>Falconer, D. S., and T. C. Mackay. 1996. Introduction to Quantitative Genetics. New York: Longman. Introduces and explains the theory be</w:t>
      </w:r>
      <w:r w:rsidR="00587C8B" w:rsidRPr="00CF0729">
        <w:rPr>
          <w:rFonts w:asciiTheme="majorHAnsi" w:hAnsiTheme="majorHAnsi" w:cs="Times"/>
          <w:highlight w:val="red"/>
          <w:lang w:val="en-US"/>
        </w:rPr>
        <w:t xml:space="preserve">hind heritability, genetic </w:t>
      </w:r>
      <w:r w:rsidR="00587C8B" w:rsidRPr="00CF0729">
        <w:rPr>
          <w:rFonts w:asciiTheme="majorHAnsi" w:hAnsiTheme="majorHAnsi" w:cs="Times"/>
          <w:highlight w:val="red"/>
          <w:lang w:val="en-US"/>
        </w:rPr>
        <w:lastRenderedPageBreak/>
        <w:t>cor</w:t>
      </w:r>
      <w:r w:rsidR="00186FD5" w:rsidRPr="00CF0729">
        <w:rPr>
          <w:rFonts w:asciiTheme="majorHAnsi" w:hAnsiTheme="majorHAnsi" w:cs="Times"/>
          <w:highlight w:val="red"/>
          <w:lang w:val="en-US"/>
        </w:rPr>
        <w:t>relations, and the response to selection.</w:t>
      </w:r>
      <w:r w:rsidR="00186FD5" w:rsidRPr="00587C8B">
        <w:rPr>
          <w:rFonts w:asciiTheme="majorHAnsi" w:hAnsiTheme="majorHAnsi" w:cs="Times"/>
          <w:lang w:val="en-US"/>
        </w:rPr>
        <w:t xml:space="preserve"> </w:t>
      </w:r>
      <w:r w:rsidRPr="00587C8B">
        <w:rPr>
          <w:rFonts w:asciiTheme="majorHAnsi" w:hAnsiTheme="majorHAnsi" w:cs="Times New Roman"/>
          <w:color w:val="000000" w:themeColor="text1"/>
        </w:rPr>
        <w:t xml:space="preserve">), estudos em </w:t>
      </w:r>
      <w:r w:rsidRPr="00587C8B">
        <w:rPr>
          <w:rFonts w:asciiTheme="majorHAnsi" w:hAnsiTheme="majorHAnsi" w:cs="Times New Roman"/>
          <w:i/>
          <w:color w:val="000000" w:themeColor="text1"/>
        </w:rPr>
        <w:t>Adaptative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p>
    <w:p w14:paraId="7BBCE3CC" w14:textId="595E102F" w:rsidR="000C2B71" w:rsidRPr="00F14EA6" w:rsidRDefault="000C2B71" w:rsidP="00587C8B">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Por exemplo, quando as dinâmicas ecológicas são de longo prazo e dependem de atributos ligados à interação entre duas espécies, podemos avaliar erroneamente qual tipo de interação as espécies devem estabelecer se não levarmos em conta que a evolução do atributo em uma delas pode exercer pressão seletiva sobre o atributo da outra</w:t>
      </w:r>
      <w:r w:rsidR="0081692B">
        <w:rPr>
          <w:rFonts w:asciiTheme="majorHAnsi" w:hAnsiTheme="majorHAnsi" w:cs="Times New Roman"/>
          <w:color w:val="000000" w:themeColor="text1"/>
        </w:rPr>
        <w:t xml:space="preserve"> </w:t>
      </w:r>
      <w:r w:rsidR="0081692B">
        <w:rPr>
          <w:rFonts w:asciiTheme="majorHAnsi" w:hAnsiTheme="majorHAnsi" w:cs="Times New Roman"/>
          <w:color w:val="000000" w:themeColor="text1"/>
        </w:rPr>
        <w:fldChar w:fldCharType="begin" w:fldLock="1"/>
      </w:r>
      <w:r w:rsidR="005B2A8F">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Pr>
          <w:rFonts w:asciiTheme="majorHAnsi" w:hAnsiTheme="majorHAnsi" w:cs="Times New Roman"/>
          <w:color w:val="000000" w:themeColor="text1"/>
        </w:rPr>
        <w:fldChar w:fldCharType="separate"/>
      </w:r>
      <w:r w:rsidR="005C4FF0" w:rsidRPr="005C4FF0">
        <w:rPr>
          <w:rFonts w:asciiTheme="majorHAnsi" w:hAnsiTheme="majorHAnsi" w:cs="Times New Roman"/>
          <w:noProof/>
          <w:color w:val="000000" w:themeColor="text1"/>
        </w:rPr>
        <w:t>(Fussmann, Loreau, &amp; Abrams, 2007; Thompson, 2005)</w:t>
      </w:r>
      <w:r w:rsidR="0081692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interações como a </w:t>
      </w:r>
      <w:commentRangeStart w:id="3"/>
      <w:r w:rsidRPr="00E44048">
        <w:rPr>
          <w:rFonts w:asciiTheme="majorHAnsi" w:hAnsiTheme="majorHAnsi" w:cs="Times New Roman"/>
          <w:color w:val="000000" w:themeColor="text1"/>
          <w:highlight w:val="yellow"/>
        </w:rPr>
        <w:t>competição podem levar à convergência</w:t>
      </w:r>
      <w:commentRangeEnd w:id="3"/>
      <w:r w:rsidRPr="00E44048">
        <w:rPr>
          <w:rFonts w:asciiTheme="majorHAnsi" w:hAnsiTheme="majorHAnsi"/>
        </w:rPr>
        <w:commentReference w:id="3"/>
      </w:r>
      <w:r w:rsidRPr="00E44048">
        <w:rPr>
          <w:rFonts w:asciiTheme="majorHAnsi" w:hAnsiTheme="majorHAnsi" w:cs="Times New Roman"/>
          <w:color w:val="000000" w:themeColor="text1"/>
        </w:rPr>
        <w:t xml:space="preserve"> ou à divergência de estratégias de vida, implicando dinâmicas evolutivas em que a seleção apresenta importância relativa distinta e que, assim, podem resultar na predominância de estratégias diferentes entre comunidades</w:t>
      </w:r>
      <w:r w:rsidR="00B7012D">
        <w:rPr>
          <w:rFonts w:asciiTheme="majorHAnsi" w:hAnsiTheme="majorHAnsi" w:cs="Times New Roman"/>
          <w:color w:val="000000" w:themeColor="text1"/>
        </w:rPr>
        <w:t xml:space="preserve"> </w:t>
      </w:r>
      <w:r w:rsidR="00B7012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"Michael B", "non-dropping-particle" : "", "parse-names" : false, "suffix" : "" }, { "dropping-particle" : "", "family" : "Jansen", "given" : "Vincent a a", "non-dropping-particle" : "", "parse-names" : false, "suffix" : "" }, { "dropping-particle" : "", "family" : "Hassell", "given" : "Michael P", "non-dropping-particle" : "", "parse-names" : false, "suffix" : "" } ], "container-title" : "Science (New York, N.Y.)", "id" : "ITEM-2", "issue" : "5693", "issued" : { "date-parts" : [ [ "2004" ] ] }, "page" : "111-114", "title" : "Life history trade-offs assemble ecological guilds.", "type" : "article-journal", "volume" : "306" }, "uris" : [ "http://www.mendeley.com/documents/?uuid=175b4bad-4ad4-4c00-ae85-f8c1932eb02f" ] }, { "id" : "ITEM-3",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"ITEM-3", "issue" : "16", "issued" : { "date-parts" : [ [ "2006" ] ] }, "page" : "6230-6235", "title" : "Self-organized similarity, the evolutionary emergence of groups of similar species", "type" : "article-journal", "volume" : "103" }, "uris" : [ "http://www.mendeley.com/documents/?uuid=58a19d90-73fb-48ec-b76f-00bb3feb4f6e" ] }, { "id" : "ITEM-4", "itemData" : { "author" : [ { "dropping-particle" : "", "family" : "Holt", "given" : "Robert D.", "non-dropping-particle" : "", "parse-names" : false, "suffix" : "" } ], "container-title" : "Science", "id" : "ITEM-4", "issue" : "10", "issued" : { "date-parts" : [ [ "2006" ] ] }, "title" : "Emergent neutrality", "type" : "article-journal", "volume" : "21" }, "uris" : [ "http://www.mendeley.com/documents/?uuid=08dd9c7d-41bb-48db-9f7c-386d39d7d0bb" ] } ], "mendeley" : { "formattedCitation" : "(Bonsall, Jansen, &amp; Hassell, 2004; Holt, 2006; Macarthur &amp; Levins, 1967; Scheffer &amp; Nes, 2006)", "plainTextFormattedCitation" : "(Bonsall, Jansen, &amp; Hassell, 2004; Holt, 2006; Macarthur &amp; Levins, 1967; Scheffer &amp; Nes, 2006)", "previouslyFormattedCitation" : "(Bonsall, Jansen, &amp; Hassell, 2004; Holt, 2006; Macarthur &amp; Levins, 1967; Scheffer &amp; Nes, 2006)" }, "properties" : { "noteIndex" : 0 }, "schema" : "https://github.com/citation-style-language/schema/raw/master/csl-citation.json" }</w:instrText>
      </w:r>
      <w:r w:rsidR="00B7012D">
        <w:rPr>
          <w:rFonts w:asciiTheme="majorHAnsi" w:hAnsiTheme="majorHAnsi" w:cs="Times New Roman"/>
          <w:color w:val="000000" w:themeColor="text1"/>
        </w:rPr>
        <w:fldChar w:fldCharType="separate"/>
      </w:r>
      <w:r w:rsidR="00490755" w:rsidRPr="00490755">
        <w:rPr>
          <w:rFonts w:asciiTheme="majorHAnsi" w:hAnsiTheme="majorHAnsi" w:cs="Times New Roman"/>
          <w:noProof/>
          <w:color w:val="000000" w:themeColor="text1"/>
        </w:rPr>
        <w:t>(Bonsall, Jansen, &amp; Hassell, 2004; Holt, 2006; Macarthur &amp; Levins, 1967; Scheffer &amp; Nes, 2006)</w:t>
      </w:r>
      <w:r w:rsidR="00B7012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5372235B"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lastRenderedPageBreak/>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r w:rsidR="000C2B71" w:rsidRPr="001C24C4">
        <w:rPr>
          <w:rFonts w:asciiTheme="majorHAnsi" w:hAnsiTheme="majorHAnsi" w:cs="Times"/>
          <w:color w:val="000000" w:themeColor="text1"/>
          <w:lang w:val="en-US"/>
        </w:rPr>
        <w:t>construção de nicho:</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revisada em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genética de comunidades: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r w:rsidR="00FB1310" w:rsidRPr="00C879E9">
        <w:rPr>
          <w:rFonts w:asciiTheme="majorHAnsi" w:hAnsiTheme="majorHAnsi" w:cs="Times"/>
          <w:color w:val="000000" w:themeColor="text1"/>
          <w:lang w:val="en-US"/>
        </w:rPr>
        <w:t xml:space="preserve">revisada em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meta-comunidades em evolução: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mosaico geográfico da coevolução: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filogenética comparativa</w:t>
      </w:r>
      <w:r w:rsidR="000C2B71" w:rsidRPr="00FB1310">
        <w:rPr>
          <w:rFonts w:asciiTheme="majorHAnsi" w:hAnsiTheme="majorHAnsi" w:cs="Times"/>
          <w:color w:val="000000" w:themeColor="text1"/>
          <w:lang w:val="en-US"/>
        </w:rPr>
        <w:t xml:space="preserve"> e filogenética</w:t>
      </w:r>
      <w:r w:rsidR="000C2B71" w:rsidRPr="00BB2E49">
        <w:rPr>
          <w:rFonts w:asciiTheme="majorHAnsi" w:hAnsiTheme="majorHAnsi" w:cs="Times"/>
          <w:color w:val="000000" w:themeColor="text1"/>
          <w:lang w:val="en-US"/>
        </w:rPr>
        <w:t xml:space="preserve"> de comunidades: revisadas em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Entretanto,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4413EC">
        <w:rPr>
          <w:rFonts w:asciiTheme="majorHAnsi" w:hAnsiTheme="majorHAnsi" w:cs="Times New Roman"/>
          <w:color w:val="000000" w:themeColor="text1"/>
        </w:rPr>
        <w:t>Esse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2230E761" w14:textId="77777777" w:rsidR="00582A11" w:rsidRDefault="00582A11" w:rsidP="000C2B71">
      <w:pPr>
        <w:ind w:firstLine="720"/>
        <w:contextualSpacing/>
        <w:jc w:val="both"/>
        <w:rPr>
          <w:rFonts w:asciiTheme="majorHAnsi" w:hAnsiTheme="majorHAnsi" w:cs="Times New Roman"/>
          <w:color w:val="000000" w:themeColor="text1"/>
        </w:rPr>
      </w:pPr>
    </w:p>
    <w:p w14:paraId="49294AA1" w14:textId="77777777" w:rsidR="00582A11" w:rsidRDefault="00582A11" w:rsidP="000C2B71">
      <w:pPr>
        <w:ind w:firstLine="720"/>
        <w:contextualSpacing/>
        <w:jc w:val="both"/>
        <w:rPr>
          <w:rFonts w:asciiTheme="majorHAnsi" w:hAnsiTheme="majorHAnsi" w:cs="Times New Roman"/>
          <w:color w:val="000000" w:themeColor="text1"/>
        </w:rPr>
      </w:pPr>
    </w:p>
    <w:p w14:paraId="5020ECE3" w14:textId="77777777" w:rsidR="00582A11" w:rsidRDefault="00582A11" w:rsidP="000C2B71">
      <w:pPr>
        <w:ind w:firstLine="720"/>
        <w:contextualSpacing/>
        <w:jc w:val="both"/>
        <w:rPr>
          <w:rFonts w:asciiTheme="majorHAnsi" w:hAnsiTheme="majorHAnsi" w:cs="Times New Roman"/>
          <w:color w:val="000000" w:themeColor="text1"/>
        </w:rPr>
      </w:pPr>
    </w:p>
    <w:p w14:paraId="1A2C979C" w14:textId="77777777" w:rsidR="00582A11" w:rsidRDefault="00582A11" w:rsidP="000C2B71">
      <w:pPr>
        <w:ind w:firstLine="720"/>
        <w:contextualSpacing/>
        <w:jc w:val="both"/>
        <w:rPr>
          <w:rFonts w:asciiTheme="majorHAnsi" w:hAnsiTheme="majorHAnsi" w:cs="Times New Roman"/>
          <w:color w:val="000000" w:themeColor="text1"/>
        </w:rPr>
      </w:pPr>
    </w:p>
    <w:p w14:paraId="3BC0F8AA" w14:textId="77777777" w:rsidR="00582A11" w:rsidRDefault="00582A11" w:rsidP="000C2B71">
      <w:pPr>
        <w:ind w:firstLine="720"/>
        <w:contextualSpacing/>
        <w:jc w:val="both"/>
        <w:rPr>
          <w:rFonts w:asciiTheme="majorHAnsi" w:hAnsiTheme="majorHAnsi" w:cs="Times New Roman"/>
          <w:color w:val="000000" w:themeColor="text1"/>
        </w:rPr>
      </w:pPr>
    </w:p>
    <w:p w14:paraId="7510660D" w14:textId="77777777" w:rsidR="00582A11" w:rsidRDefault="00582A11" w:rsidP="000C2B71">
      <w:pPr>
        <w:ind w:firstLine="720"/>
        <w:contextualSpacing/>
        <w:jc w:val="both"/>
        <w:rPr>
          <w:rFonts w:asciiTheme="majorHAnsi" w:hAnsiTheme="majorHAnsi" w:cs="Times New Roman"/>
          <w:color w:val="000000" w:themeColor="text1"/>
        </w:rPr>
      </w:pPr>
    </w:p>
    <w:p w14:paraId="1127E7D4" w14:textId="77777777" w:rsidR="00582A11" w:rsidRDefault="00582A11" w:rsidP="000C2B71">
      <w:pPr>
        <w:ind w:firstLine="720"/>
        <w:contextualSpacing/>
        <w:jc w:val="both"/>
        <w:rPr>
          <w:rFonts w:asciiTheme="majorHAnsi" w:hAnsiTheme="majorHAnsi" w:cs="Times New Roman"/>
          <w:color w:val="000000" w:themeColor="text1"/>
        </w:rPr>
      </w:pPr>
    </w:p>
    <w:p w14:paraId="42F56118" w14:textId="77777777" w:rsidR="00582A11" w:rsidRDefault="00582A11" w:rsidP="000C2B71">
      <w:pPr>
        <w:ind w:firstLine="720"/>
        <w:contextualSpacing/>
        <w:jc w:val="both"/>
        <w:rPr>
          <w:rFonts w:asciiTheme="majorHAnsi" w:hAnsiTheme="majorHAnsi" w:cs="Times New Roman"/>
          <w:color w:val="000000" w:themeColor="text1"/>
        </w:rPr>
      </w:pPr>
    </w:p>
    <w:p w14:paraId="5A9AAE95" w14:textId="77777777" w:rsidR="00582A11" w:rsidRDefault="00582A11" w:rsidP="000C2B71">
      <w:pPr>
        <w:ind w:firstLine="720"/>
        <w:contextualSpacing/>
        <w:jc w:val="both"/>
        <w:rPr>
          <w:rFonts w:asciiTheme="majorHAnsi" w:hAnsiTheme="majorHAnsi" w:cs="Times New Roman"/>
          <w:color w:val="000000" w:themeColor="text1"/>
        </w:rPr>
      </w:pPr>
    </w:p>
    <w:p w14:paraId="7B28744D" w14:textId="77777777" w:rsidR="00582A11" w:rsidRDefault="00582A11" w:rsidP="000C2B71">
      <w:pPr>
        <w:ind w:firstLine="720"/>
        <w:contextualSpacing/>
        <w:jc w:val="both"/>
        <w:rPr>
          <w:rFonts w:asciiTheme="majorHAnsi" w:hAnsiTheme="majorHAnsi" w:cs="Times New Roman"/>
          <w:color w:val="000000" w:themeColor="text1"/>
        </w:rPr>
      </w:pPr>
    </w:p>
    <w:p w14:paraId="5A029692" w14:textId="77777777" w:rsidR="00582A11" w:rsidRDefault="00582A11" w:rsidP="000C2B71">
      <w:pPr>
        <w:ind w:firstLine="720"/>
        <w:contextualSpacing/>
        <w:jc w:val="both"/>
        <w:rPr>
          <w:rFonts w:asciiTheme="majorHAnsi" w:hAnsiTheme="majorHAnsi" w:cs="Times New Roman"/>
          <w:color w:val="000000" w:themeColor="text1"/>
        </w:rPr>
      </w:pPr>
    </w:p>
    <w:p w14:paraId="30574EC2" w14:textId="77777777" w:rsidR="00582A11" w:rsidRDefault="00582A11" w:rsidP="000C2B71">
      <w:pPr>
        <w:ind w:firstLine="720"/>
        <w:contextualSpacing/>
        <w:jc w:val="both"/>
        <w:rPr>
          <w:rFonts w:asciiTheme="majorHAnsi" w:hAnsiTheme="majorHAnsi" w:cs="Times New Roman"/>
          <w:color w:val="000000" w:themeColor="text1"/>
        </w:rPr>
      </w:pPr>
    </w:p>
    <w:p w14:paraId="20753BA6" w14:textId="77777777" w:rsidR="00582A11" w:rsidRDefault="00582A11" w:rsidP="000C2B71">
      <w:pPr>
        <w:ind w:firstLine="720"/>
        <w:contextualSpacing/>
        <w:jc w:val="both"/>
        <w:rPr>
          <w:rFonts w:asciiTheme="majorHAnsi" w:hAnsiTheme="majorHAnsi" w:cs="Times New Roman"/>
          <w:color w:val="000000" w:themeColor="text1"/>
        </w:rPr>
      </w:pPr>
    </w:p>
    <w:p w14:paraId="4E90B7EA" w14:textId="77777777" w:rsidR="00582A11" w:rsidRDefault="00582A11" w:rsidP="004D10BF">
      <w:pPr>
        <w:contextualSpacing/>
        <w:jc w:val="both"/>
        <w:rPr>
          <w:rFonts w:asciiTheme="majorHAnsi" w:hAnsiTheme="majorHAnsi" w:cs="Times New Roman"/>
          <w:color w:val="000000" w:themeColor="text1"/>
        </w:rPr>
      </w:pPr>
    </w:p>
    <w:p w14:paraId="18523431" w14:textId="77777777" w:rsidR="004D10BF" w:rsidRPr="00E44048" w:rsidRDefault="004D10BF"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584C0A3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IBM - Individual Based Model</w:t>
      </w:r>
      <w:r w:rsidRPr="00233AB2">
        <w:rPr>
          <w:rFonts w:asciiTheme="majorHAnsi" w:hAnsiTheme="majorHAnsi"/>
          <w:sz w:val="24"/>
          <w:szCs w:val="24"/>
        </w:rPr>
        <w:t>) não espacializado utilizando o software R (</w:t>
      </w:r>
      <w:r w:rsidRPr="00233AB2">
        <w:rPr>
          <w:rFonts w:asciiTheme="majorHAnsi" w:hAnsiTheme="majorHAnsi"/>
          <w:sz w:val="24"/>
          <w:szCs w:val="24"/>
          <w:highlight w:val="red"/>
        </w:rPr>
        <w:t>RB</w:t>
      </w:r>
      <w:r w:rsidRPr="00233AB2">
        <w:rPr>
          <w:rFonts w:asciiTheme="majorHAnsi" w:hAnsiTheme="majorHAnsi"/>
          <w:sz w:val="24"/>
          <w:szCs w:val="24"/>
        </w:rPr>
        <w:t xml:space="preserve">), com o qual foram simuladas comunidades </w:t>
      </w:r>
      <w:r w:rsidRPr="00233AB2">
        <w:rPr>
          <w:rFonts w:asciiTheme="majorHAnsi" w:hAnsiTheme="majorHAnsi"/>
          <w:sz w:val="24"/>
          <w:szCs w:val="24"/>
          <w:highlight w:val="yellow"/>
        </w:rPr>
        <w:t>com número de indivíduos constante</w:t>
      </w:r>
      <w:r w:rsidRPr="00233AB2">
        <w:rPr>
          <w:rFonts w:asciiTheme="majorHAnsi" w:hAnsiTheme="majorHAnsi"/>
          <w:sz w:val="24"/>
          <w:szCs w:val="24"/>
        </w:rPr>
        <w:t xml:space="preserve">. Cada simulação gerada pelo modelo corresponde a uma comunidade, que passa por ciclos sucessivos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 xml:space="preserve">babilidade de sobrevivência e </w:t>
      </w:r>
      <w:commentRangeStart w:id="4"/>
      <w:r w:rsidR="00724E53">
        <w:rPr>
          <w:rFonts w:asciiTheme="majorHAnsi" w:hAnsiTheme="majorHAnsi"/>
          <w:sz w:val="24"/>
          <w:szCs w:val="24"/>
        </w:rPr>
        <w:t>pelo</w:t>
      </w:r>
      <w:r w:rsidRPr="00233AB2">
        <w:rPr>
          <w:rFonts w:asciiTheme="majorHAnsi" w:hAnsiTheme="majorHAnsi"/>
          <w:sz w:val="24"/>
          <w:szCs w:val="24"/>
        </w:rPr>
        <w:t xml:space="preserve"> número de gametas femininos que cada indivíduo produz por ciclo</w:t>
      </w:r>
      <w:commentRangeEnd w:id="4"/>
      <w:r w:rsidR="00DE0EF7">
        <w:rPr>
          <w:rStyle w:val="CommentReference"/>
          <w:rFonts w:asciiTheme="minorHAnsi" w:hAnsiTheme="minorHAnsi" w:cstheme="minorBidi"/>
        </w:rPr>
        <w:commentReference w:id="4"/>
      </w:r>
      <w:r w:rsidRPr="00233AB2">
        <w:rPr>
          <w:rFonts w:asciiTheme="majorHAnsi" w:hAnsiTheme="majorHAnsi"/>
          <w:sz w:val="24"/>
          <w:szCs w:val="24"/>
        </w:rPr>
        <w:t>,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w:t>
      </w:r>
      <w:r w:rsidRPr="00233AB2">
        <w:rPr>
          <w:rFonts w:asciiTheme="majorHAnsi" w:hAnsiTheme="majorHAnsi"/>
          <w:sz w:val="24"/>
          <w:szCs w:val="24"/>
        </w:rPr>
        <w:lastRenderedPageBreak/>
        <w:t>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entre a probabilidade de morte (longevidade) e o número de gametas produzidos por ciclo (fecundidade). Assim, a probabilidade de morte de um indivíduo 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indivíduos produzem o número de gametas femininos que lhes é característico e </w:t>
      </w:r>
      <w:commentRangeStart w:id="5"/>
      <w:r w:rsidRPr="00233AB2">
        <w:rPr>
          <w:rFonts w:asciiTheme="majorHAnsi" w:hAnsiTheme="majorHAnsi"/>
          <w:sz w:val="24"/>
          <w:szCs w:val="24"/>
        </w:rPr>
        <w:t>um número de gametas masculinos que é igual para todos os indivíduos independente de suas estratégias</w:t>
      </w:r>
      <w:commentRangeEnd w:id="5"/>
      <w:r w:rsidR="002175DA">
        <w:rPr>
          <w:rStyle w:val="CommentReference"/>
          <w:rFonts w:asciiTheme="minorHAnsi" w:hAnsiTheme="minorHAnsi" w:cstheme="minorBidi"/>
        </w:rPr>
        <w:commentReference w:id="5"/>
      </w:r>
      <w:r w:rsidRPr="00233AB2">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 xml:space="preserve">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w:t>
      </w:r>
      <w:r w:rsidRPr="00233AB2">
        <w:rPr>
          <w:rFonts w:asciiTheme="majorHAnsi" w:hAnsiTheme="majorHAnsi"/>
          <w:sz w:val="24"/>
          <w:szCs w:val="24"/>
        </w:rPr>
        <w:lastRenderedPageBreak/>
        <w:t>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r w:rsidR="009D4D35">
        <w:rPr>
          <w:rStyle w:val="CommentReference"/>
          <w:rFonts w:asciiTheme="minorHAnsi" w:hAnsiTheme="minorHAnsi" w:cstheme="minorBidi"/>
        </w:rPr>
        <w:commentReference w:id="6"/>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900248F"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positiva</w:t>
      </w:r>
      <w:r w:rsidR="00D95C2A">
        <w:rPr>
          <w:rFonts w:asciiTheme="majorHAnsi" w:hAnsiTheme="majorHAnsi"/>
          <w:sz w:val="24"/>
          <w:szCs w:val="24"/>
        </w:rPr>
        <w:t xml:space="preserve"> (</w:t>
      </w:r>
      <w:r w:rsidR="009A56DA">
        <w:rPr>
          <w:rFonts w:asciiTheme="majorHAnsi" w:hAnsiTheme="majorHAnsi"/>
          <w:sz w:val="24"/>
          <w:szCs w:val="24"/>
        </w:rPr>
        <w:t>com o mesmo valor</w:t>
      </w:r>
      <w:r w:rsidR="00E8085F">
        <w:rPr>
          <w:rFonts w:asciiTheme="majorHAnsi" w:hAnsiTheme="majorHAnsi"/>
          <w:sz w:val="24"/>
          <w:szCs w:val="24"/>
        </w:rPr>
        <w:t xml:space="preserve"> </w:t>
      </w:r>
      <w:r w:rsidR="009A56DA">
        <w:rPr>
          <w:rFonts w:asciiTheme="majorHAnsi" w:hAnsiTheme="majorHAnsi"/>
          <w:sz w:val="24"/>
          <w:szCs w:val="24"/>
        </w:rPr>
        <w:t>em todas as simulações do cenário</w:t>
      </w:r>
      <w:r w:rsidR="00D95C2A">
        <w:rPr>
          <w:rFonts w:asciiTheme="majorHAnsi" w:hAnsiTheme="majorHAnsi"/>
          <w:sz w:val="24"/>
          <w:szCs w:val="24"/>
        </w:rPr>
        <w:t>)</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Pr="00233AB2">
        <w:rPr>
          <w:rFonts w:asciiTheme="majorHAnsi" w:hAnsiTheme="majorHAnsi"/>
          <w:sz w:val="24"/>
          <w:szCs w:val="24"/>
        </w:rPr>
        <w:t>) e taxa de mutação positiva</w:t>
      </w:r>
      <w:r w:rsidR="00D95C2A">
        <w:rPr>
          <w:rFonts w:asciiTheme="majorHAnsi" w:hAnsiTheme="majorHAnsi"/>
          <w:sz w:val="24"/>
          <w:szCs w:val="24"/>
        </w:rPr>
        <w:t xml:space="preserve"> (com o mesmo valor em todas as simulações do cenário)</w:t>
      </w:r>
      <w:r w:rsidRPr="00233AB2">
        <w:rPr>
          <w:rFonts w:asciiTheme="majorHAnsi" w:hAnsiTheme="majorHAnsi"/>
          <w:sz w:val="24"/>
          <w:szCs w:val="24"/>
        </w:rPr>
        <w:t xml:space="preserve">. Todas as simulações apresentaram cerca de 5 000 indivíduos, o número potencial máximo de gametas femininos produzidos pelos indivíduos no decorrer dos ciclos foi estabelecido em </w:t>
      </w:r>
      <w:commentRangeStart w:id="7"/>
      <w:r w:rsidRPr="00233AB2">
        <w:rPr>
          <w:rFonts w:asciiTheme="majorHAnsi" w:hAnsiTheme="majorHAnsi"/>
          <w:sz w:val="24"/>
          <w:szCs w:val="24"/>
        </w:rPr>
        <w:t>20 000</w:t>
      </w:r>
      <w:commentRangeEnd w:id="7"/>
      <w:r w:rsidR="007B1E36">
        <w:rPr>
          <w:rStyle w:val="CommentReference"/>
          <w:rFonts w:asciiTheme="minorHAnsi" w:hAnsiTheme="minorHAnsi" w:cstheme="minorBidi"/>
        </w:rPr>
        <w:commentReference w:id="7"/>
      </w:r>
      <w:r w:rsidRPr="00233AB2">
        <w:rPr>
          <w:rFonts w:asciiTheme="majorHAnsi" w:hAnsiTheme="majorHAnsi"/>
          <w:sz w:val="24"/>
          <w:szCs w:val="24"/>
        </w:rPr>
        <w:t xml:space="preserve"> e o número de ciclos rodados foi de 300 000, tempo suficiente para que houvesse mudança na abundância relativa das espécies e na estratégia de vida média das comunidades. </w:t>
      </w:r>
      <w:r w:rsidR="00EA69F3">
        <w:rPr>
          <w:rFonts w:asciiTheme="majorHAnsi" w:hAnsiTheme="majorHAnsi"/>
          <w:sz w:val="24"/>
          <w:szCs w:val="24"/>
        </w:rPr>
        <w:t>Al</w:t>
      </w:r>
      <w:r w:rsidR="00B36C92">
        <w:rPr>
          <w:rFonts w:asciiTheme="majorHAnsi" w:hAnsiTheme="majorHAnsi"/>
          <w:sz w:val="24"/>
          <w:szCs w:val="24"/>
        </w:rPr>
        <w:t>ém disso, a</w:t>
      </w:r>
      <w:r w:rsidR="00EA69F3">
        <w:rPr>
          <w:rFonts w:asciiTheme="majorHAnsi" w:hAnsiTheme="majorHAnsi"/>
          <w:sz w:val="24"/>
          <w:szCs w:val="24"/>
        </w:rPr>
        <w:t xml:space="preserve"> taxa de mutação </w:t>
      </w:r>
      <w:r w:rsidR="00B36C92">
        <w:rPr>
          <w:rFonts w:asciiTheme="majorHAnsi" w:hAnsiTheme="majorHAnsi"/>
          <w:sz w:val="24"/>
          <w:szCs w:val="24"/>
        </w:rPr>
        <w:t xml:space="preserve">positiva </w:t>
      </w:r>
      <w:r w:rsidR="00EA69F3">
        <w:rPr>
          <w:rFonts w:asciiTheme="majorHAnsi" w:hAnsiTheme="majorHAnsi"/>
          <w:sz w:val="24"/>
          <w:szCs w:val="24"/>
        </w:rPr>
        <w:t xml:space="preserve">dos cenários evolutivo e eco-evolutivo foi fixada em 500, </w:t>
      </w:r>
      <w:r w:rsidR="00EA69F3" w:rsidRPr="00233AB2">
        <w:rPr>
          <w:rFonts w:asciiTheme="majorHAnsi" w:hAnsiTheme="majorHAnsi"/>
          <w:sz w:val="24"/>
          <w:szCs w:val="24"/>
        </w:rPr>
        <w:t xml:space="preserve">valor </w:t>
      </w:r>
      <w:r w:rsidR="00EA69F3">
        <w:rPr>
          <w:rFonts w:asciiTheme="majorHAnsi" w:hAnsiTheme="majorHAnsi"/>
          <w:sz w:val="24"/>
          <w:szCs w:val="24"/>
        </w:rPr>
        <w:t>que</w:t>
      </w:r>
      <w:r w:rsidR="00EA69F3" w:rsidRPr="00233AB2">
        <w:rPr>
          <w:rFonts w:asciiTheme="majorHAnsi" w:hAnsiTheme="majorHAnsi"/>
          <w:sz w:val="24"/>
          <w:szCs w:val="24"/>
        </w:rPr>
        <w:t xml:space="preserve"> possibilitou a formação de novas variantes de estratégia de vida no intervalo de ciclos rodados </w:t>
      </w:r>
      <w:r w:rsidR="00EA69F3" w:rsidRPr="00233AB2">
        <w:rPr>
          <w:rFonts w:asciiTheme="majorHAnsi" w:hAnsiTheme="majorHAnsi"/>
          <w:color w:val="000000" w:themeColor="text1"/>
          <w:sz w:val="24"/>
          <w:szCs w:val="24"/>
        </w:rPr>
        <w:t>(Apêndice 1)</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produziam</w:t>
      </w:r>
      <w:r w:rsidR="00EB22B4">
        <w:rPr>
          <w:rFonts w:asciiTheme="majorHAnsi" w:hAnsiTheme="majorHAnsi"/>
          <w:color w:val="000000" w:themeColor="text1"/>
          <w:sz w:val="24"/>
          <w:szCs w:val="24"/>
        </w:rPr>
        <w:t xml:space="preserve"> o mesmo número de gametas femininos</w:t>
      </w:r>
      <w:r w:rsidR="001D0869">
        <w:rPr>
          <w:rFonts w:asciiTheme="majorHAnsi" w:hAnsiTheme="majorHAnsi"/>
          <w:color w:val="000000" w:themeColor="text1"/>
          <w:sz w:val="24"/>
          <w:szCs w:val="24"/>
        </w:rPr>
        <w:t xml:space="preserve"> por ciclo, sorteado entre 1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pelos indivíduos de cada espécie era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determinação dos valores de parâmetros fixos e dos valores mínino e máximo para os </w:t>
      </w:r>
      <w:r w:rsidR="00E6367D">
        <w:rPr>
          <w:rStyle w:val="s2"/>
          <w:rFonts w:asciiTheme="majorHAnsi" w:hAnsiTheme="majorHAnsi"/>
          <w:sz w:val="24"/>
          <w:szCs w:val="24"/>
        </w:rPr>
        <w:lastRenderedPageBreak/>
        <w:t>parâmetros que variaram entre simulações diferentes, bem como a forma de sorteio dos valores de parâmetros que variaram, estão detalhadas nos parágrafos seguintes.</w:t>
      </w:r>
    </w:p>
    <w:p w14:paraId="019B5805" w14:textId="0E7AE2A7"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4 510 árvores com DAP (diâmetro à altura do peito) maior ou igual a 10 cm pertencentes a 170 espécies diferentes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Oksanen et al., 2016</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Em áreas do mesmo tamanho na Mata Atlântica, a abundância de árvores com DAP maior ou igual a 10 cm variou de 4 817 a 4 920 e a riqueza variou de 108 a 325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de Lima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Dessa forma, escolhemos fixar a abundância total em 5 000 e </w:t>
      </w:r>
      <w:commentRangeStart w:id="8"/>
      <w:r w:rsidRPr="00233AB2">
        <w:rPr>
          <w:rStyle w:val="s2"/>
          <w:rFonts w:asciiTheme="majorHAnsi" w:hAnsiTheme="majorHAnsi"/>
          <w:color w:val="000000" w:themeColor="text1"/>
          <w:sz w:val="24"/>
          <w:szCs w:val="24"/>
        </w:rPr>
        <w:t>variar a riqueza de cinco a 500</w:t>
      </w:r>
      <w:commentRangeEnd w:id="8"/>
      <w:r w:rsidR="00EB3948">
        <w:rPr>
          <w:rStyle w:val="CommentReference"/>
          <w:rFonts w:asciiTheme="minorHAnsi" w:hAnsiTheme="minorHAnsi" w:cstheme="minorBidi"/>
        </w:rPr>
        <w:commentReference w:id="8"/>
      </w:r>
      <w:r w:rsidRPr="00233AB2">
        <w:rPr>
          <w:rStyle w:val="s2"/>
          <w:rFonts w:asciiTheme="majorHAnsi" w:hAnsiTheme="majorHAnsi"/>
          <w:color w:val="000000" w:themeColor="text1"/>
          <w:sz w:val="24"/>
          <w:szCs w:val="24"/>
        </w:rPr>
        <w:t>, a fim de gerar simulações com padrões de diversidade realistas e que pudessem 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commentRangeStart w:id="9"/>
      <w:r w:rsidRPr="00233AB2">
        <w:rPr>
          <w:rStyle w:val="s2"/>
          <w:rFonts w:asciiTheme="majorHAnsi" w:hAnsiTheme="majorHAnsi"/>
          <w:i/>
          <w:color w:val="000000" w:themeColor="text1"/>
          <w:sz w:val="24"/>
          <w:szCs w:val="24"/>
        </w:rPr>
        <w:t>Bertholletia excelsa</w:t>
      </w:r>
      <w:commentRangeEnd w:id="9"/>
      <w:r w:rsidR="006426B2">
        <w:rPr>
          <w:rStyle w:val="CommentReference"/>
          <w:rFonts w:asciiTheme="minorHAnsi" w:hAnsiTheme="minorHAnsi" w:cstheme="minorBidi"/>
        </w:rPr>
        <w:commentReference w:id="9"/>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de grandeza de sua produção. Uma árvore de </w:t>
      </w:r>
      <w:r w:rsidRPr="00233AB2">
        <w:rPr>
          <w:rStyle w:val="s2"/>
          <w:rFonts w:asciiTheme="majorHAnsi" w:hAnsiTheme="majorHAnsi"/>
          <w:i/>
          <w:color w:val="000000" w:themeColor="text1"/>
          <w:sz w:val="24"/>
          <w:szCs w:val="24"/>
        </w:rPr>
        <w:t>B. excelsa</w:t>
      </w:r>
      <w:r w:rsidRPr="00233AB2">
        <w:rPr>
          <w:rStyle w:val="s2"/>
          <w:rFonts w:asciiTheme="majorHAnsi" w:hAnsiTheme="majorHAnsi"/>
          <w:color w:val="000000" w:themeColor="text1"/>
          <w:sz w:val="24"/>
          <w:szCs w:val="24"/>
        </w:rPr>
        <w:t xml:space="preserve"> produz </w:t>
      </w:r>
      <w:r w:rsidR="007C629C">
        <w:rPr>
          <w:rStyle w:val="s2"/>
          <w:rFonts w:asciiTheme="majorHAnsi" w:hAnsiTheme="majorHAnsi"/>
          <w:color w:val="000000" w:themeColor="text1"/>
          <w:sz w:val="24"/>
          <w:szCs w:val="24"/>
        </w:rPr>
        <w:t>até</w:t>
      </w:r>
      <w:r w:rsidRPr="00233AB2">
        <w:rPr>
          <w:rStyle w:val="s2"/>
          <w:rFonts w:asciiTheme="majorHAnsi" w:hAnsiTheme="majorHAnsi"/>
          <w:color w:val="000000" w:themeColor="text1"/>
          <w:sz w:val="24"/>
          <w:szCs w:val="24"/>
        </w:rPr>
        <w:t xml:space="preserve"> 750 frutos por ciclo reprodutivo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Rockwell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Como cada fruto possui de 10 a 25 sementes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Peres et al., 2003</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tem-se que a produção de sementes por ciclo reprodutivo varia de 0 a 18 750. Dessa forma, escolhemos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941901F"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fim de gerarmos valores de entrada dentro dos limites que definimos para cada parâmetro (Tabela 1), sorteamos valores por meio do método do Hipercubo Latino</w:t>
      </w:r>
      <w:r w:rsidRPr="00F16F73">
        <w:rPr>
          <w:rStyle w:val="FootnoteReference"/>
        </w:rPr>
        <w:footnoteReference w:id="5"/>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xml:space="preserve">, </w:t>
      </w:r>
      <w:r w:rsidR="00576013" w:rsidRPr="0033725F">
        <w:rPr>
          <w:rFonts w:asciiTheme="majorHAnsi" w:hAnsiTheme="majorHAnsi"/>
          <w:sz w:val="24"/>
          <w:szCs w:val="24"/>
        </w:rPr>
        <w:lastRenderedPageBreak/>
        <w:t>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distribuição uniforme com mínimo 1 e máximo 20 000. No cenário ecológico, o</w:t>
      </w:r>
      <w:r w:rsidRPr="00233AB2">
        <w:rPr>
          <w:rFonts w:asciiTheme="majorHAnsi" w:hAnsiTheme="majorHAnsi"/>
          <w:sz w:val="24"/>
          <w:szCs w:val="24"/>
        </w:rPr>
        <w:t xml:space="preserve"> valor da riqueza, que variou de cinco a 500 entre as mil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indivíduos no total da comunidade. O </w:t>
      </w:r>
      <w:r w:rsidRPr="00233AB2">
        <w:rPr>
          <w:rFonts w:asciiTheme="majorHAnsi" w:hAnsiTheme="majorHAnsi"/>
          <w:sz w:val="24"/>
          <w:szCs w:val="24"/>
          <w:highlight w:val="yellow"/>
        </w:rPr>
        <w:t>quociente arredondado</w:t>
      </w:r>
      <w:r w:rsidRPr="00233AB2">
        <w:rPr>
          <w:rFonts w:asciiTheme="majorHAnsi" w:hAnsiTheme="majorHAnsi"/>
          <w:sz w:val="24"/>
          <w:szCs w:val="24"/>
        </w:rPr>
        <w:t xml:space="preserve"> da razão entre 5 000 e o valor da riqueza foi considerado como a abundância inicial das espécies (assim, o valor exato da abundância total da comunidade foi dada pelo produto do quociente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espécie de forma que o gradiente de 1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7B50FA">
        <w:rPr>
          <w:rFonts w:asciiTheme="majorHAnsi" w:hAnsiTheme="majorHAnsi"/>
          <w:sz w:val="24"/>
          <w:szCs w:val="24"/>
        </w:rPr>
        <w:t>uniforme de 0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Pr="00233AB2">
        <w:rPr>
          <w:rFonts w:asciiTheme="majorHAnsi" w:hAnsiTheme="majorHAnsi"/>
          <w:sz w:val="24"/>
          <w:szCs w:val="24"/>
        </w:rPr>
        <w:t xml:space="preserve"> de 0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Pr="00233AB2" w:rsidRDefault="00A564CF"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eco-evolutivo). Os itens que não compreendem intervalos foram iguais em todas as simulações do grupo. Os itens marcados com asterisco (*) tiveram valores do intervalo </w:t>
      </w:r>
      <w:r w:rsidRPr="00F326B5">
        <w:rPr>
          <w:rFonts w:asciiTheme="majorHAnsi" w:hAnsiTheme="majorHAnsi"/>
          <w:sz w:val="24"/>
          <w:szCs w:val="24"/>
        </w:rPr>
        <w:lastRenderedPageBreak/>
        <w:t>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r>
      <w:commentRangeStart w:id="10"/>
      <w:r w:rsidR="00E25784">
        <w:rPr>
          <w:rFonts w:asciiTheme="minorHAnsi" w:hAnsiTheme="minorHAnsi"/>
          <w:b/>
          <w:sz w:val="24"/>
          <w:szCs w:val="24"/>
        </w:rPr>
        <w:t>V</w:t>
      </w:r>
      <w:r w:rsidRPr="007C4554">
        <w:rPr>
          <w:rFonts w:asciiTheme="minorHAnsi" w:hAnsiTheme="minorHAnsi"/>
          <w:b/>
          <w:sz w:val="24"/>
          <w:szCs w:val="24"/>
        </w:rPr>
        <w:t>ariáveis operacionais</w:t>
      </w:r>
      <w:commentRangeEnd w:id="10"/>
      <w:r w:rsidR="00086CEC">
        <w:rPr>
          <w:rStyle w:val="CommentReference"/>
          <w:rFonts w:asciiTheme="minorHAnsi" w:hAnsiTheme="minorHAnsi" w:cstheme="minorBidi"/>
        </w:rPr>
        <w:commentReference w:id="10"/>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 de interesse</w:t>
      </w:r>
    </w:p>
    <w:p w14:paraId="2C809110" w14:textId="128BFD64"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w:t>
      </w:r>
      <w:r w:rsidR="0070089E">
        <w:rPr>
          <w:rFonts w:asciiTheme="majorHAnsi" w:hAnsiTheme="majorHAnsi"/>
          <w:sz w:val="24"/>
          <w:szCs w:val="24"/>
        </w:rPr>
        <w:lastRenderedPageBreak/>
        <w:t xml:space="preserve">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commentRangeStart w:id="11"/>
      <w:r w:rsidRPr="00233AB2">
        <w:rPr>
          <w:rFonts w:asciiTheme="majorHAnsi" w:hAnsiTheme="majorHAnsi"/>
          <w:color w:val="000000" w:themeColor="text1"/>
          <w:sz w:val="24"/>
          <w:szCs w:val="24"/>
        </w:rPr>
        <w:t>(Apêndice 3)</w:t>
      </w:r>
      <w:commentRangeEnd w:id="11"/>
      <w:r w:rsidR="008E033A">
        <w:rPr>
          <w:rStyle w:val="CommentReference"/>
          <w:rFonts w:asciiTheme="minorHAnsi" w:hAnsiTheme="minorHAnsi" w:cstheme="minorBidi"/>
        </w:rPr>
        <w:commentReference w:id="11"/>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 preditoras</w:t>
      </w:r>
    </w:p>
    <w:p w14:paraId="5F0488D3" w14:textId="7777777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três variáveis preditoras: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 ou positiva e riqueza inicial 1 ou maior que 1. O distúrbio foi representado por um índice que agrega as informações referentes ao número de eventos de distúrbio que ocorre na comunidade no decorrer da simulação e à intensidade destes eventos (Apêndice 2). O índice, dado pelo produto das duas variáveis, variou de 0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777777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uma abordagem de seleção de modelos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eco-evolutivo). Para cada cenário, ajustamos modelos lineares e não lineares através da estimativa de máxima verossimilhança de seus </w:t>
      </w:r>
      <w:r w:rsidRPr="00233AB2">
        <w:rPr>
          <w:rFonts w:asciiTheme="majorHAnsi" w:hAnsiTheme="majorHAnsi"/>
          <w:sz w:val="24"/>
          <w:szCs w:val="24"/>
        </w:rPr>
        <w:lastRenderedPageBreak/>
        <w:t>parâmetros. As distribuições de erro utilizadas foram a normal e a gama</w:t>
      </w:r>
      <w:r w:rsidRPr="00F16F73">
        <w:rPr>
          <w:rStyle w:val="FootnoteReference"/>
        </w:rPr>
        <w:footnoteReference w:id="6"/>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xml:space="preserve">. Para a heterogeneidade interespecífica do índice de estratégia de vida, que apresentou maior variação nos dados quando o índice de distúrbio foi intermediário, foram ainda ajustados modelos em que a variância (em contraposição à esperança) da distribuição é função Ricker ou gaussiana do índice de distúrbio. </w:t>
      </w:r>
      <w:r w:rsidRPr="00233AB2">
        <w:rPr>
          <w:rFonts w:asciiTheme="majorHAnsi" w:hAnsiTheme="majorHAnsi"/>
          <w:sz w:val="24"/>
          <w:szCs w:val="24"/>
        </w:rPr>
        <w:t>Para cada grupo de simulações, selecionamos os modelos mais plausíveis por meio do critério de informação de Akaike (AIC). [</w:t>
      </w:r>
      <w:r w:rsidRPr="00233AB2">
        <w:rPr>
          <w:rFonts w:asciiTheme="majorHAnsi" w:hAnsiTheme="majorHAnsi" w:cstheme="minorBidi"/>
          <w:sz w:val="24"/>
          <w:szCs w:val="24"/>
          <w:highlight w:val="red"/>
        </w:rPr>
        <w:t>Burmham &amp; Anderson; Bolker.</w:t>
      </w:r>
      <w:r w:rsidRPr="00233AB2">
        <w:rPr>
          <w:rFonts w:asciiTheme="majorHAnsi" w:hAnsiTheme="majorHAnsi"/>
          <w:sz w:val="24"/>
          <w:szCs w:val="24"/>
          <w:highlight w:val="red"/>
        </w:rPr>
        <w:t>]</w:t>
      </w:r>
    </w:p>
    <w:p w14:paraId="46587436" w14:textId="77777777" w:rsidR="00A564CF" w:rsidRPr="00233AB2" w:rsidRDefault="00A564CF"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investimento em fecundidade passa a predominar na população com o aumento da força do distúrbio. No entanto, a diversidade de estratégias também aumenta, o que quer dizer que, ainda que a maior parte da população seja formada por indivíduos fecundos quando o distúrbio é elevado, há também indivíduos menos fecundos e mais longevos. Em contrapartida, quando o distúrbio é fraco, a população é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w:t>
      </w:r>
      <w:commentRangeStart w:id="12"/>
      <w:r w:rsidRPr="007E5525">
        <w:rPr>
          <w:rFonts w:ascii="Calibri Light" w:hAnsi="Calibri Light"/>
          <w:color w:val="000000" w:themeColor="text1"/>
          <w:sz w:val="24"/>
          <w:szCs w:val="24"/>
        </w:rPr>
        <w:t xml:space="preserve">ponto médio da curva </w:t>
      </w:r>
      <w:commentRangeEnd w:id="12"/>
      <w:r w:rsidR="0019438B">
        <w:rPr>
          <w:rStyle w:val="CommentReference"/>
          <w:rFonts w:asciiTheme="minorHAnsi" w:hAnsiTheme="minorHAnsi" w:cstheme="minorBidi"/>
        </w:rPr>
        <w:commentReference w:id="12"/>
      </w:r>
      <w:r w:rsidRPr="007E5525">
        <w:rPr>
          <w:rFonts w:ascii="Calibri Light" w:hAnsi="Calibri Light"/>
          <w:color w:val="000000" w:themeColor="text1"/>
          <w:sz w:val="24"/>
          <w:szCs w:val="24"/>
        </w:rPr>
        <w:t xml:space="preserve">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7FEE190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investimento em fecundidade também passa a predominar na comunidade com o aumento da força do distúrbio, mas, em comparação com o cenário evolutivo, a predominância se dá a partir de valores muito menores de distúrbio. Além disso, a diversidade e a heterogeneidade interespecífica de estratégias cai de forma acentuada também em valores baixos de distúrbio. Juntos, esses resultados nos informam que, enquanto comunidades submetidas a pouco ou nenhum distúrbio apresentam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 têm predominância de indivíduos fecundos, com pouca variedade</w:t>
      </w:r>
      <w:r w:rsidR="00B00529">
        <w:rPr>
          <w:rFonts w:ascii="Calibri Light" w:hAnsi="Calibri Light"/>
          <w:sz w:val="24"/>
          <w:szCs w:val="24"/>
        </w:rPr>
        <w:t>. Essa tendência</w:t>
      </w:r>
      <w:r w:rsidR="00AC0C5F">
        <w:rPr>
          <w:rFonts w:ascii="Calibri Light" w:hAnsi="Calibri Light"/>
          <w:sz w:val="24"/>
          <w:szCs w:val="24"/>
        </w:rPr>
        <w:t xml:space="preserve"> se mantém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comunidades com distúrbio forte são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27406CC0"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A função que melhor explica a relação entre o índice de distúrbio e a média do índice de estratégia de vida para o cenário ecológico é a </w:t>
      </w:r>
      <w:r w:rsidRPr="00CD1501">
        <w:rPr>
          <w:rFonts w:ascii="Calibri Light" w:hAnsi="Calibri Light"/>
          <w:sz w:val="24"/>
          <w:szCs w:val="24"/>
        </w:rPr>
        <w:t xml:space="preserve">Michaelis-Menten </w:t>
      </w:r>
      <w:r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Pr="00CD1501">
        <w:rPr>
          <w:rStyle w:val="s1"/>
          <w:rFonts w:ascii="Calibri Light" w:hAnsi="Calibri Light"/>
          <w:color w:val="000000" w:themeColor="text1"/>
          <w:sz w:val="24"/>
          <w:szCs w:val="24"/>
        </w:rPr>
        <w:t>)</w:t>
      </w:r>
      <w:r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Pr="00CD1501">
        <w:rPr>
          <w:rFonts w:ascii="Calibri Light" w:hAnsi="Calibri Light"/>
          <w:color w:val="000000" w:themeColor="text1"/>
          <w:sz w:val="24"/>
          <w:szCs w:val="24"/>
        </w:rPr>
        <w:t>)</w:t>
      </w:r>
      <w:r w:rsidRPr="00CD1501">
        <w:rPr>
          <w:rFonts w:ascii="Calibri Light" w:hAnsi="Calibri Light"/>
          <w:sz w:val="24"/>
          <w:szCs w:val="24"/>
        </w:rPr>
        <w:t>. Diferentemente do que ocorre nos outros cenários, o índice de estratégia de vida médio da comunidade</w:t>
      </w:r>
      <w:r w:rsidRPr="007E5525">
        <w:rPr>
          <w:rFonts w:ascii="Calibri Light" w:hAnsi="Calibri Light"/>
          <w:sz w:val="24"/>
          <w:szCs w:val="24"/>
        </w:rPr>
        <w:t xml:space="preserve"> é próximo do valor intermediário do gradiente quando não há ocorrência </w:t>
      </w:r>
      <w:r w:rsidRPr="007E5525">
        <w:rPr>
          <w:rFonts w:ascii="Calibri Light" w:hAnsi="Calibri Light"/>
          <w:color w:val="000000" w:themeColor="text1"/>
          <w:sz w:val="24"/>
          <w:szCs w:val="24"/>
        </w:rPr>
        <w:t xml:space="preserve">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Pr="001E3877">
        <w:rPr>
          <w:rStyle w:val="s1"/>
          <w:rFonts w:ascii="Calibri Light" w:hAnsi="Calibri Light"/>
          <w:color w:val="000000" w:themeColor="text1"/>
          <w:sz w:val="24"/>
          <w:szCs w:val="24"/>
        </w:rPr>
        <w:t>de</w:t>
      </w:r>
      <w:r w:rsidRPr="007E5525">
        <w:rPr>
          <w:rStyle w:val="s1"/>
          <w:rFonts w:ascii="Calibri Light" w:hAnsi="Calibri Light"/>
          <w:color w:val="000000" w:themeColor="text1"/>
          <w:sz w:val="24"/>
          <w:szCs w:val="24"/>
        </w:rPr>
        <w:t xml:space="preserve"> 0,531)</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Pr="007E5525">
        <w:rPr>
          <w:rFonts w:ascii="Calibri Light" w:hAnsi="Calibri Light"/>
          <w:color w:val="000000" w:themeColor="text1"/>
          <w:sz w:val="24"/>
          <w:szCs w:val="24"/>
        </w:rPr>
        <w:t xml:space="preserve">índice de aproximadamente 0,1% de sua magnitude máxima, já provocou metade do aumento na média </w:t>
      </w:r>
      <w:r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Pr="007E5525">
        <w:rPr>
          <w:rStyle w:val="s1"/>
          <w:rFonts w:ascii="Calibri Light" w:hAnsi="Calibri Light"/>
          <w:color w:val="000000" w:themeColor="text1"/>
          <w:sz w:val="24"/>
          <w:szCs w:val="24"/>
        </w:rPr>
        <w:t>, que teve valor 318, equivalente a cerca de 0,1% do distúrbio máximo)</w:t>
      </w:r>
      <w:r w:rsidRPr="007E5525">
        <w:rPr>
          <w:rFonts w:ascii="Calibri Light" w:hAnsi="Calibri Light"/>
          <w:color w:val="000000" w:themeColor="text1"/>
          <w:sz w:val="24"/>
          <w:szCs w:val="24"/>
        </w:rPr>
        <w:t xml:space="preserve">. A média do índice de estratégia de vida estabiliza no valor máximo do gradiente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totalizando 1)</w:t>
      </w:r>
      <w:r w:rsidRPr="007E5525">
        <w:rPr>
          <w:rFonts w:ascii="Calibri Light" w:hAnsi="Calibri Light"/>
          <w:color w:val="000000" w:themeColor="text1"/>
          <w:sz w:val="24"/>
          <w:szCs w:val="24"/>
        </w:rPr>
        <w:t xml:space="preserve"> ainda em níveis </w:t>
      </w:r>
      <w:r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59445FD" w:rsidR="0015276C" w:rsidRPr="005326EF"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 xml:space="preserve">A função que explica a relação entre o índice de distúrbio e a </w:t>
      </w:r>
      <w:r w:rsidRPr="00E95BDB">
        <w:rPr>
          <w:rFonts w:ascii="Calibri Light" w:hAnsi="Calibri Light"/>
          <w:sz w:val="24"/>
          <w:szCs w:val="24"/>
        </w:rPr>
        <w:t xml:space="preserve">variância total do índice de estratégia de vida para o cenário ecológico é também a Michaelis-Menten </w:t>
      </w:r>
      <w:r w:rsidRPr="00E95BDB">
        <w:rPr>
          <w:rStyle w:val="s1"/>
          <w:rFonts w:ascii="Calibri Light" w:hAnsi="Calibri Light"/>
          <w:color w:val="000000" w:themeColor="text1"/>
          <w:sz w:val="24"/>
          <w:szCs w:val="24"/>
        </w:rPr>
        <w:t>(Tabelas 3 e 5)</w:t>
      </w:r>
      <w:r w:rsidRPr="00E95BDB">
        <w:rPr>
          <w:rFonts w:ascii="Calibri Light" w:hAnsi="Calibri Light"/>
          <w:sz w:val="24"/>
          <w:szCs w:val="24"/>
        </w:rPr>
        <w:t xml:space="preserve">. Diferentemente do que ocorre nos outros cenários, neste modelo um pequeno aumento do índice de </w:t>
      </w:r>
      <w:r w:rsidRPr="00E95BDB">
        <w:rPr>
          <w:rFonts w:ascii="Calibri Light" w:hAnsi="Calibri Light"/>
          <w:color w:val="000000" w:themeColor="text1"/>
          <w:sz w:val="24"/>
          <w:szCs w:val="24"/>
        </w:rPr>
        <w:t xml:space="preserve">distúrbio a partir do valor nulo provoca uma queda acentuada na variância total </w:t>
      </w:r>
      <w:r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Pr="00E95BDB">
        <w:rPr>
          <w:rStyle w:val="s1"/>
          <w:rFonts w:ascii="Calibri Light" w:hAnsi="Calibri Light"/>
          <w:color w:val="000000" w:themeColor="text1"/>
          <w:sz w:val="24"/>
          <w:szCs w:val="24"/>
        </w:rPr>
        <w:t>)</w:t>
      </w:r>
      <w:r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Pr="00E95BDB">
        <w:rPr>
          <w:rFonts w:ascii="Calibri Light" w:hAnsi="Calibri Light"/>
          <w:color w:val="000000" w:themeColor="text1"/>
          <w:sz w:val="24"/>
          <w:szCs w:val="24"/>
        </w:rPr>
        <w:t xml:space="preserve"> até um índice de distúrbio que corresponde</w:t>
      </w:r>
      <w:r w:rsidRPr="007E5525">
        <w:rPr>
          <w:rFonts w:ascii="Calibri Light" w:hAnsi="Calibri Light"/>
          <w:color w:val="000000" w:themeColor="text1"/>
          <w:sz w:val="24"/>
          <w:szCs w:val="24"/>
        </w:rPr>
        <w:t xml:space="preserv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97,3, correspondente a cerca de 0,032% de 300 mil, o valor máximo do índice de distúrbio)</w:t>
      </w:r>
      <w:r w:rsidRPr="007E5525">
        <w:rPr>
          <w:rFonts w:ascii="Calibri Light" w:hAnsi="Calibri Light"/>
          <w:color w:val="000000" w:themeColor="text1"/>
          <w:sz w:val="24"/>
          <w:szCs w:val="24"/>
        </w:rPr>
        <w:t xml:space="preserve">. A variância </w:t>
      </w:r>
      <w:r w:rsidRPr="007E5525">
        <w:rPr>
          <w:rFonts w:ascii="Calibri Light" w:hAnsi="Calibri Light"/>
          <w:sz w:val="24"/>
          <w:szCs w:val="24"/>
        </w:rPr>
        <w:t xml:space="preserve">total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0C3DF240"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A função que explica a relação entre o índice de distúrbio e a variância interespecífica do índice de estratégia de vida para o cenário ecológico também é a Michaelis-</w:t>
      </w:r>
      <w:r w:rsidRPr="00F90832">
        <w:rPr>
          <w:rFonts w:ascii="Calibri Light" w:hAnsi="Calibri Light"/>
          <w:sz w:val="24"/>
          <w:szCs w:val="24"/>
        </w:rPr>
        <w:t xml:space="preserve">Menten </w:t>
      </w:r>
      <w:r w:rsidRPr="00F90832">
        <w:rPr>
          <w:rStyle w:val="s1"/>
          <w:rFonts w:ascii="Calibri Light" w:hAnsi="Calibri Light"/>
          <w:color w:val="000000" w:themeColor="text1"/>
          <w:sz w:val="24"/>
          <w:szCs w:val="24"/>
        </w:rPr>
        <w:t>(Tabelas 3 e 5)</w:t>
      </w:r>
      <w:r w:rsidRPr="00F90832">
        <w:rPr>
          <w:rFonts w:ascii="Calibri Light" w:hAnsi="Calibri Light"/>
          <w:sz w:val="24"/>
          <w:szCs w:val="24"/>
        </w:rPr>
        <w:t xml:space="preserve">. </w:t>
      </w:r>
      <w:r w:rsidRPr="00F90832">
        <w:rPr>
          <w:rStyle w:val="apple-tab-span"/>
          <w:rFonts w:ascii="Calibri Light" w:hAnsi="Calibri Light"/>
          <w:sz w:val="24"/>
          <w:szCs w:val="24"/>
        </w:rPr>
        <w:t xml:space="preserve">Assim como para a variância total do índice de estratégia de vida, </w:t>
      </w:r>
      <w:r w:rsidRPr="00F90832">
        <w:rPr>
          <w:rFonts w:ascii="Calibri Light" w:hAnsi="Calibri Light"/>
          <w:sz w:val="24"/>
          <w:szCs w:val="24"/>
        </w:rPr>
        <w:t xml:space="preserve">um pequeno aumento do índice de distúrbio a partir do valor nulo provoca uma queda acentuada na variância </w:t>
      </w:r>
      <w:r w:rsidRPr="00F90832">
        <w:rPr>
          <w:rFonts w:ascii="Calibri Light" w:hAnsi="Calibri Light"/>
          <w:color w:val="000000" w:themeColor="text1"/>
          <w:sz w:val="24"/>
          <w:szCs w:val="24"/>
        </w:rPr>
        <w:t>interespecífica (</w:t>
      </w:r>
      <w:r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Pr="00F90832">
        <w:rPr>
          <w:rFonts w:ascii="Calibri Light" w:hAnsi="Calibri Light"/>
          <w:color w:val="000000" w:themeColor="text1"/>
          <w:sz w:val="24"/>
          <w:szCs w:val="24"/>
        </w:rPr>
        <w:t xml:space="preserve"> até um índice</w:t>
      </w:r>
      <w:r w:rsidRPr="007E5525">
        <w:rPr>
          <w:rFonts w:ascii="Calibri Light" w:hAnsi="Calibri Light"/>
          <w:color w:val="000000" w:themeColor="text1"/>
          <w:sz w:val="24"/>
          <w:szCs w:val="24"/>
        </w:rPr>
        <w:t xml:space="preserve"> de distúrbio que corresponde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220, que corresponde a aproximadamente 0,073% de 300 mil)</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variância interespecífica também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Pr="008B7639">
        <w:rPr>
          <w:rStyle w:val="s1"/>
          <w:rFonts w:ascii="Calibri Light" w:hAnsi="Calibri Light"/>
          <w:color w:val="000000" w:themeColor="text1"/>
          <w:sz w:val="24"/>
          <w:szCs w:val="24"/>
        </w:rPr>
        <w:t>). De fato, era esperado</w:t>
      </w:r>
      <w:r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r w:rsidRPr="007E5525">
        <w:rPr>
          <w:rFonts w:ascii="Calibri" w:hAnsi="Calibri"/>
          <w:b/>
          <w:sz w:val="24"/>
          <w:szCs w:val="24"/>
        </w:rPr>
        <w:tab/>
        <w:t>Cenário eco-evolutivo: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cenário eco-evolutivo se assemelha ao evolutivo nas relações da estratégia de vida média e da diversidade total de estratégias com o distúrbio: há um predomínio progressivo da estratégia de vida de maior fecundidade e um declínio da estratégia de maior longevidade com o aumento do distúrbio, acompanhado de um aumento na diversidade de estratégias (i.e., ainda que haja um declínio de indivíduos longevos com o aumento do distúrbio, este declínio é menor do que o que ocorre com indivíduos fecundos quando o distúrbio se torna mais fraco). Entretanto, a heterogeneidade interespecífica de estratégias se comporta de forma diferente quando comparada ao cenário ecológico: há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561188FF" w:rsidR="0015276C" w:rsidRPr="002B5FAA"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A função que melhor explica a relação entre o índice de </w:t>
      </w:r>
      <w:r w:rsidRPr="00713750">
        <w:rPr>
          <w:rFonts w:ascii="Calibri Light" w:hAnsi="Calibri Light"/>
          <w:sz w:val="24"/>
          <w:szCs w:val="24"/>
        </w:rPr>
        <w:t xml:space="preserve">distúrbio e a variância interespecífica do índice de estratégia de vida para o cenário eco-evolutivo é a Ricker </w:t>
      </w:r>
      <w:r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Pr="00713750">
        <w:rPr>
          <w:rStyle w:val="s1"/>
          <w:rFonts w:ascii="Calibri Light" w:hAnsi="Calibri Light"/>
          <w:color w:val="000000" w:themeColor="text1"/>
          <w:sz w:val="24"/>
          <w:szCs w:val="24"/>
        </w:rPr>
        <w:t>), diferindo do padrão encontrado para a heterogeneidade interespecífica do cenário ecológico</w:t>
      </w:r>
      <w:r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Pr="00713750">
        <w:rPr>
          <w:rFonts w:ascii="Calibri Light" w:hAnsi="Calibri Light"/>
          <w:color w:val="000000" w:themeColor="text1"/>
          <w:sz w:val="24"/>
          <w:szCs w:val="24"/>
        </w:rPr>
        <w:t xml:space="preserve">baixos </w:t>
      </w:r>
      <w:r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Pr="00713750">
        <w:rPr>
          <w:rStyle w:val="s1"/>
          <w:rFonts w:ascii="Calibri Light" w:hAnsi="Calibri Light"/>
          <w:color w:val="000000" w:themeColor="text1"/>
          <w:sz w:val="24"/>
          <w:szCs w:val="24"/>
        </w:rPr>
        <w:t>)</w:t>
      </w:r>
      <w:r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printerSettings r:id="rId21"/>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sz w:val="22"/>
          <w:szCs w:val="22"/>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printerSettings r:id="rId23"/>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sz w:val="22"/>
          <w:szCs w:val="22"/>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sz w:val="22"/>
          <w:szCs w:val="22"/>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printerSettings r:id="rId26"/>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6107DCD9"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culminou em populações adaptadas ao regime de distúrbio a que foram submetidas. As bases para a ocorrência de seleção natural estão presentes no sistema: há variabilidade em caracteres herdáveis que influenciam a aptidão dos indivíduos de uma população </w:t>
      </w:r>
      <w:r w:rsidRPr="0002060B">
        <w:rPr>
          <w:rFonts w:asciiTheme="majorHAnsi" w:hAnsiTheme="majorHAnsi"/>
          <w:color w:val="000000" w:themeColor="text1"/>
          <w:highlight w:val="red"/>
        </w:rPr>
        <w:t>(Darwin 1859</w:t>
      </w:r>
      <w:r w:rsidR="0002060B" w:rsidRPr="0002060B">
        <w:rPr>
          <w:rFonts w:asciiTheme="majorHAnsi" w:hAnsiTheme="majorHAnsi"/>
          <w:color w:val="000000" w:themeColor="text1"/>
          <w:highlight w:val="red"/>
        </w:rPr>
        <w:t xml:space="preserve"> e cap III.1</w:t>
      </w:r>
      <w:r w:rsidR="0002060B" w:rsidRPr="0002060B">
        <w:rPr>
          <w:rFonts w:asciiTheme="majorHAnsi" w:hAnsiTheme="majorHAnsi"/>
          <w:color w:val="000000" w:themeColor="text1"/>
          <w:highlight w:val="red"/>
        </w:rPr>
        <w:t>, PGTEvo</w:t>
      </w:r>
      <w:r w:rsidR="0002060B" w:rsidRPr="0002060B">
        <w:rPr>
          <w:rFonts w:asciiTheme="majorHAnsi" w:hAnsiTheme="majorHAnsi"/>
          <w:color w:val="000000" w:themeColor="text1"/>
          <w:highlight w:val="red"/>
        </w:rPr>
        <w:t xml:space="preserve"> </w:t>
      </w:r>
      <w:r w:rsidRPr="0002060B">
        <w:rPr>
          <w:rFonts w:asciiTheme="majorHAnsi" w:hAnsiTheme="majorHAnsi"/>
          <w:color w:val="000000" w:themeColor="text1"/>
          <w:highlight w:val="red"/>
        </w:rPr>
        <w:t>)</w:t>
      </w:r>
      <w:r w:rsidRPr="00980F59">
        <w:rPr>
          <w:rFonts w:asciiTheme="majorHAnsi" w:hAnsiTheme="majorHAnsi"/>
          <w:color w:val="000000" w:themeColor="text1"/>
        </w:rPr>
        <w:t xml:space="preserve"> - no caso,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4D5792A4"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w:t>
      </w:r>
      <w:r w:rsidRPr="00980F59">
        <w:rPr>
          <w:rFonts w:asciiTheme="majorHAnsi" w:hAnsiTheme="majorHAnsi"/>
          <w:color w:val="000000" w:themeColor="text1"/>
        </w:rPr>
        <w:commentReference w:id="13"/>
      </w:r>
      <w:r w:rsidRPr="00980F59">
        <w:rPr>
          <w:rFonts w:asciiTheme="majorHAnsi" w:hAnsiTheme="majorHAnsi"/>
          <w:color w:val="000000" w:themeColor="text1"/>
        </w:rPr>
        <w:t xml:space="preserv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prioritariamente do recurso disponibilizado pelo distúrbio</w:t>
      </w:r>
      <w:r w:rsidRPr="00C22511">
        <w:rPr>
          <w:rFonts w:asciiTheme="majorHAnsi" w:hAnsiTheme="majorHAnsi"/>
          <w:color w:val="000000" w:themeColor="text1"/>
        </w:rPr>
        <w:commentReference w:id="14"/>
      </w:r>
      <w:r w:rsidRPr="00C22511">
        <w:rPr>
          <w:rFonts w:asciiTheme="majorHAnsi" w:hAnsiTheme="majorHAnsi"/>
          <w:color w:val="000000" w:themeColor="text1"/>
        </w:rPr>
        <w:t xml:space="preserve">. </w:t>
      </w:r>
      <w:r w:rsidRPr="00980F59">
        <w:rPr>
          <w:rFonts w:asciiTheme="majorHAnsi" w:hAnsiTheme="majorHAnsi"/>
          <w:color w:val="000000" w:themeColor="text1"/>
        </w:rPr>
        <w:t xml:space="preserve">Ainda que parte </w:t>
      </w:r>
      <w:r w:rsidR="007F5D0C">
        <w:rPr>
          <w:rFonts w:asciiTheme="majorHAnsi" w:hAnsiTheme="majorHAnsi"/>
          <w:color w:val="000000" w:themeColor="text1"/>
        </w:rPr>
        <w:t>da literarura</w:t>
      </w:r>
      <w:r w:rsidRPr="00980F59">
        <w:rPr>
          <w:rFonts w:asciiTheme="majorHAnsi" w:hAnsiTheme="majorHAnsi"/>
          <w:color w:val="000000" w:themeColor="text1"/>
        </w:rPr>
        <w:t xml:space="preserve"> identifique outros atributos que nã</w:t>
      </w:r>
      <w:r w:rsidR="00A9438A">
        <w:rPr>
          <w:rFonts w:asciiTheme="majorHAnsi" w:hAnsiTheme="majorHAnsi"/>
          <w:color w:val="000000" w:themeColor="text1"/>
        </w:rPr>
        <w:t xml:space="preserve">o </w:t>
      </w:r>
      <w:r w:rsidR="00D00C02">
        <w:rPr>
          <w:rFonts w:asciiTheme="majorHAnsi" w:hAnsiTheme="majorHAnsi"/>
          <w:color w:val="000000" w:themeColor="text1"/>
        </w:rPr>
        <w:t>a longevidade e a fecundidade</w:t>
      </w:r>
      <w:r w:rsidR="00A9438A">
        <w:rPr>
          <w:rFonts w:asciiTheme="majorHAnsi" w:hAnsiTheme="majorHAnsi"/>
          <w:color w:val="000000" w:themeColor="text1"/>
        </w:rPr>
        <w:t>,</w:t>
      </w:r>
      <w:r w:rsidRPr="00980F59">
        <w:rPr>
          <w:rFonts w:asciiTheme="majorHAnsi" w:hAnsiTheme="majorHAnsi"/>
          <w:color w:val="000000" w:themeColor="text1"/>
        </w:rPr>
        <w:t xml:space="preserve"> como</w:t>
      </w:r>
      <w:r w:rsidR="006A69E2">
        <w:rPr>
          <w:rFonts w:asciiTheme="majorHAnsi" w:hAnsiTheme="majorHAnsi"/>
          <w:color w:val="000000" w:themeColor="text1"/>
        </w:rPr>
        <w:t xml:space="preserve"> senescência </w:t>
      </w:r>
      <w:r w:rsidR="00A9438A">
        <w:rPr>
          <w:rFonts w:asciiTheme="majorHAnsi" w:hAnsiTheme="majorHAnsi"/>
          <w:color w:val="000000" w:themeColor="text1"/>
        </w:rPr>
        <w:t>vs. idade de maturação sexual</w:t>
      </w:r>
      <w:r w:rsidR="007C4126">
        <w:rPr>
          <w:rFonts w:asciiTheme="majorHAnsi" w:hAnsiTheme="majorHAnsi"/>
          <w:color w:val="000000" w:themeColor="text1"/>
        </w:rPr>
        <w:t xml:space="preserve"> </w:t>
      </w:r>
      <w:r w:rsidR="007C4126">
        <w:rPr>
          <w:rFonts w:asciiTheme="majorHAnsi" w:hAnsiTheme="majorHAnsi"/>
          <w:color w:val="000000" w:themeColor="text1"/>
        </w:rPr>
        <w:t>(</w:t>
      </w:r>
      <w:r w:rsidR="007C4126" w:rsidRPr="007C4126">
        <w:rPr>
          <w:rFonts w:asciiTheme="majorHAnsi" w:hAnsiTheme="majorHAnsi"/>
          <w:color w:val="000000" w:themeColor="text1"/>
          <w:highlight w:val="red"/>
        </w:rPr>
        <w:t>cap III.11, PGTEvo</w:t>
      </w:r>
      <w:r w:rsidR="001B4A89">
        <w:rPr>
          <w:rFonts w:asciiTheme="majorHAnsi" w:hAnsiTheme="majorHAnsi"/>
          <w:color w:val="000000" w:themeColor="text1"/>
        </w:rPr>
        <w:t>, cap I.10 PGTEco</w:t>
      </w:r>
      <w:r w:rsidR="007C4126">
        <w:rPr>
          <w:rFonts w:asciiTheme="majorHAnsi" w:hAnsiTheme="majorHAnsi"/>
          <w:color w:val="000000" w:themeColor="text1"/>
        </w:rPr>
        <w:t>)</w:t>
      </w:r>
      <w:r w:rsidR="00A9438A">
        <w:rPr>
          <w:rFonts w:asciiTheme="majorHAnsi" w:hAnsiTheme="majorHAnsi"/>
          <w:color w:val="000000" w:themeColor="text1"/>
        </w:rPr>
        <w:t>, iteroparidade vs. semelparidade</w:t>
      </w:r>
      <w:r w:rsidR="007C4126">
        <w:rPr>
          <w:rFonts w:asciiTheme="majorHAnsi" w:hAnsiTheme="majorHAnsi"/>
          <w:color w:val="000000" w:themeColor="text1"/>
        </w:rPr>
        <w:t xml:space="preserve"> </w:t>
      </w:r>
      <w:r w:rsidR="007C4126">
        <w:rPr>
          <w:rFonts w:asciiTheme="majorHAnsi" w:hAnsiTheme="majorHAnsi"/>
          <w:color w:val="000000" w:themeColor="text1"/>
        </w:rPr>
        <w:t>(</w:t>
      </w:r>
      <w:r w:rsidR="007C4126" w:rsidRPr="007C4126">
        <w:rPr>
          <w:rFonts w:asciiTheme="majorHAnsi" w:hAnsiTheme="majorHAnsi"/>
          <w:color w:val="000000" w:themeColor="text1"/>
          <w:highlight w:val="red"/>
        </w:rPr>
        <w:t>cap III.11, PGTEvo</w:t>
      </w:r>
      <w:r w:rsidR="001B4A89">
        <w:rPr>
          <w:rFonts w:asciiTheme="majorHAnsi" w:hAnsiTheme="majorHAnsi"/>
          <w:color w:val="000000" w:themeColor="text1"/>
        </w:rPr>
        <w:t xml:space="preserve">, </w:t>
      </w:r>
      <w:r w:rsidR="001B4A89">
        <w:rPr>
          <w:rFonts w:asciiTheme="majorHAnsi" w:hAnsiTheme="majorHAnsi"/>
          <w:color w:val="000000" w:themeColor="text1"/>
        </w:rPr>
        <w:t>cap I.10 PGTEco</w:t>
      </w:r>
      <w:r w:rsidR="007C4126">
        <w:rPr>
          <w:rFonts w:asciiTheme="majorHAnsi" w:hAnsiTheme="majorHAnsi"/>
          <w:color w:val="000000" w:themeColor="text1"/>
        </w:rPr>
        <w:t>)</w:t>
      </w:r>
      <w:r w:rsidR="00A9438A">
        <w:rPr>
          <w:rFonts w:asciiTheme="majorHAnsi" w:hAnsiTheme="majorHAnsi"/>
          <w:color w:val="000000" w:themeColor="text1"/>
        </w:rPr>
        <w:t xml:space="preserve">, número vs. </w:t>
      </w:r>
      <w:r w:rsidR="00A9438A">
        <w:rPr>
          <w:rFonts w:asciiTheme="majorHAnsi" w:hAnsiTheme="majorHAnsi"/>
          <w:color w:val="000000" w:themeColor="text1"/>
        </w:rPr>
        <w:lastRenderedPageBreak/>
        <w:t>tamanho dos propágulos</w:t>
      </w:r>
      <w:r w:rsidR="007C4126">
        <w:rPr>
          <w:rFonts w:asciiTheme="majorHAnsi" w:hAnsiTheme="majorHAnsi"/>
          <w:color w:val="000000" w:themeColor="text1"/>
        </w:rPr>
        <w:t xml:space="preserve"> </w:t>
      </w:r>
      <w:r w:rsidR="007C4126">
        <w:rPr>
          <w:rFonts w:asciiTheme="majorHAnsi" w:hAnsiTheme="majorHAnsi"/>
          <w:color w:val="000000" w:themeColor="text1"/>
        </w:rPr>
        <w:t>(</w:t>
      </w:r>
      <w:r w:rsidR="007C4126" w:rsidRPr="007C4126">
        <w:rPr>
          <w:rFonts w:asciiTheme="majorHAnsi" w:hAnsiTheme="majorHAnsi"/>
          <w:color w:val="000000" w:themeColor="text1"/>
          <w:highlight w:val="red"/>
        </w:rPr>
        <w:t>cap III.11, PGTEvo</w:t>
      </w:r>
      <w:r w:rsidR="003C2250">
        <w:rPr>
          <w:rFonts w:asciiTheme="majorHAnsi" w:hAnsiTheme="majorHAnsi"/>
          <w:color w:val="000000" w:themeColor="text1"/>
        </w:rPr>
        <w:t xml:space="preserve">, </w:t>
      </w:r>
      <w:r w:rsidR="003C2250">
        <w:rPr>
          <w:rFonts w:asciiTheme="majorHAnsi" w:hAnsiTheme="majorHAnsi"/>
          <w:color w:val="000000" w:themeColor="text1"/>
        </w:rPr>
        <w:t>cap I.10 PGTEco</w:t>
      </w:r>
      <w:r w:rsidR="007C4126">
        <w:rPr>
          <w:rFonts w:asciiTheme="majorHAnsi" w:hAnsiTheme="majorHAnsi"/>
          <w:color w:val="000000" w:themeColor="text1"/>
        </w:rPr>
        <w:t>)</w:t>
      </w:r>
      <w:r w:rsidR="00A9438A">
        <w:rPr>
          <w:rFonts w:asciiTheme="majorHAnsi" w:hAnsiTheme="majorHAnsi"/>
          <w:color w:val="000000" w:themeColor="text1"/>
        </w:rPr>
        <w:t>, habilidade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w:t>
      </w:r>
      <w:r w:rsidR="00251327">
        <w:rPr>
          <w:rFonts w:asciiTheme="majorHAnsi" w:hAnsiTheme="majorHAnsi"/>
          <w:color w:val="000000" w:themeColor="text1"/>
        </w:rPr>
        <w:t xml:space="preserve">cação do distúrbio é recorrente </w:t>
      </w:r>
      <w:r w:rsidR="007F5D0C">
        <w:rPr>
          <w:rFonts w:asciiTheme="majorHAnsi" w:hAnsiTheme="majorHAnsi"/>
          <w:color w:val="000000" w:themeColor="text1"/>
        </w:rPr>
        <w:t xml:space="preserve">nos estudos </w:t>
      </w:r>
      <w:r w:rsidR="00251327">
        <w:rPr>
          <w:rFonts w:asciiTheme="majorHAnsi" w:hAnsiTheme="majorHAnsi"/>
          <w:color w:val="000000" w:themeColor="text1"/>
        </w:rPr>
        <w:t xml:space="preserve">da área </w:t>
      </w:r>
      <w:r w:rsidR="00251327" w:rsidRPr="00D728AB">
        <w:rPr>
          <w:rFonts w:asciiTheme="majorHAnsi" w:hAnsiTheme="majorHAnsi"/>
          <w:color w:val="000000" w:themeColor="text1"/>
          <w:highlight w:val="cyan"/>
        </w:rPr>
        <w:t>(</w:t>
      </w:r>
      <w:r w:rsidR="00251327">
        <w:rPr>
          <w:rFonts w:asciiTheme="majorHAnsi" w:hAnsiTheme="majorHAnsi" w:cs="Times New Roman"/>
          <w:color w:val="000000" w:themeColor="text1"/>
          <w:highlight w:val="cyan"/>
        </w:rPr>
        <w:t xml:space="preserve">Charlesworth, </w:t>
      </w:r>
      <w:r w:rsidR="00251327" w:rsidRPr="00D728AB">
        <w:rPr>
          <w:rFonts w:asciiTheme="majorHAnsi" w:hAnsiTheme="majorHAnsi" w:cs="Times New Roman"/>
          <w:color w:val="000000" w:themeColor="text1"/>
          <w:highlight w:val="cyan"/>
        </w:rPr>
        <w:t>1980</w:t>
      </w:r>
      <w:r w:rsidR="00251327">
        <w:rPr>
          <w:rFonts w:asciiTheme="majorHAnsi" w:hAnsiTheme="majorHAnsi" w:cs="Times New Roman"/>
          <w:color w:val="000000" w:themeColor="text1"/>
          <w:highlight w:val="cyan"/>
        </w:rPr>
        <w:t xml:space="preserve"> E OUTROS</w:t>
      </w:r>
      <w:r w:rsidR="00251327" w:rsidRPr="00D728AB">
        <w:rPr>
          <w:rFonts w:asciiTheme="majorHAnsi" w:hAnsiTheme="majorHAnsi"/>
          <w:color w:val="000000" w:themeColor="text1"/>
          <w:highlight w:val="cyan"/>
        </w:rPr>
        <w:t>).</w:t>
      </w:r>
    </w:p>
    <w:p w14:paraId="0AF20F29" w14:textId="4A817D55" w:rsidR="00085C73" w:rsidRPr="00980F59" w:rsidRDefault="00085C73" w:rsidP="00085C73">
      <w:pPr>
        <w:ind w:firstLine="720"/>
        <w:contextualSpacing/>
        <w:jc w:val="both"/>
        <w:rPr>
          <w:rFonts w:asciiTheme="majorHAnsi" w:hAnsiTheme="majorHAnsi"/>
          <w:color w:val="000000" w:themeColor="text1"/>
        </w:rPr>
      </w:pPr>
      <w:commentRangeStart w:id="15"/>
      <w:r w:rsidRPr="00980F59">
        <w:rPr>
          <w:rFonts w:asciiTheme="majorHAnsi" w:hAnsiTheme="majorHAnsi"/>
          <w:color w:val="000000" w:themeColor="text1"/>
        </w:rPr>
        <w:t>A diversidade de estratégias de vida aumentou</w:t>
      </w:r>
      <w:commentRangeEnd w:id="15"/>
      <w:r w:rsidR="001970F7">
        <w:rPr>
          <w:rStyle w:val="CommentReference"/>
        </w:rPr>
        <w:commentReference w:id="15"/>
      </w:r>
      <w:r w:rsidRPr="00980F59">
        <w:rPr>
          <w:rFonts w:asciiTheme="majorHAnsi" w:hAnsiTheme="majorHAnsi"/>
          <w:color w:val="000000" w:themeColor="text1"/>
        </w:rPr>
        <w:t xml:space="preserve">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w:t>
      </w:r>
      <w:r w:rsidR="00272690" w:rsidRPr="00272690">
        <w:rPr>
          <w:rFonts w:asciiTheme="majorHAnsi" w:hAnsiTheme="majorHAnsi"/>
          <w:color w:val="000000" w:themeColor="text1"/>
        </w:rPr>
        <w:t xml:space="preserve">e empíricos </w:t>
      </w:r>
      <w:r w:rsidR="00272690">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"plainTextFormattedCitation"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3B0BA16A"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w:t>
      </w:r>
      <w:r w:rsidRPr="00980F59">
        <w:rPr>
          <w:rFonts w:asciiTheme="majorHAnsi" w:hAnsiTheme="majorHAnsi"/>
          <w:color w:val="000000" w:themeColor="text1"/>
          <w:highlight w:val="red"/>
        </w:rPr>
        <w:t>TABELA RESULTADOS? COLOCAR FIGURA NOS APÊNDICES?</w:t>
      </w:r>
      <w:r w:rsidRPr="00980F59">
        <w:rPr>
          <w:rFonts w:asciiTheme="majorHAnsi" w:hAnsiTheme="majorHAnsi"/>
          <w:color w:val="000000" w:themeColor="text1"/>
        </w:rPr>
        <w:t xml:space="preserve">).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 xml:space="preserve">indivíduos submetidos a </w:t>
      </w:r>
      <w:r w:rsidR="003B5F06">
        <w:rPr>
          <w:rFonts w:asciiTheme="majorHAnsi" w:hAnsiTheme="majorHAnsi"/>
          <w:color w:val="000000" w:themeColor="text1"/>
        </w:rPr>
        <w:lastRenderedPageBreak/>
        <w:t>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700B73A3"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Pr>
          <w:rFonts w:asciiTheme="majorHAnsi" w:hAnsiTheme="majorHAnsi"/>
          <w:noProof/>
          <w:color w:val="000000" w:themeColor="text1"/>
        </w:rPr>
        <w:t xml:space="preserve">Charlesworth, 1980;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7"/>
      </w:r>
      <w:r w:rsidRPr="00980F59">
        <w:rPr>
          <w:rFonts w:asciiTheme="majorHAnsi" w:hAnsiTheme="majorHAnsi"/>
          <w:color w:val="000000" w:themeColor="text1"/>
        </w:rPr>
        <w:t xml:space="preserve">. Outro </w:t>
      </w:r>
      <w:r w:rsidRPr="00980F59">
        <w:rPr>
          <w:rFonts w:asciiTheme="majorHAnsi" w:hAnsiTheme="majorHAnsi"/>
          <w:color w:val="000000" w:themeColor="text1"/>
        </w:rPr>
        <w:lastRenderedPageBreak/>
        <w:t>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8"/>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por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192AE4C3"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w:t>
      </w:r>
      <w:commentRangeStart w:id="16"/>
      <w:r w:rsidRPr="0057257D">
        <w:rPr>
          <w:rFonts w:asciiTheme="majorHAnsi" w:hAnsiTheme="majorHAnsi"/>
          <w:color w:val="000000" w:themeColor="text1"/>
          <w:highlight w:val="yellow"/>
        </w:rPr>
        <w:t>A diversidade de estratégia total também se comportou da mesma forma que no primeiro cenário. Como detalhado</w:t>
      </w:r>
      <w:r w:rsidRPr="00980F59">
        <w:rPr>
          <w:rFonts w:asciiTheme="majorHAnsi" w:hAnsiTheme="majorHAnsi"/>
          <w:color w:val="000000" w:themeColor="text1"/>
        </w:rPr>
        <w:t xml:space="preserve"> </w:t>
      </w:r>
      <w:r w:rsidRPr="0057257D">
        <w:rPr>
          <w:rFonts w:asciiTheme="majorHAnsi" w:hAnsiTheme="majorHAnsi"/>
          <w:color w:val="000000" w:themeColor="text1"/>
          <w:highlight w:val="yellow"/>
        </w:rPr>
        <w:lastRenderedPageBreak/>
        <w:t>anteriormente, caso interpretássemos o padrão como uma relação monotônica crescente da diversidade em função do distúrbio, uma possível explicação seria o consequente aumento na 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commentRangeEnd w:id="16"/>
      <w:r w:rsidR="00C739D4">
        <w:rPr>
          <w:rStyle w:val="CommentReference"/>
        </w:rPr>
        <w:commentReference w:id="16"/>
      </w:r>
      <w:r w:rsidRPr="0057257D">
        <w:rPr>
          <w:rFonts w:asciiTheme="majorHAnsi" w:hAnsiTheme="majorHAnsi"/>
          <w:color w:val="000000" w:themeColor="text1"/>
          <w:highlight w:val="yellow"/>
        </w:rPr>
        <w:t>.</w:t>
      </w:r>
      <w:r w:rsidRPr="00980F59">
        <w:rPr>
          <w:rFonts w:asciiTheme="majorHAnsi" w:hAnsiTheme="majorHAnsi"/>
          <w:color w:val="000000" w:themeColor="text1"/>
        </w:rPr>
        <w:t xml:space="preserve"> A semelhança na variação da média e da diversidade total de estratégias entre cenários com mutação aponta para a importância deste processo nas dinâmicas populacional e de comunidade. Ao contrário da exclusão competitiva e da adaptação, assim como da deriva, que resultam na retirada de indivíduos, a mutação ocasiona a entrada de variação no sistema </w:t>
      </w:r>
      <w:r w:rsidRPr="00F43A1C">
        <w:rPr>
          <w:rFonts w:asciiTheme="majorHAnsi" w:hAnsiTheme="majorHAnsi"/>
          <w:color w:val="000000" w:themeColor="text1"/>
          <w:highlight w:val="red"/>
        </w:rPr>
        <w:t>(</w:t>
      </w:r>
      <w:r w:rsidR="00DB7622" w:rsidRPr="00F43A1C">
        <w:rPr>
          <w:rFonts w:asciiTheme="majorHAnsi" w:hAnsiTheme="majorHAnsi"/>
          <w:color w:val="000000" w:themeColor="text1"/>
          <w:highlight w:val="red"/>
        </w:rPr>
        <w:t>cap IV.2 PGTEvo</w:t>
      </w:r>
      <w:r w:rsidRPr="00F43A1C">
        <w:rPr>
          <w:rFonts w:asciiTheme="majorHAnsi" w:hAnsiTheme="majorHAnsi"/>
          <w:color w:val="000000" w:themeColor="text1"/>
          <w:highlight w:val="red"/>
        </w:rPr>
        <w:t>).</w:t>
      </w:r>
      <w:r w:rsidRPr="00980F59">
        <w:rPr>
          <w:rFonts w:asciiTheme="majorHAnsi" w:hAnsiTheme="majorHAnsi"/>
          <w:color w:val="000000" w:themeColor="text1"/>
        </w:rPr>
        <w:t xml:space="preserve"> Dessa forma, ela permite haja uma contraposição à extinção de estratégias ocasionadas pelo distúrbio, alterando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A3A3D4C"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Por fim, a heterogeneidade interespecífica de estratégias nas comunidades do cenário eco-evolutivo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178D8" w:rsidRPr="00D728AB">
        <w:rPr>
          <w:rFonts w:asciiTheme="majorHAnsi" w:hAnsiTheme="majorHAnsi"/>
          <w:color w:val="000000" w:themeColor="text1"/>
          <w:highlight w:val="cyan"/>
        </w:rPr>
        <w:t>(</w:t>
      </w:r>
      <w:r w:rsidR="000B34C7" w:rsidRPr="00D728AB">
        <w:rPr>
          <w:rFonts w:asciiTheme="majorHAnsi" w:hAnsiTheme="majorHAnsi"/>
          <w:color w:val="000000" w:themeColor="text1"/>
          <w:highlight w:val="cyan"/>
        </w:rPr>
        <w:t>RB</w:t>
      </w:r>
      <w:r w:rsidRPr="00D728AB">
        <w:rPr>
          <w:rFonts w:asciiTheme="majorHAnsi" w:hAnsiTheme="majorHAnsi"/>
          <w:color w:val="000000" w:themeColor="text1"/>
          <w:highlight w:val="cyan"/>
        </w:rPr>
        <w:t>).</w:t>
      </w:r>
      <w:r w:rsidRPr="00980F59">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xml:space="preserve">, em que a coexistência de diferentes espécies depende da diferença entre elas na resposta ao ambiente e da ocorrência de um crescimento populacional tamponado, que limita o impacto da competição sobre uma população quando a outra está favorecida pelo </w:t>
      </w:r>
      <w:r w:rsidRPr="00980F59">
        <w:rPr>
          <w:rFonts w:asciiTheme="majorHAnsi" w:hAnsiTheme="majorHAnsi"/>
          <w:color w:val="000000" w:themeColor="text1"/>
        </w:rPr>
        <w:lastRenderedPageBreak/>
        <w:t>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eco-evolutivo, o </w:t>
      </w:r>
      <w:r w:rsidRPr="00980F59">
        <w:rPr>
          <w:rFonts w:asciiTheme="majorHAnsi" w:hAnsiTheme="majorHAnsi"/>
        </w:rPr>
        <w:lastRenderedPageBreak/>
        <w:t xml:space="preserve">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4220D77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frequentemente </w:t>
      </w:r>
      <w:r w:rsidRPr="00980F59">
        <w:rPr>
          <w:rFonts w:asciiTheme="majorHAnsi" w:hAnsiTheme="majorHAnsi"/>
        </w:rPr>
        <w:lastRenderedPageBreak/>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diferentes espécies e depende de interações que ocorrem em cenários multiespecíficos para emergir. </w:t>
      </w:r>
      <w:r w:rsidRPr="00980F59">
        <w:rPr>
          <w:rFonts w:asciiTheme="majorHAnsi" w:hAnsiTheme="majorHAnsi"/>
          <w:highlight w:val="red"/>
        </w:rPr>
        <w:t>FAZER UMA ULTIMA FRASE (falar do distúrbio).</w:t>
      </w:r>
    </w:p>
    <w:p w14:paraId="6CC2DC89" w14:textId="77777777" w:rsidR="00980F59" w:rsidRPr="00980F59" w:rsidRDefault="00980F59" w:rsidP="00980F59">
      <w:pPr>
        <w:ind w:firstLine="720"/>
        <w:contextualSpacing/>
        <w:jc w:val="both"/>
        <w:rPr>
          <w:rFonts w:asciiTheme="majorHAnsi" w:hAnsiTheme="majorHAnsi"/>
        </w:rPr>
      </w:pPr>
    </w:p>
    <w:p w14:paraId="34CE6BD2" w14:textId="77777777" w:rsidR="00085C73" w:rsidRPr="00980F59" w:rsidRDefault="00085C73" w:rsidP="00085C73">
      <w:pPr>
        <w:contextualSpacing/>
        <w:jc w:val="both"/>
        <w:rPr>
          <w:rFonts w:asciiTheme="majorHAnsi" w:hAnsiTheme="majorHAnsi"/>
          <w:color w:val="000000" w:themeColor="text1"/>
        </w:rPr>
      </w:pPr>
    </w:p>
    <w:p w14:paraId="6E0B2BBB" w14:textId="77777777" w:rsidR="00085C73" w:rsidRPr="00CC6DDB" w:rsidRDefault="00085C73" w:rsidP="00CC6DDB">
      <w:pPr>
        <w:pStyle w:val="Heading1"/>
      </w:pPr>
      <w:r w:rsidRPr="00CC6DDB">
        <w:rPr>
          <w:noProof/>
          <w:lang w:val="en-US"/>
        </w:rPr>
        <mc:AlternateContent>
          <mc:Choice Requires="wps">
            <w:drawing>
              <wp:anchor distT="0" distB="0" distL="114300" distR="114300" simplePos="0" relativeHeight="251673600" behindDoc="0" locked="0" layoutInCell="1" allowOverlap="1" wp14:anchorId="39663826" wp14:editId="2184E4EC">
                <wp:simplePos x="0" y="0"/>
                <wp:positionH relativeFrom="column">
                  <wp:posOffset>-974558</wp:posOffset>
                </wp:positionH>
                <wp:positionV relativeFrom="paragraph">
                  <wp:posOffset>535940</wp:posOffset>
                </wp:positionV>
                <wp:extent cx="7655393" cy="12032"/>
                <wp:effectExtent l="0" t="0" r="41275" b="39370"/>
                <wp:wrapNone/>
                <wp:docPr id="19" name="Straight Connector 19"/>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A6343" id="Straight Connector 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PWwupO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CC6DDB">
        <w:rPr>
          <w:noProof/>
          <w:lang w:val="en-US"/>
        </w:rPr>
        <mc:AlternateContent>
          <mc:Choice Requires="wps">
            <w:drawing>
              <wp:anchor distT="0" distB="0" distL="114300" distR="114300" simplePos="0" relativeHeight="251674624" behindDoc="0" locked="0" layoutInCell="1" allowOverlap="1" wp14:anchorId="024EEBE2" wp14:editId="28BBEEC8">
                <wp:simplePos x="0" y="0"/>
                <wp:positionH relativeFrom="column">
                  <wp:posOffset>-976630</wp:posOffset>
                </wp:positionH>
                <wp:positionV relativeFrom="paragraph">
                  <wp:posOffset>-222250</wp:posOffset>
                </wp:positionV>
                <wp:extent cx="7655560" cy="2540"/>
                <wp:effectExtent l="0" t="0" r="40640" b="48260"/>
                <wp:wrapNone/>
                <wp:docPr id="20" name="Straight Connector 2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BA4BB" id="Straight Connector 20" o:spid="_x0000_s1026" style="position:absolute;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dFXOg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JrsccLSGz2kIPSp&#10;S+yAzpGDGBgFyanex5oAB3cM0yn6Y8iyBxUsU0b7bzQExQiSxobi82X2GYbEJF3ebDebzZbqSYqt&#10;N+8KeTWyZDYfYvoAaFneNNxol10QtTh/jIkqU+o1JV8bx/qGv13dbJYlLaLR7b02JgfLJMHBBHYW&#10;NANCSnBpndUQy7NMOhlHl1njqKrs0sXAWOMLKPKJuh/1/ZF3NfEaR9kZpqiLGTh1l0f7ZUNX4JSf&#10;oVCm92/AM6JURpdmsNUOw+jNr9XTMFce868OjLqzBU/YXsp7F2toDItz05fJc/78XOA/P/b+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fHRVz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CC6DDB">
        <w:t>7</w:t>
      </w:r>
      <w:r w:rsidRPr="00CC6DDB">
        <w:tab/>
      </w:r>
      <w:r w:rsidRPr="00CC6DDB">
        <w:rPr>
          <w:color w:val="000000" w:themeColor="text1"/>
          <w:highlight w:val="cyan"/>
        </w:rPr>
        <w:t>CONCLUSÃO</w:t>
      </w:r>
    </w:p>
    <w:p w14:paraId="3D9999F9"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57892A63" w14:textId="77777777" w:rsidR="00085C73" w:rsidRDefault="00085C73" w:rsidP="00677C77">
      <w:pPr>
        <w:widowControl w:val="0"/>
        <w:autoSpaceDE w:val="0"/>
        <w:autoSpaceDN w:val="0"/>
        <w:adjustRightInd w:val="0"/>
        <w:spacing w:after="240"/>
        <w:contextualSpacing/>
        <w:jc w:val="both"/>
        <w:rPr>
          <w:rFonts w:asciiTheme="majorHAnsi" w:hAnsiTheme="majorHAnsi"/>
        </w:rPr>
      </w:pPr>
    </w:p>
    <w:p w14:paraId="76032C1A" w14:textId="7A7BEF52" w:rsidR="002E6E76" w:rsidRDefault="002E6E76" w:rsidP="00677C77">
      <w:pPr>
        <w:widowControl w:val="0"/>
        <w:autoSpaceDE w:val="0"/>
        <w:autoSpaceDN w:val="0"/>
        <w:adjustRightInd w:val="0"/>
        <w:spacing w:after="240"/>
        <w:contextualSpacing/>
        <w:jc w:val="both"/>
        <w:rPr>
          <w:rFonts w:asciiTheme="majorHAnsi" w:hAnsiTheme="majorHAnsi"/>
        </w:rPr>
      </w:pPr>
      <w:r w:rsidRPr="00284545">
        <w:rPr>
          <w:rFonts w:asciiTheme="majorHAnsi" w:hAnsiTheme="majorHAnsi"/>
          <w:highlight w:val="cyan"/>
        </w:rPr>
        <w:t>[AINDA NÃO ESCREVI, SÃO SÓ PARÁGRAFOS QUE RETIREI DA DISCUSSÃO E COLOQUEI AQUI!]</w:t>
      </w:r>
    </w:p>
    <w:p w14:paraId="72BFCB9E" w14:textId="77777777" w:rsidR="002E6E76" w:rsidRPr="00980F59" w:rsidRDefault="002E6E76" w:rsidP="00677C77">
      <w:pPr>
        <w:widowControl w:val="0"/>
        <w:autoSpaceDE w:val="0"/>
        <w:autoSpaceDN w:val="0"/>
        <w:adjustRightInd w:val="0"/>
        <w:spacing w:after="240"/>
        <w:contextualSpacing/>
        <w:jc w:val="both"/>
        <w:rPr>
          <w:rFonts w:asciiTheme="majorHAnsi" w:hAnsiTheme="majorHAnsi"/>
        </w:rPr>
      </w:pPr>
    </w:p>
    <w:p w14:paraId="442BF2DA" w14:textId="77777777" w:rsidR="00085C73" w:rsidRPr="00980F59" w:rsidRDefault="00085C73" w:rsidP="00085C73">
      <w:pPr>
        <w:widowControl w:val="0"/>
        <w:autoSpaceDE w:val="0"/>
        <w:autoSpaceDN w:val="0"/>
        <w:adjustRightInd w:val="0"/>
        <w:spacing w:after="240"/>
        <w:contextualSpacing/>
        <w:jc w:val="both"/>
        <w:rPr>
          <w:rFonts w:asciiTheme="majorHAnsi" w:hAnsiTheme="majorHAnsi"/>
          <w:color w:val="000000" w:themeColor="text1"/>
        </w:rPr>
      </w:pPr>
      <w:r w:rsidRPr="00980F59">
        <w:rPr>
          <w:rFonts w:asciiTheme="majorHAnsi" w:hAnsiTheme="majorHAnsi"/>
        </w:rPr>
        <w:t xml:space="preserve">De forma geral, podemos identificar que os cenários evolutivo e eco-evolutivo são mais semelhantes entre si do que o cenário ecológico com os primeiros, tanto em relação à estratégia de vida predominante quanto à diversidade de estratégias. Se compararmos os mecanismos atuantes em cada um, podemos identificar três tipos de processos de alto nível, i.e., processos que apresentam consequências – e não necessariamente causas – semelhantes para a dinâmica da população ou comunidade (Vellend 2016). Um </w:t>
      </w:r>
      <w:r w:rsidRPr="00980F59">
        <w:rPr>
          <w:rFonts w:asciiTheme="majorHAnsi" w:hAnsiTheme="majorHAnsi"/>
          <w:highlight w:val="red"/>
        </w:rPr>
        <w:t>dos processos de alto nível</w:t>
      </w:r>
      <w:r w:rsidRPr="00980F59">
        <w:rPr>
          <w:rFonts w:asciiTheme="majorHAnsi" w:hAnsiTheme="majorHAnsi"/>
        </w:rPr>
        <w:t xml:space="preserve"> é a seleção, que, no cenário evolutivo, caracteriza-se pela adaptação das espécies ao regime de distúrbio, no cenário ecológico, pela exclusão competitiva de indivíduos e, no cenário eco-evolutivo, por ambos. Esses dois mecanismos </w:t>
      </w:r>
      <w:r w:rsidRPr="00980F59">
        <w:rPr>
          <w:rFonts w:asciiTheme="majorHAnsi" w:hAnsiTheme="majorHAnsi"/>
          <w:highlight w:val="yellow"/>
        </w:rPr>
        <w:t>têm em comum a existência</w:t>
      </w:r>
      <w:r w:rsidRPr="00980F59">
        <w:rPr>
          <w:rFonts w:asciiTheme="majorHAnsi" w:hAnsiTheme="majorHAnsi"/>
        </w:rPr>
        <w:t xml:space="preserve"> de diferença na aptidão entre grupos de indivíduos, que acarreta uma vantagem determinística no estabelecimento de algum deles na população ou comunidade. Ainda que não seja usual encarar a exclusão competitiva de populações como um processo de seleção, uma vez que ela não depende da variação intraespecífica presente nos contextos usuais da Biologia Evolutiva, </w:t>
      </w:r>
      <w:r w:rsidRPr="00980F59">
        <w:rPr>
          <w:rFonts w:asciiTheme="majorHAnsi" w:hAnsiTheme="majorHAnsi"/>
        </w:rPr>
        <w:lastRenderedPageBreak/>
        <w:t xml:space="preserve">da mesma forma que </w:t>
      </w:r>
      <w:r w:rsidRPr="00980F59">
        <w:rPr>
          <w:rFonts w:asciiTheme="majorHAnsi" w:hAnsiTheme="majorHAnsi"/>
          <w:color w:val="000000" w:themeColor="text1"/>
        </w:rPr>
        <w:t>indivíduos diferentes em uma população competem pelo recurso e os mais aptos persistem, indivíduos de espécies e estratégias diferentes em uma comunidade também o fazem, culminando na seleção dos mais aptos (Vellend 2016). Assim, a seleção que ocorre em populações e em comunidades é essencialmente a mesma, ambas como resultado da “batalha pela persistência” descrita por Darwin (1859) (Vellend 2016).</w:t>
      </w:r>
    </w:p>
    <w:p w14:paraId="65107BB2" w14:textId="77777777" w:rsidR="00085C73" w:rsidRPr="00980F59" w:rsidRDefault="00085C73" w:rsidP="00085C73">
      <w:pPr>
        <w:widowControl w:val="0"/>
        <w:autoSpaceDE w:val="0"/>
        <w:autoSpaceDN w:val="0"/>
        <w:adjustRightInd w:val="0"/>
        <w:spacing w:after="240"/>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Outro tipo de processo de alto nível que ocorre nos três cenários é a deriva, que pode ser genética ou ecológica. Deriva genética é a mudança aleatória na abundância relativa dos alelos/genótipos em uma </w:t>
      </w:r>
      <w:r w:rsidRPr="00D728AB">
        <w:rPr>
          <w:rFonts w:asciiTheme="majorHAnsi" w:hAnsiTheme="majorHAnsi"/>
          <w:color w:val="000000" w:themeColor="text1"/>
        </w:rPr>
        <w:t>população (</w:t>
      </w:r>
      <w:r w:rsidRPr="00D728AB">
        <w:rPr>
          <w:rFonts w:asciiTheme="majorHAnsi" w:hAnsiTheme="majorHAnsi"/>
          <w:color w:val="000000" w:themeColor="text1"/>
          <w:highlight w:val="cyan"/>
        </w:rPr>
        <w:t>RB</w:t>
      </w:r>
      <w:r w:rsidRPr="00D728AB">
        <w:rPr>
          <w:rFonts w:asciiTheme="majorHAnsi" w:hAnsiTheme="majorHAnsi"/>
          <w:color w:val="000000" w:themeColor="text1"/>
        </w:rPr>
        <w:t>), que</w:t>
      </w:r>
      <w:r w:rsidRPr="00980F59">
        <w:rPr>
          <w:rFonts w:asciiTheme="majorHAnsi" w:hAnsiTheme="majorHAnsi"/>
          <w:color w:val="000000" w:themeColor="text1"/>
        </w:rPr>
        <w:t>, nos cenários evolutivo e eco-evolutivo deste estudo, pode ser encarada como a mudança aleatória na abundância relativa das estratégias de vida. A deriva ecológica, como mencionado anteriormente, é a mudança aleatória na abundância relativa das espécies em uma comunidade (Hubbell 2001), presente nos cenários ecológico e eco-evolutivo deste estudo. Ambos os processos emergem em função da estocasticidade inerente aos eventos de morte e nascimento dos indivíduos. Quando analisamos a mudança em função de genótipos ou alelos, e por vezes de atributos, chamamos de deriva genética, e quando analisamos em função das espécies, chamamos de deriva ecológica. Entretanto</w:t>
      </w:r>
      <w:r w:rsidRPr="00980F59">
        <w:rPr>
          <w:rFonts w:asciiTheme="majorHAnsi" w:hAnsiTheme="majorHAnsi"/>
          <w:color w:val="000000" w:themeColor="text1"/>
          <w:highlight w:val="red"/>
        </w:rPr>
        <w:t>, como é o indivíduo que porta o alelo/genótipo e a espécie, o mecanismo por trás das derivas genética e ecológica é o mesmo</w:t>
      </w:r>
      <w:r w:rsidRPr="00980F59">
        <w:rPr>
          <w:rFonts w:asciiTheme="majorHAnsi" w:hAnsiTheme="majorHAnsi"/>
          <w:color w:val="000000" w:themeColor="text1"/>
        </w:rPr>
        <w:t xml:space="preserve">. </w:t>
      </w:r>
      <w:r w:rsidRPr="00980F59">
        <w:rPr>
          <w:rFonts w:asciiTheme="majorHAnsi" w:hAnsiTheme="majorHAnsi"/>
          <w:color w:val="000000" w:themeColor="text1"/>
          <w:highlight w:val="yellow"/>
        </w:rPr>
        <w:t>Nos três cenários, a ocorrência de deriva, de qualquer tipo, leva a uma variação entre comunidades ou populações - em relação às estratégias predominantes ou ao nível de diversidade - que não pode ser explicada em termos determinísticos</w:t>
      </w:r>
      <w:r w:rsidRPr="00980F59">
        <w:rPr>
          <w:rFonts w:asciiTheme="majorHAnsi" w:hAnsiTheme="majorHAnsi"/>
          <w:color w:val="000000" w:themeColor="text1"/>
        </w:rPr>
        <w:t>.</w:t>
      </w:r>
    </w:p>
    <w:p w14:paraId="29D0554C" w14:textId="3864FF81" w:rsidR="00F072FE" w:rsidRPr="00980F59" w:rsidRDefault="00085C73" w:rsidP="00F072FE">
      <w:pPr>
        <w:widowControl w:val="0"/>
        <w:autoSpaceDE w:val="0"/>
        <w:autoSpaceDN w:val="0"/>
        <w:adjustRightInd w:val="0"/>
        <w:spacing w:after="240"/>
        <w:ind w:firstLine="720"/>
        <w:contextualSpacing/>
        <w:jc w:val="both"/>
        <w:rPr>
          <w:rFonts w:asciiTheme="majorHAnsi" w:hAnsiTheme="majorHAnsi"/>
          <w:color w:val="000000" w:themeColor="text1"/>
        </w:rPr>
        <w:sectPr w:rsidR="00F072FE" w:rsidRPr="00980F59" w:rsidSect="005A45DD">
          <w:pgSz w:w="11901" w:h="16817"/>
          <w:pgMar w:top="1440" w:right="1440" w:bottom="1440" w:left="1440" w:header="709" w:footer="709" w:gutter="0"/>
          <w:cols w:space="708"/>
          <w:docGrid w:linePitch="360"/>
          <w:printerSettings r:id="rId27"/>
        </w:sectPr>
      </w:pPr>
      <w:r w:rsidRPr="00980F59">
        <w:rPr>
          <w:rFonts w:asciiTheme="majorHAnsi" w:hAnsiTheme="majorHAnsi"/>
          <w:color w:val="000000" w:themeColor="text1"/>
        </w:rPr>
        <w:t xml:space="preserve">A mutação, por sua vez, um </w:t>
      </w:r>
      <w:r w:rsidRPr="00980F59">
        <w:rPr>
          <w:rFonts w:asciiTheme="majorHAnsi" w:hAnsiTheme="majorHAnsi"/>
          <w:color w:val="000000" w:themeColor="text1"/>
          <w:highlight w:val="red"/>
        </w:rPr>
        <w:t>processo de alto-nível</w:t>
      </w:r>
      <w:r w:rsidRPr="00980F59">
        <w:rPr>
          <w:rFonts w:asciiTheme="majorHAnsi" w:hAnsiTheme="majorHAnsi"/>
          <w:color w:val="000000" w:themeColor="text1"/>
        </w:rPr>
        <w:t xml:space="preserve"> caracterizado pela entrada de variação nas populações, ocorre apenas nos cenários evolutivo e eco-evolutivo. A entrada de novas estratégias permite que as populações se adaptem continuamente às mudanças ambientais a que estão submetidas, resultando em distribuições de estratégias de vida diferentes de sistemas sem mutação para os mesmos regimes de distúrbio. Assim, enquanto nos cenários evolutivo e eco-evolutivo, a predominância e a diversidade de estratégias de vida são reguladas por um balanço entre mutação, seleção e deriva, o balanço se dá apenas entre os processos de seleção e deriva no cenário ecológico. Esses processos têm papel distinto: enquanto a mutação garante a entrada de novas variantes de estratégias de vida, a seleção e a deriva levam à exclusão de variantes das populações ou da comunidade (Vellend 2010). Assim, é esperado que cenários que apresentem os mesmos processos de alto-nível </w:t>
      </w:r>
      <w:r w:rsidR="00633CB3" w:rsidRPr="00980F59">
        <w:rPr>
          <w:rFonts w:asciiTheme="majorHAnsi" w:hAnsiTheme="majorHAnsi"/>
          <w:color w:val="000000" w:themeColor="text1"/>
        </w:rPr>
        <w:t>sejam mais semelhantes entre si</w:t>
      </w:r>
      <w:r w:rsidR="00C863E2" w:rsidRPr="00980F59">
        <w:rPr>
          <w:rFonts w:asciiTheme="majorHAnsi" w:hAnsiTheme="majorHAnsi"/>
          <w:color w:val="000000" w:themeColor="text1"/>
        </w:rPr>
        <w:t>.</w:t>
      </w: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5AAC8DD" w14:textId="32E8221F" w:rsidR="00F072FE" w:rsidRPr="009763D2" w:rsidRDefault="006773B1"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r w:rsidRPr="009763D2">
        <w:rPr>
          <w:rFonts w:asciiTheme="majorHAnsi" w:eastAsia="Times New Roman" w:hAnsiTheme="majorHAnsi" w:cs="Arial"/>
          <w:color w:val="000000" w:themeColor="text1"/>
          <w:bdr w:val="none" w:sz="0" w:space="0" w:color="auto" w:frame="1"/>
          <w:lang w:val="en-US"/>
        </w:rPr>
        <w:t>Charlesworth, B.</w:t>
      </w:r>
      <w:r w:rsidR="00F072FE" w:rsidRPr="009763D2">
        <w:rPr>
          <w:rFonts w:asciiTheme="majorHAnsi" w:eastAsia="Times New Roman" w:hAnsiTheme="majorHAnsi" w:cs="Arial"/>
          <w:color w:val="000000" w:themeColor="text1"/>
          <w:bdr w:val="none" w:sz="0" w:space="0" w:color="auto" w:frame="1"/>
          <w:lang w:val="en-US"/>
        </w:rPr>
        <w:t> </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1980</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 </w:t>
      </w:r>
      <w:r w:rsidR="00F072FE" w:rsidRPr="009763D2">
        <w:rPr>
          <w:rFonts w:asciiTheme="majorHAnsi" w:eastAsia="Times New Roman" w:hAnsiTheme="majorHAnsi" w:cs="Arial"/>
          <w:i/>
          <w:iCs/>
          <w:color w:val="000000" w:themeColor="text1"/>
          <w:bdr w:val="none" w:sz="0" w:space="0" w:color="auto" w:frame="1"/>
          <w:lang w:val="en-US"/>
        </w:rPr>
        <w:t>Evolution in age-structured populations</w:t>
      </w:r>
      <w:r w:rsidR="00F072FE" w:rsidRPr="009763D2">
        <w:rPr>
          <w:rFonts w:asciiTheme="majorHAnsi" w:eastAsia="Times New Roman" w:hAnsiTheme="majorHAnsi" w:cs="Arial"/>
          <w:color w:val="000000" w:themeColor="text1"/>
          <w:bdr w:val="none" w:sz="0" w:space="0" w:color="auto" w:frame="1"/>
          <w:lang w:val="en-US"/>
        </w:rPr>
        <w:t xml:space="preserve">. Cambridge University Press, Cambridge, UK. </w:t>
      </w:r>
    </w:p>
    <w:p w14:paraId="53E88752" w14:textId="77777777" w:rsidR="00F072FE" w:rsidRPr="009763D2" w:rsidRDefault="00F072FE"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Darwin, C. (1859). </w:t>
      </w:r>
      <w:r w:rsidRPr="009763D2">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9763D2">
        <w:rPr>
          <w:rFonts w:asciiTheme="majorHAnsi" w:eastAsia="Arial Unicode MS" w:hAnsiTheme="majorHAnsi" w:cs="Arial Unicode MS"/>
          <w:color w:val="000000" w:themeColor="text1"/>
          <w:lang w:val="en-US"/>
        </w:rPr>
        <w:t>. London: J. Murray.</w:t>
      </w:r>
    </w:p>
    <w:p w14:paraId="508F49CC" w14:textId="3BACDE8D" w:rsidR="00CD2C4D" w:rsidRPr="009763D2" w:rsidRDefault="00CD2C4D"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 xml:space="preserve">Levins, R. (1968) </w:t>
      </w:r>
      <w:r w:rsidRPr="009763D2">
        <w:rPr>
          <w:rFonts w:asciiTheme="majorHAnsi" w:eastAsia="Arial Unicode MS" w:hAnsiTheme="majorHAnsi" w:cs="Arial Unicode MS"/>
          <w:i/>
          <w:color w:val="000000" w:themeColor="text1"/>
          <w:lang w:val="en-US"/>
        </w:rPr>
        <w:t>Evolution in Changing Environments</w:t>
      </w:r>
      <w:r w:rsidRPr="009763D2">
        <w:rPr>
          <w:rFonts w:asciiTheme="majorHAnsi" w:eastAsia="Arial Unicode MS" w:hAnsiTheme="majorHAnsi" w:cs="Arial Unicode MS"/>
          <w:color w:val="000000" w:themeColor="text1"/>
          <w:lang w:val="en-US"/>
        </w:rPr>
        <w:t>. Princeton University Press, Princeton.</w:t>
      </w:r>
    </w:p>
    <w:p w14:paraId="53754B4C" w14:textId="4BD3781D" w:rsidR="00C32255" w:rsidRPr="009763D2" w:rsidRDefault="00C32255" w:rsidP="00217170">
      <w:pPr>
        <w:spacing w:line="240" w:lineRule="auto"/>
        <w:ind w:left="567" w:hanging="567"/>
        <w:rPr>
          <w:rFonts w:asciiTheme="majorHAnsi" w:eastAsia="Times New Roman" w:hAnsiTheme="majorHAnsi" w:cs="Times New Roman"/>
          <w:color w:val="000000" w:themeColor="text1"/>
          <w:shd w:val="clear" w:color="auto" w:fill="FFFFFF"/>
          <w:lang w:val="en-US"/>
        </w:rPr>
      </w:pPr>
      <w:r w:rsidRPr="009763D2">
        <w:rPr>
          <w:rFonts w:asciiTheme="majorHAnsi" w:eastAsia="Times New Roman" w:hAnsiTheme="majorHAnsi" w:cs="Times New Roman"/>
          <w:color w:val="000000" w:themeColor="text1"/>
          <w:shd w:val="clear" w:color="auto" w:fill="FFFFFF"/>
          <w:lang w:val="en-US"/>
        </w:rPr>
        <w:t>Horn H. S. 1975. </w:t>
      </w:r>
      <w:r w:rsidRPr="009763D2">
        <w:rPr>
          <w:rFonts w:asciiTheme="majorHAnsi" w:eastAsia="Times New Roman" w:hAnsiTheme="majorHAnsi" w:cs="Times New Roman"/>
          <w:color w:val="000000" w:themeColor="text1"/>
          <w:lang w:val="en-US"/>
        </w:rPr>
        <w:t>Markovian properties of forest succession</w:t>
      </w:r>
      <w:r w:rsidRPr="009763D2">
        <w:rPr>
          <w:rFonts w:asciiTheme="majorHAnsi" w:eastAsia="Times New Roman" w:hAnsiTheme="majorHAnsi" w:cs="Times New Roman"/>
          <w:color w:val="000000" w:themeColor="text1"/>
          <w:shd w:val="clear" w:color="auto" w:fill="FFFFFF"/>
          <w:lang w:val="en-US"/>
        </w:rPr>
        <w:t>. In </w:t>
      </w:r>
      <w:r w:rsidRPr="009763D2">
        <w:rPr>
          <w:rFonts w:asciiTheme="majorHAnsi" w:eastAsia="Times New Roman" w:hAnsiTheme="majorHAnsi" w:cs="Times New Roman"/>
          <w:color w:val="000000" w:themeColor="text1"/>
          <w:lang w:val="en-US"/>
        </w:rPr>
        <w:t>Ecology and evolution of communities</w:t>
      </w:r>
      <w:r w:rsidRPr="009763D2">
        <w:rPr>
          <w:rFonts w:asciiTheme="majorHAnsi" w:eastAsia="Times New Roman" w:hAnsiTheme="majorHAnsi" w:cs="Times New Roman"/>
          <w:color w:val="000000" w:themeColor="text1"/>
          <w:shd w:val="clear" w:color="auto" w:fill="FFFFFF"/>
          <w:lang w:val="en-US"/>
        </w:rPr>
        <w:t> (eds Cody M. L., HoltDiamond</w:t>
      </w:r>
      <w:r w:rsidR="00C236D1" w:rsidRPr="009763D2">
        <w:rPr>
          <w:rFonts w:asciiTheme="majorHAnsi" w:eastAsia="Times New Roman" w:hAnsiTheme="majorHAnsi" w:cs="Times New Roman"/>
          <w:color w:val="000000" w:themeColor="text1"/>
          <w:shd w:val="clear" w:color="auto" w:fill="FFFFFF"/>
          <w:lang w:val="en-US"/>
        </w:rPr>
        <w:t xml:space="preserve"> J. M., editors. ), pp. 196-</w:t>
      </w:r>
      <w:r w:rsidRPr="009763D2">
        <w:rPr>
          <w:rFonts w:asciiTheme="majorHAnsi" w:eastAsia="Times New Roman" w:hAnsiTheme="majorHAnsi" w:cs="Times New Roman"/>
          <w:color w:val="000000" w:themeColor="text1"/>
          <w:shd w:val="clear" w:color="auto" w:fill="FFFFFF"/>
          <w:lang w:val="en-US"/>
        </w:rPr>
        <w:t>211 Cambridge, UK: Belknap Press of Harvard University Press</w:t>
      </w:r>
    </w:p>
    <w:p w14:paraId="1A0B1689" w14:textId="452BD33B" w:rsidR="007577C2" w:rsidRPr="009763D2" w:rsidRDefault="007577C2" w:rsidP="007577C2">
      <w:pPr>
        <w:widowControl w:val="0"/>
        <w:autoSpaceDE w:val="0"/>
        <w:autoSpaceDN w:val="0"/>
        <w:adjustRightInd w:val="0"/>
        <w:spacing w:after="240" w:line="260" w:lineRule="atLeast"/>
        <w:rPr>
          <w:rFonts w:asciiTheme="majorHAnsi" w:hAnsiTheme="majorHAnsi" w:cs="Times"/>
          <w:lang w:val="en-US"/>
        </w:rPr>
      </w:pPr>
      <w:r w:rsidRPr="009763D2">
        <w:rPr>
          <w:rFonts w:asciiTheme="majorHAnsi" w:hAnsiTheme="majorHAnsi" w:cs="Times"/>
          <w:lang w:val="en-US"/>
        </w:rPr>
        <w:t xml:space="preserve">Maynard Smith, J. (1972) </w:t>
      </w:r>
      <w:r w:rsidRPr="009763D2">
        <w:rPr>
          <w:rFonts w:asciiTheme="majorHAnsi" w:hAnsiTheme="majorHAnsi" w:cs="Times"/>
          <w:i/>
          <w:lang w:val="en-US"/>
        </w:rPr>
        <w:t>On evolution</w:t>
      </w:r>
      <w:r w:rsidRPr="009763D2">
        <w:rPr>
          <w:rFonts w:asciiTheme="majorHAnsi" w:hAnsiTheme="majorHAnsi" w:cs="Times"/>
          <w:lang w:val="en-US"/>
        </w:rPr>
        <w:t xml:space="preserve">. Edinburgh University Press, Edinburgh, UK. </w:t>
      </w:r>
    </w:p>
    <w:p w14:paraId="3E69F3CF" w14:textId="2B895614" w:rsidR="00804F81" w:rsidRPr="009763D2" w:rsidRDefault="00804F81" w:rsidP="00391C50">
      <w:pPr>
        <w:widowControl w:val="0"/>
        <w:autoSpaceDE w:val="0"/>
        <w:autoSpaceDN w:val="0"/>
        <w:adjustRightInd w:val="0"/>
        <w:spacing w:after="240" w:line="340" w:lineRule="atLeast"/>
        <w:ind w:left="567" w:hanging="567"/>
        <w:rPr>
          <w:rFonts w:asciiTheme="majorHAnsi" w:hAnsiTheme="majorHAnsi" w:cs="Times"/>
          <w:color w:val="000000" w:themeColor="text1"/>
          <w:lang w:val="en-US"/>
        </w:rPr>
      </w:pPr>
      <w:r w:rsidRPr="009763D2">
        <w:rPr>
          <w:rFonts w:asciiTheme="majorHAnsi" w:hAnsiTheme="majorHAnsi" w:cs="Times"/>
          <w:color w:val="000000" w:themeColor="text1"/>
          <w:lang w:val="en-US"/>
        </w:rPr>
        <w:t xml:space="preserve">Shipley, B. 2010. </w:t>
      </w:r>
      <w:r w:rsidRPr="009763D2">
        <w:rPr>
          <w:rFonts w:asciiTheme="majorHAnsi" w:hAnsiTheme="majorHAnsi" w:cs="Times"/>
          <w:i/>
          <w:iCs/>
          <w:color w:val="000000" w:themeColor="text1"/>
          <w:lang w:val="en-US"/>
        </w:rPr>
        <w:t>From plant traits to vegetation structure: chance and selection in the assembly of ecological communities</w:t>
      </w:r>
      <w:r w:rsidRPr="009763D2">
        <w:rPr>
          <w:rFonts w:asciiTheme="majorHAnsi" w:hAnsiTheme="majorHAnsi" w:cs="Times"/>
          <w:color w:val="000000" w:themeColor="text1"/>
          <w:lang w:val="en-US"/>
        </w:rPr>
        <w:t xml:space="preserve">. Cambridge University Press, Cambridge. </w:t>
      </w:r>
    </w:p>
    <w:p w14:paraId="18B6A88B"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 xml:space="preserve">Stephen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 xml:space="preserve">Evolution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 xml:space="preserve">University  </w:t>
      </w:r>
      <w:r w:rsidRPr="009763D2">
        <w:rPr>
          <w:rFonts w:asciiTheme="majorHAnsi" w:eastAsia="Times New Roman" w:hAnsiTheme="majorHAnsi" w:cs="Times New Roman"/>
          <w:color w:val="000000" w:themeColor="text1"/>
          <w:spacing w:val="15"/>
          <w:lang w:val="en-US"/>
        </w:rPr>
        <w:t xml:space="preserve">Press, </w:t>
      </w:r>
    </w:p>
    <w:p w14:paraId="326C961E"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 xml:space="preserve">xii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258EB9C3"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 xml:space="preserve">Stephen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 xml:space="preserve">Evolution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 xml:space="preserve">University  </w:t>
      </w:r>
      <w:r w:rsidRPr="009763D2">
        <w:rPr>
          <w:rFonts w:asciiTheme="majorHAnsi" w:eastAsia="Times New Roman" w:hAnsiTheme="majorHAnsi" w:cs="Times New Roman"/>
          <w:color w:val="000000" w:themeColor="text1"/>
          <w:spacing w:val="15"/>
          <w:lang w:val="en-US"/>
        </w:rPr>
        <w:t xml:space="preserve">Press, </w:t>
      </w:r>
    </w:p>
    <w:p w14:paraId="6F793BB0"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 xml:space="preserve">xii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4BEB7826" w14:textId="132FD3E2" w:rsidR="000C2B71" w:rsidRDefault="00FA3539" w:rsidP="00FB3A08">
      <w:pPr>
        <w:ind w:left="567" w:hanging="567"/>
        <w:contextualSpacing/>
        <w:jc w:val="both"/>
        <w:rPr>
          <w:rFonts w:asciiTheme="majorHAnsi" w:hAnsiTheme="majorHAnsi" w:cs="Times New Roman"/>
          <w:color w:val="000000" w:themeColor="text1"/>
        </w:rPr>
      </w:pPr>
      <w:r w:rsidRPr="009763D2">
        <w:rPr>
          <w:rFonts w:asciiTheme="majorHAnsi" w:hAnsiTheme="majorHAnsi" w:cs="Times New Roman"/>
          <w:color w:val="000000" w:themeColor="text1"/>
        </w:rPr>
        <w:t xml:space="preserve">Stearns, S. C. (1992). </w:t>
      </w:r>
      <w:r w:rsidRPr="009763D2">
        <w:rPr>
          <w:rFonts w:asciiTheme="majorHAnsi" w:hAnsiTheme="majorHAnsi" w:cs="Times New Roman"/>
          <w:i/>
          <w:color w:val="000000" w:themeColor="text1"/>
        </w:rPr>
        <w:t>The Evolution of Life Histories</w:t>
      </w:r>
      <w:r w:rsidRPr="009763D2">
        <w:rPr>
          <w:rFonts w:asciiTheme="majorHAnsi" w:hAnsiTheme="majorHAnsi" w:cs="Times New Roman"/>
          <w:color w:val="000000" w:themeColor="text1"/>
        </w:rPr>
        <w:t>. Oxford University Press</w:t>
      </w:r>
      <w:r w:rsidR="00EB5BD7" w:rsidRPr="009763D2">
        <w:rPr>
          <w:rFonts w:asciiTheme="majorHAnsi" w:hAnsiTheme="majorHAnsi" w:cs="Times New Roman"/>
          <w:color w:val="000000" w:themeColor="text1"/>
        </w:rPr>
        <w:t>, London, UK.</w:t>
      </w:r>
    </w:p>
    <w:p w14:paraId="323DB1D7" w14:textId="77777777" w:rsidR="005C4819" w:rsidRDefault="005C4819" w:rsidP="00FB3A08">
      <w:pPr>
        <w:ind w:left="567" w:hanging="567"/>
        <w:contextualSpacing/>
        <w:jc w:val="both"/>
        <w:rPr>
          <w:rFonts w:asciiTheme="majorHAnsi" w:hAnsiTheme="majorHAnsi" w:cs="Times New Roman"/>
          <w:color w:val="000000" w:themeColor="text1"/>
        </w:rPr>
      </w:pPr>
    </w:p>
    <w:p w14:paraId="13B60EED" w14:textId="77777777" w:rsidR="00857AA0" w:rsidRDefault="00857AA0" w:rsidP="00FB3A08">
      <w:pPr>
        <w:ind w:left="567" w:hanging="567"/>
        <w:contextualSpacing/>
        <w:jc w:val="both"/>
        <w:rPr>
          <w:rFonts w:asciiTheme="majorHAnsi" w:hAnsiTheme="majorHAnsi" w:cs="Times New Roman"/>
          <w:color w:val="000000" w:themeColor="text1"/>
        </w:rPr>
      </w:pPr>
    </w:p>
    <w:p w14:paraId="03DC4818" w14:textId="77777777" w:rsidR="005C4819" w:rsidRPr="00391C50" w:rsidRDefault="005C4819" w:rsidP="00FB3A08">
      <w:pPr>
        <w:ind w:left="567" w:hanging="567"/>
        <w:contextualSpacing/>
        <w:jc w:val="both"/>
        <w:rPr>
          <w:rFonts w:asciiTheme="majorHAnsi" w:hAnsiTheme="majorHAnsi" w:cs="Times New Roman"/>
          <w:color w:val="000000" w:themeColor="text1"/>
        </w:rPr>
      </w:pPr>
    </w:p>
    <w:p w14:paraId="101C33F2" w14:textId="77777777" w:rsidR="00DF0315" w:rsidRDefault="00DF0315" w:rsidP="00DF0315">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Abrams P. 1984. Variability in resource con- sumption rates and the coexistence of com- peting species. </w:t>
      </w:r>
      <w:r>
        <w:rPr>
          <w:rFonts w:ascii="Times" w:hAnsi="Times" w:cs="Times"/>
          <w:i/>
          <w:iCs/>
          <w:lang w:val="en-US"/>
        </w:rPr>
        <w:t xml:space="preserve">Theor. Popul. Biol. </w:t>
      </w:r>
      <w:r>
        <w:rPr>
          <w:rFonts w:ascii="Times" w:hAnsi="Times" w:cs="Times"/>
          <w:lang w:val="en-US"/>
        </w:rPr>
        <w:t xml:space="preserve">25:106– 24 </w:t>
      </w:r>
      <w:r>
        <w:rPr>
          <w:rFonts w:ascii="MS Mincho" w:eastAsia="MS Mincho" w:hAnsi="MS Mincho" w:cs="MS Mincho"/>
          <w:lang w:val="en-US"/>
        </w:rPr>
        <w:t> </w:t>
      </w:r>
    </w:p>
    <w:p w14:paraId="6D7A7230" w14:textId="0DCBD8BC" w:rsidR="001758F8" w:rsidRDefault="001758F8" w:rsidP="001758F8">
      <w:pPr>
        <w:widowControl w:val="0"/>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Adler FR. 1990. Coexistence of two types on a single resource in discrete time. </w:t>
      </w:r>
      <w:r>
        <w:rPr>
          <w:rFonts w:ascii="Times" w:hAnsi="Times" w:cs="Times"/>
          <w:i/>
          <w:iCs/>
          <w:lang w:val="en-US"/>
        </w:rPr>
        <w:t xml:space="preserve">J. Math. Biol. </w:t>
      </w:r>
      <w:r>
        <w:rPr>
          <w:rFonts w:ascii="Times" w:hAnsi="Times" w:cs="Times"/>
          <w:lang w:val="en-US"/>
        </w:rPr>
        <w:t>28:695–713</w:t>
      </w:r>
      <w:r>
        <w:rPr>
          <w:rFonts w:ascii="MS Mincho" w:eastAsia="MS Mincho" w:hAnsi="MS Mincho" w:cs="MS Mincho"/>
          <w:lang w:val="en-US"/>
        </w:rPr>
        <w:t> </w:t>
      </w:r>
    </w:p>
    <w:p w14:paraId="178C9F3A" w14:textId="0237415A" w:rsidR="001758F8" w:rsidRDefault="001758F8" w:rsidP="001758F8">
      <w:pPr>
        <w:widowControl w:val="0"/>
        <w:autoSpaceDE w:val="0"/>
        <w:autoSpaceDN w:val="0"/>
        <w:adjustRightInd w:val="0"/>
        <w:spacing w:after="240" w:line="280" w:lineRule="atLeast"/>
        <w:rPr>
          <w:rFonts w:ascii="Times" w:hAnsi="Times" w:cs="Times"/>
          <w:lang w:val="en-US"/>
        </w:rPr>
      </w:pPr>
      <w:r>
        <w:rPr>
          <w:rFonts w:ascii="Times" w:hAnsi="Times" w:cs="Times"/>
          <w:lang w:val="en-US"/>
        </w:rPr>
        <w:t>Armst</w:t>
      </w:r>
      <w:r w:rsidR="002E4585">
        <w:rPr>
          <w:rFonts w:ascii="Times" w:hAnsi="Times" w:cs="Times"/>
          <w:lang w:val="en-US"/>
        </w:rPr>
        <w:t>rong RA, McGehee R. 1976. Coex</w:t>
      </w:r>
      <w:r>
        <w:rPr>
          <w:rFonts w:ascii="Times" w:hAnsi="Times" w:cs="Times"/>
          <w:lang w:val="en-US"/>
        </w:rPr>
        <w:t xml:space="preserve">istence of species competing for shared re- sources. </w:t>
      </w:r>
      <w:r>
        <w:rPr>
          <w:rFonts w:ascii="Times" w:hAnsi="Times" w:cs="Times"/>
          <w:i/>
          <w:iCs/>
          <w:lang w:val="en-US"/>
        </w:rPr>
        <w:t xml:space="preserve">Theor. Popul. Biol. </w:t>
      </w:r>
      <w:r>
        <w:rPr>
          <w:rFonts w:ascii="Times" w:hAnsi="Times" w:cs="Times"/>
          <w:lang w:val="en-US"/>
        </w:rPr>
        <w:t xml:space="preserve">9:317–28 </w:t>
      </w:r>
    </w:p>
    <w:p w14:paraId="08C52B72" w14:textId="770A1CC1" w:rsidR="001758F8" w:rsidRDefault="001758F8" w:rsidP="001758F8">
      <w:pPr>
        <w:widowControl w:val="0"/>
        <w:autoSpaceDE w:val="0"/>
        <w:autoSpaceDN w:val="0"/>
        <w:adjustRightInd w:val="0"/>
        <w:spacing w:after="240" w:line="280" w:lineRule="atLeast"/>
        <w:rPr>
          <w:rFonts w:ascii="Times" w:hAnsi="Times" w:cs="Times"/>
          <w:lang w:val="en-US"/>
        </w:rPr>
      </w:pPr>
      <w:r>
        <w:rPr>
          <w:rFonts w:ascii="Times" w:hAnsi="Times" w:cs="Times"/>
          <w:lang w:val="en-US"/>
        </w:rPr>
        <w:t>Arms</w:t>
      </w:r>
      <w:r w:rsidR="002E4585">
        <w:rPr>
          <w:rFonts w:ascii="Times" w:hAnsi="Times" w:cs="Times"/>
          <w:lang w:val="en-US"/>
        </w:rPr>
        <w:t>trong RA, McGehee R. 1980. Com</w:t>
      </w:r>
      <w:r>
        <w:rPr>
          <w:rFonts w:ascii="Times" w:hAnsi="Times" w:cs="Times"/>
          <w:lang w:val="en-US"/>
        </w:rPr>
        <w:t xml:space="preserve">petitive exclusion. </w:t>
      </w:r>
      <w:r>
        <w:rPr>
          <w:rFonts w:ascii="Times" w:hAnsi="Times" w:cs="Times"/>
          <w:i/>
          <w:iCs/>
          <w:lang w:val="en-US"/>
        </w:rPr>
        <w:t xml:space="preserve">Am. Nat. </w:t>
      </w:r>
      <w:r>
        <w:rPr>
          <w:rFonts w:ascii="Times" w:hAnsi="Times" w:cs="Times"/>
          <w:lang w:val="en-US"/>
        </w:rPr>
        <w:t xml:space="preserve">115:151–70 </w:t>
      </w:r>
    </w:p>
    <w:p w14:paraId="71A13CE7" w14:textId="77777777" w:rsidR="008E63BB" w:rsidRDefault="008E63BB" w:rsidP="008E63BB">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Brown JS. 1989. Coexistence on a seasonal resource. </w:t>
      </w:r>
      <w:r>
        <w:rPr>
          <w:rFonts w:ascii="Times" w:hAnsi="Times" w:cs="Times"/>
          <w:i/>
          <w:iCs/>
          <w:lang w:val="en-US"/>
        </w:rPr>
        <w:t xml:space="preserve">Am. Nat. </w:t>
      </w:r>
      <w:r>
        <w:rPr>
          <w:rFonts w:ascii="Times" w:hAnsi="Times" w:cs="Times"/>
          <w:lang w:val="en-US"/>
        </w:rPr>
        <w:t xml:space="preserve">133:168–82 </w:t>
      </w:r>
      <w:r>
        <w:rPr>
          <w:rFonts w:ascii="MS Mincho" w:eastAsia="MS Mincho" w:hAnsi="MS Mincho" w:cs="MS Mincho"/>
          <w:lang w:val="en-US"/>
        </w:rPr>
        <w:t> </w:t>
      </w:r>
    </w:p>
    <w:p w14:paraId="51AA5A4F" w14:textId="77777777" w:rsidR="008E63BB" w:rsidRDefault="008E63BB" w:rsidP="008E63BB">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Brown JS. 1989. Desert rodent community structure: a test of four mechanisms of co- existence. </w:t>
      </w:r>
      <w:r>
        <w:rPr>
          <w:rFonts w:ascii="Times" w:hAnsi="Times" w:cs="Times"/>
          <w:i/>
          <w:iCs/>
          <w:lang w:val="en-US"/>
        </w:rPr>
        <w:t xml:space="preserve">Ecol. Monogr. </w:t>
      </w:r>
      <w:r>
        <w:rPr>
          <w:rFonts w:ascii="Times" w:hAnsi="Times" w:cs="Times"/>
          <w:lang w:val="en-US"/>
        </w:rPr>
        <w:t xml:space="preserve">59:1–20 </w:t>
      </w:r>
      <w:r>
        <w:rPr>
          <w:rFonts w:ascii="MS Mincho" w:eastAsia="MS Mincho" w:hAnsi="MS Mincho" w:cs="MS Mincho"/>
          <w:lang w:val="en-US"/>
        </w:rPr>
        <w:t> </w:t>
      </w:r>
    </w:p>
    <w:p w14:paraId="33B96865" w14:textId="77777777" w:rsidR="00AE1859" w:rsidRDefault="00AE1859" w:rsidP="00AE1859">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Chesson P. 1994. Multispecies competition in variable environments. </w:t>
      </w:r>
      <w:r>
        <w:rPr>
          <w:rFonts w:ascii="Times" w:hAnsi="Times" w:cs="Times"/>
          <w:i/>
          <w:iCs/>
          <w:lang w:val="en-US"/>
        </w:rPr>
        <w:t xml:space="preserve">Theor. Popul. Biol. </w:t>
      </w:r>
      <w:r>
        <w:rPr>
          <w:rFonts w:ascii="Times" w:hAnsi="Times" w:cs="Times"/>
          <w:lang w:val="en-US"/>
        </w:rPr>
        <w:t xml:space="preserve">45:227–76 </w:t>
      </w:r>
      <w:r>
        <w:rPr>
          <w:rFonts w:ascii="MS Mincho" w:eastAsia="MS Mincho" w:hAnsi="MS Mincho" w:cs="MS Mincho"/>
          <w:lang w:val="en-US"/>
        </w:rPr>
        <w:t> </w:t>
      </w:r>
    </w:p>
    <w:p w14:paraId="7629BCEA" w14:textId="7D08F7B5" w:rsidR="00AE1859" w:rsidRDefault="00AE1859" w:rsidP="00AE1859">
      <w:pPr>
        <w:widowControl w:val="0"/>
        <w:autoSpaceDE w:val="0"/>
        <w:autoSpaceDN w:val="0"/>
        <w:adjustRightInd w:val="0"/>
        <w:spacing w:after="240" w:line="280" w:lineRule="atLeast"/>
        <w:rPr>
          <w:rFonts w:ascii="Times" w:hAnsi="Times" w:cs="Times"/>
          <w:lang w:val="en-US"/>
        </w:rPr>
      </w:pPr>
      <w:r>
        <w:rPr>
          <w:rFonts w:ascii="Times" w:hAnsi="Times" w:cs="Times"/>
          <w:lang w:val="en-US"/>
        </w:rPr>
        <w:t>Chesson P, Huntly N. 1997. The roles of harsh and fl</w:t>
      </w:r>
      <w:r w:rsidR="00A9211D">
        <w:rPr>
          <w:rFonts w:ascii="Times" w:hAnsi="Times" w:cs="Times"/>
          <w:lang w:val="en-US"/>
        </w:rPr>
        <w:t>uctuating conditions in the dy</w:t>
      </w:r>
      <w:r>
        <w:rPr>
          <w:rFonts w:ascii="Times" w:hAnsi="Times" w:cs="Times"/>
          <w:lang w:val="en-US"/>
        </w:rPr>
        <w:t xml:space="preserve">namics of ecological communities. </w:t>
      </w:r>
      <w:r>
        <w:rPr>
          <w:rFonts w:ascii="Times" w:hAnsi="Times" w:cs="Times"/>
          <w:i/>
          <w:iCs/>
          <w:lang w:val="en-US"/>
        </w:rPr>
        <w:t xml:space="preserve">Am. Nat. </w:t>
      </w:r>
      <w:r>
        <w:rPr>
          <w:rFonts w:ascii="Times" w:hAnsi="Times" w:cs="Times"/>
          <w:lang w:val="en-US"/>
        </w:rPr>
        <w:t xml:space="preserve">150:519–53 </w:t>
      </w:r>
    </w:p>
    <w:p w14:paraId="3A07021F" w14:textId="6FEE1527" w:rsidR="00AE1859" w:rsidRDefault="00AE1859" w:rsidP="00AE1859">
      <w:pPr>
        <w:widowControl w:val="0"/>
        <w:autoSpaceDE w:val="0"/>
        <w:autoSpaceDN w:val="0"/>
        <w:adjustRightInd w:val="0"/>
        <w:spacing w:after="240" w:line="280" w:lineRule="atLeast"/>
        <w:rPr>
          <w:rFonts w:ascii="Times" w:hAnsi="Times" w:cs="Times"/>
          <w:lang w:val="en-US"/>
        </w:rPr>
      </w:pPr>
      <w:r>
        <w:rPr>
          <w:rFonts w:ascii="Times" w:hAnsi="Times" w:cs="Times"/>
          <w:lang w:val="en-US"/>
        </w:rPr>
        <w:t>Chesson P, Huntly N. 1993. Temporal hierarchi</w:t>
      </w:r>
      <w:r w:rsidR="00D372F5">
        <w:rPr>
          <w:rFonts w:ascii="Times" w:hAnsi="Times" w:cs="Times"/>
          <w:lang w:val="en-US"/>
        </w:rPr>
        <w:t>es of variation and the mainte</w:t>
      </w:r>
      <w:r>
        <w:rPr>
          <w:rFonts w:ascii="Times" w:hAnsi="Times" w:cs="Times"/>
          <w:lang w:val="en-US"/>
        </w:rPr>
        <w:t xml:space="preserve">nance of diversity. </w:t>
      </w:r>
      <w:r>
        <w:rPr>
          <w:rFonts w:ascii="Times" w:hAnsi="Times" w:cs="Times"/>
          <w:i/>
          <w:iCs/>
          <w:lang w:val="en-US"/>
        </w:rPr>
        <w:t xml:space="preserve">Plant Species Biol. </w:t>
      </w:r>
      <w:r>
        <w:rPr>
          <w:rFonts w:ascii="Times" w:hAnsi="Times" w:cs="Times"/>
          <w:lang w:val="en-US"/>
        </w:rPr>
        <w:t xml:space="preserve">8:195–206 </w:t>
      </w:r>
    </w:p>
    <w:p w14:paraId="6A0CD0B7" w14:textId="75623B4B" w:rsidR="00A529DE" w:rsidRDefault="00A529DE" w:rsidP="00A529DE">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r>
        <w:rPr>
          <w:rFonts w:ascii="Times" w:hAnsi="Times" w:cs="Times"/>
          <w:lang w:val="en-US"/>
        </w:rPr>
        <w:lastRenderedPageBreak/>
        <w:t>Ellner S. 1986. Alternate plant life his</w:t>
      </w:r>
      <w:r>
        <w:rPr>
          <w:rFonts w:ascii="Times" w:hAnsi="Times" w:cs="Times"/>
          <w:lang w:val="en-US"/>
        </w:rPr>
        <w:t xml:space="preserve">tory strategies and coexistence in randomly varying environments. </w:t>
      </w:r>
      <w:r w:rsidRPr="00A529DE">
        <w:rPr>
          <w:rFonts w:ascii="Times" w:hAnsi="Times" w:cs="Times"/>
          <w:i/>
          <w:lang w:val="en-US"/>
        </w:rPr>
        <w:t>Vegetatio</w:t>
      </w:r>
      <w:r>
        <w:rPr>
          <w:rFonts w:ascii="Times" w:hAnsi="Times" w:cs="Times"/>
          <w:lang w:val="en-US"/>
        </w:rPr>
        <w:t xml:space="preserve"> 69:199-208.</w:t>
      </w:r>
      <w:r>
        <w:rPr>
          <w:rFonts w:ascii="Times" w:hAnsi="Times" w:cs="Times"/>
          <w:lang w:val="en-US"/>
        </w:rPr>
        <w:t xml:space="preserve"> </w:t>
      </w:r>
      <w:r>
        <w:rPr>
          <w:rFonts w:ascii="MS Mincho" w:eastAsia="MS Mincho" w:hAnsi="MS Mincho" w:cs="MS Mincho"/>
          <w:lang w:val="en-US"/>
        </w:rPr>
        <w:t> </w:t>
      </w:r>
    </w:p>
    <w:p w14:paraId="6AF3E8B9" w14:textId="3D097F8B" w:rsidR="00021776" w:rsidRDefault="00021776" w:rsidP="00021776">
      <w:pPr>
        <w:widowControl w:val="0"/>
        <w:autoSpaceDE w:val="0"/>
        <w:autoSpaceDN w:val="0"/>
        <w:adjustRightInd w:val="0"/>
        <w:spacing w:after="240" w:line="280" w:lineRule="atLeast"/>
        <w:rPr>
          <w:rFonts w:ascii="Times" w:hAnsi="Times" w:cs="Times"/>
          <w:lang w:val="en-US"/>
        </w:rPr>
      </w:pPr>
      <w:r>
        <w:rPr>
          <w:rFonts w:ascii="Times" w:hAnsi="Times" w:cs="Times"/>
          <w:lang w:val="en-US"/>
        </w:rPr>
        <w:t xml:space="preserve">Huisman </w:t>
      </w:r>
      <w:r w:rsidR="00F37518">
        <w:rPr>
          <w:rFonts w:ascii="Times" w:hAnsi="Times" w:cs="Times"/>
          <w:lang w:val="en-US"/>
        </w:rPr>
        <w:t>J, Weissing FJ. 1999. Biodiver</w:t>
      </w:r>
      <w:r>
        <w:rPr>
          <w:rFonts w:ascii="Times" w:hAnsi="Times" w:cs="Times"/>
          <w:lang w:val="en-US"/>
        </w:rPr>
        <w:t xml:space="preserve">sity of plankton by species oscillations and chaos. </w:t>
      </w:r>
      <w:r>
        <w:rPr>
          <w:rFonts w:ascii="Times" w:hAnsi="Times" w:cs="Times"/>
          <w:i/>
          <w:iCs/>
          <w:lang w:val="en-US"/>
        </w:rPr>
        <w:t xml:space="preserve">Nature </w:t>
      </w:r>
      <w:r>
        <w:rPr>
          <w:rFonts w:ascii="Times" w:hAnsi="Times" w:cs="Times"/>
          <w:lang w:val="en-US"/>
        </w:rPr>
        <w:t xml:space="preserve">402:407–10 </w:t>
      </w:r>
    </w:p>
    <w:p w14:paraId="7916AD4C" w14:textId="77777777" w:rsidR="00E222DF" w:rsidRDefault="00C22A5D" w:rsidP="00C22A5D">
      <w:pPr>
        <w:widowControl w:val="0"/>
        <w:autoSpaceDE w:val="0"/>
        <w:autoSpaceDN w:val="0"/>
        <w:adjustRightInd w:val="0"/>
        <w:spacing w:after="240" w:line="280" w:lineRule="atLeast"/>
        <w:rPr>
          <w:rFonts w:ascii="Times" w:hAnsi="Times" w:cs="Times"/>
          <w:lang w:val="en-US"/>
        </w:rPr>
      </w:pPr>
      <w:r>
        <w:rPr>
          <w:rFonts w:ascii="Times" w:hAnsi="Times" w:cs="Times"/>
          <w:lang w:val="en-US"/>
        </w:rPr>
        <w:t xml:space="preserve">Levins R. 1979. Coexistence in a variable environment. </w:t>
      </w:r>
      <w:r>
        <w:rPr>
          <w:rFonts w:ascii="Times" w:hAnsi="Times" w:cs="Times"/>
          <w:i/>
          <w:iCs/>
          <w:lang w:val="en-US"/>
        </w:rPr>
        <w:t xml:space="preserve">Am. Nat. </w:t>
      </w:r>
      <w:r>
        <w:rPr>
          <w:rFonts w:ascii="Times" w:hAnsi="Times" w:cs="Times"/>
          <w:lang w:val="en-US"/>
        </w:rPr>
        <w:t>114:765–83</w:t>
      </w:r>
    </w:p>
    <w:p w14:paraId="48EA077C" w14:textId="57117184" w:rsidR="00AF44B0" w:rsidRDefault="00AF44B0" w:rsidP="00AF44B0">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Leon JA, Tumpson DB. 1975. Competition</w:t>
      </w:r>
      <w:r>
        <w:rPr>
          <w:rFonts w:ascii="Times" w:hAnsi="Times" w:cs="Times"/>
          <w:lang w:val="en-US"/>
        </w:rPr>
        <w:t xml:space="preserve"> </w:t>
      </w:r>
      <w:r>
        <w:rPr>
          <w:rFonts w:ascii="Times" w:hAnsi="Times" w:cs="Times"/>
          <w:lang w:val="en-US"/>
        </w:rPr>
        <w:t xml:space="preserve">between two species for two complimentary or substitutable resources. </w:t>
      </w:r>
      <w:r>
        <w:rPr>
          <w:rFonts w:ascii="Times" w:hAnsi="Times" w:cs="Times"/>
          <w:i/>
          <w:iCs/>
          <w:lang w:val="en-US"/>
        </w:rPr>
        <w:t xml:space="preserve">J. Theor. Biol. </w:t>
      </w:r>
      <w:r>
        <w:rPr>
          <w:rFonts w:ascii="Times" w:hAnsi="Times" w:cs="Times"/>
          <w:lang w:val="en-US"/>
        </w:rPr>
        <w:t>50:185–201</w:t>
      </w:r>
    </w:p>
    <w:p w14:paraId="3FE60D77" w14:textId="4D07782B" w:rsidR="00B665E8" w:rsidRDefault="00B665E8" w:rsidP="00B665E8">
      <w:pPr>
        <w:widowControl w:val="0"/>
        <w:autoSpaceDE w:val="0"/>
        <w:autoSpaceDN w:val="0"/>
        <w:adjustRightInd w:val="0"/>
        <w:spacing w:after="240" w:line="280" w:lineRule="atLeast"/>
        <w:rPr>
          <w:rFonts w:ascii="Times" w:hAnsi="Times" w:cs="Times"/>
          <w:lang w:val="en-US"/>
        </w:rPr>
      </w:pPr>
      <w:r>
        <w:rPr>
          <w:rFonts w:ascii="Times" w:hAnsi="Times" w:cs="Times"/>
          <w:lang w:val="en-US"/>
        </w:rPr>
        <w:t xml:space="preserve">Loreau M. 1992. Time scale of resource dynamics, and coexistence through time partitioning. </w:t>
      </w:r>
      <w:r>
        <w:rPr>
          <w:rFonts w:ascii="Times" w:hAnsi="Times" w:cs="Times"/>
          <w:i/>
          <w:iCs/>
          <w:lang w:val="en-US"/>
        </w:rPr>
        <w:t xml:space="preserve">Theor. Popul. Biol. </w:t>
      </w:r>
      <w:r>
        <w:rPr>
          <w:rFonts w:ascii="Times" w:hAnsi="Times" w:cs="Times"/>
          <w:lang w:val="en-US"/>
        </w:rPr>
        <w:t>41:401–12</w:t>
      </w:r>
      <w:r>
        <w:rPr>
          <w:rFonts w:ascii="Times" w:hAnsi="Times" w:cs="Times"/>
          <w:lang w:val="en-US"/>
        </w:rPr>
        <w:t xml:space="preserve"> </w:t>
      </w:r>
    </w:p>
    <w:p w14:paraId="42FCD5AA" w14:textId="1F82D3E8" w:rsidR="00340C9B" w:rsidRDefault="00340C9B" w:rsidP="00340C9B">
      <w:pPr>
        <w:widowControl w:val="0"/>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Smith HL. 1981. Competitive coexistence in an oscillating chemostat. </w:t>
      </w:r>
      <w:r>
        <w:rPr>
          <w:rFonts w:ascii="Times" w:hAnsi="Times" w:cs="Times"/>
          <w:i/>
          <w:iCs/>
          <w:lang w:val="en-US"/>
        </w:rPr>
        <w:t xml:space="preserve">SIAM J. Appl. Math. </w:t>
      </w:r>
      <w:r>
        <w:rPr>
          <w:rFonts w:ascii="Times" w:hAnsi="Times" w:cs="Times"/>
          <w:lang w:val="en-US"/>
        </w:rPr>
        <w:t>40:498–522</w:t>
      </w:r>
      <w:r>
        <w:rPr>
          <w:rFonts w:ascii="MS Mincho" w:eastAsia="MS Mincho" w:hAnsi="MS Mincho" w:cs="MS Mincho"/>
          <w:lang w:val="en-US"/>
        </w:rPr>
        <w:t> </w:t>
      </w:r>
    </w:p>
    <w:p w14:paraId="424B0D66" w14:textId="32F1AE3A" w:rsidR="00BA01C2" w:rsidRDefault="00BA01C2" w:rsidP="00BA01C2">
      <w:pPr>
        <w:widowControl w:val="0"/>
        <w:autoSpaceDE w:val="0"/>
        <w:autoSpaceDN w:val="0"/>
        <w:adjustRightInd w:val="0"/>
        <w:spacing w:after="240" w:line="280" w:lineRule="atLeast"/>
        <w:rPr>
          <w:rFonts w:ascii="Times" w:hAnsi="Times" w:cs="Times"/>
          <w:lang w:val="en-US"/>
        </w:rPr>
      </w:pPr>
      <w:r>
        <w:rPr>
          <w:rFonts w:ascii="Times" w:hAnsi="Times" w:cs="Times"/>
          <w:lang w:val="en-US"/>
        </w:rPr>
        <w:t xml:space="preserve">Tilman D. 1982. </w:t>
      </w:r>
      <w:r>
        <w:rPr>
          <w:rFonts w:ascii="Times" w:hAnsi="Times" w:cs="Times"/>
          <w:i/>
          <w:iCs/>
          <w:lang w:val="en-US"/>
        </w:rPr>
        <w:t xml:space="preserve">Resource Competition and Community Structure. </w:t>
      </w:r>
      <w:r>
        <w:rPr>
          <w:rFonts w:ascii="Times" w:hAnsi="Times" w:cs="Times"/>
          <w:lang w:val="en-US"/>
        </w:rPr>
        <w:t>Princeton, NJ: Princeton Univ. Press. 296 pp.</w:t>
      </w:r>
      <w:r>
        <w:rPr>
          <w:rFonts w:ascii="MS Mincho" w:eastAsia="MS Mincho" w:hAnsi="MS Mincho" w:cs="MS Mincho"/>
          <w:lang w:val="en-US"/>
        </w:rPr>
        <w:t> </w:t>
      </w:r>
    </w:p>
    <w:p w14:paraId="2CC5D9BF" w14:textId="77777777" w:rsidR="00BA01C2" w:rsidRDefault="00BA01C2" w:rsidP="00340C9B">
      <w:pPr>
        <w:widowControl w:val="0"/>
        <w:autoSpaceDE w:val="0"/>
        <w:autoSpaceDN w:val="0"/>
        <w:adjustRightInd w:val="0"/>
        <w:spacing w:after="240" w:line="280" w:lineRule="atLeast"/>
        <w:rPr>
          <w:rFonts w:ascii="Times" w:hAnsi="Times" w:cs="Times"/>
          <w:lang w:val="en-US"/>
        </w:rPr>
      </w:pPr>
    </w:p>
    <w:p w14:paraId="51F52395" w14:textId="77777777" w:rsidR="00B665E8" w:rsidRDefault="00B665E8" w:rsidP="00AF44B0">
      <w:pPr>
        <w:widowControl w:val="0"/>
        <w:tabs>
          <w:tab w:val="left" w:pos="220"/>
          <w:tab w:val="left" w:pos="720"/>
        </w:tabs>
        <w:autoSpaceDE w:val="0"/>
        <w:autoSpaceDN w:val="0"/>
        <w:adjustRightInd w:val="0"/>
        <w:spacing w:after="240" w:line="280" w:lineRule="atLeast"/>
        <w:rPr>
          <w:rFonts w:ascii="Times" w:hAnsi="Times" w:cs="Times"/>
          <w:lang w:val="en-US"/>
        </w:rPr>
      </w:pPr>
    </w:p>
    <w:p w14:paraId="132988FA" w14:textId="22C1661F" w:rsidR="00994B99" w:rsidRPr="00913201" w:rsidRDefault="00994B99" w:rsidP="00913201">
      <w:pPr>
        <w:widowControl w:val="0"/>
        <w:autoSpaceDE w:val="0"/>
        <w:autoSpaceDN w:val="0"/>
        <w:adjustRightInd w:val="0"/>
        <w:spacing w:after="240" w:line="280" w:lineRule="atLeast"/>
        <w:rPr>
          <w:rFonts w:ascii="Times" w:hAnsi="Times" w:cs="Times"/>
          <w:lang w:val="en-US"/>
        </w:rPr>
      </w:pPr>
    </w:p>
    <w:p w14:paraId="76A9F189" w14:textId="3BB6EB7D" w:rsidR="00272690" w:rsidRPr="00272690" w:rsidRDefault="00117284"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980F59">
        <w:rPr>
          <w:rFonts w:asciiTheme="majorHAnsi" w:eastAsia="Arial Unicode MS" w:hAnsiTheme="majorHAnsi" w:cs="Arial Unicode MS"/>
          <w:color w:val="000000"/>
          <w:lang w:val="en-US"/>
        </w:rPr>
        <w:fldChar w:fldCharType="begin" w:fldLock="1"/>
      </w:r>
      <w:r w:rsidRPr="00980F59">
        <w:rPr>
          <w:rFonts w:asciiTheme="majorHAnsi" w:eastAsia="Arial Unicode MS" w:hAnsiTheme="majorHAnsi" w:cs="Arial Unicode MS"/>
          <w:color w:val="000000"/>
          <w:lang w:val="en-US"/>
        </w:rPr>
        <w:instrText xml:space="preserve">ADDIN Mendeley Bibliography CSL_BIBLIOGRAPHY </w:instrText>
      </w:r>
      <w:r w:rsidRPr="00980F59">
        <w:rPr>
          <w:rFonts w:asciiTheme="majorHAnsi" w:eastAsia="Arial Unicode MS" w:hAnsiTheme="majorHAnsi" w:cs="Arial Unicode MS"/>
          <w:color w:val="000000"/>
          <w:lang w:val="en-US"/>
        </w:rPr>
        <w:fldChar w:fldCharType="separate"/>
      </w:r>
      <w:r w:rsidR="00272690" w:rsidRPr="00272690">
        <w:rPr>
          <w:rFonts w:ascii="Calibri Light" w:eastAsia="Times New Roman" w:hAnsi="Calibri Light" w:cs="Times New Roman"/>
          <w:noProof/>
        </w:rPr>
        <w:t xml:space="preserve">Abrams, P. A. (2005). “Adaptive Dynamics” vs. “adaptive dynamics”. </w:t>
      </w:r>
      <w:r w:rsidR="00272690" w:rsidRPr="00272690">
        <w:rPr>
          <w:rFonts w:ascii="Calibri Light" w:eastAsia="Times New Roman" w:hAnsi="Calibri Light" w:cs="Times New Roman"/>
          <w:i/>
          <w:iCs/>
          <w:noProof/>
        </w:rPr>
        <w:t>Journal of Evolutionary Biology</w:t>
      </w:r>
      <w:r w:rsidR="00272690" w:rsidRPr="00272690">
        <w:rPr>
          <w:rFonts w:ascii="Calibri Light" w:eastAsia="Times New Roman" w:hAnsi="Calibri Light" w:cs="Times New Roman"/>
          <w:noProof/>
        </w:rPr>
        <w:t xml:space="preserve">, </w:t>
      </w:r>
      <w:r w:rsidR="00272690" w:rsidRPr="00272690">
        <w:rPr>
          <w:rFonts w:ascii="Calibri Light" w:eastAsia="Times New Roman" w:hAnsi="Calibri Light" w:cs="Times New Roman"/>
          <w:i/>
          <w:iCs/>
          <w:noProof/>
        </w:rPr>
        <w:t>18</w:t>
      </w:r>
      <w:r w:rsidR="00272690" w:rsidRPr="00272690">
        <w:rPr>
          <w:rFonts w:ascii="Calibri Light" w:eastAsia="Times New Roman" w:hAnsi="Calibri Light" w:cs="Times New Roman"/>
          <w:noProof/>
        </w:rPr>
        <w:t>(5), 1162–1165. http://doi.org/10.1111/j.1420-9101.2004.00843.x</w:t>
      </w:r>
    </w:p>
    <w:p w14:paraId="70A4056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Adler, P. B., HilleRislambers, J., &amp; Levine, J. M. (2007). A niche for neutrality.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w:t>
      </w:r>
      <w:r w:rsidRPr="00272690">
        <w:rPr>
          <w:rFonts w:ascii="Calibri Light" w:eastAsia="Times New Roman" w:hAnsi="Calibri Light" w:cs="Times New Roman"/>
          <w:noProof/>
        </w:rPr>
        <w:t>(2), 95–104. http://doi.org/10.1111/j.1461-0248.2006.00996.x</w:t>
      </w:r>
    </w:p>
    <w:p w14:paraId="5F6F811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Bailey, J. K., Wooley, S. C., Lindroth, R. L., &amp; Whitham, T. G. (2006). Importance of species interactions to community heritability: A genetic basis to trophic-level interactions.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w:t>
      </w:r>
      <w:r w:rsidRPr="00272690">
        <w:rPr>
          <w:rFonts w:ascii="Calibri Light" w:eastAsia="Times New Roman" w:hAnsi="Calibri Light" w:cs="Times New Roman"/>
          <w:noProof/>
        </w:rPr>
        <w:t>(1), 78–85. http://doi.org/10.1111/j.1461-0248.2005.00844.x</w:t>
      </w:r>
    </w:p>
    <w:p w14:paraId="53B8B01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Bassar, R. D., López-Sepulcre, A., Walsh, M. R., Turcotte, M. M., Torres-Mejia, M., &amp; Reznick, D. N. (2010). Bridging the gap between ecology and evolution: integrating density regulation and life-history evolution. </w:t>
      </w:r>
      <w:r w:rsidRPr="00272690">
        <w:rPr>
          <w:rFonts w:ascii="Calibri Light" w:eastAsia="Times New Roman" w:hAnsi="Calibri Light" w:cs="Times New Roman"/>
          <w:i/>
          <w:iCs/>
          <w:noProof/>
        </w:rPr>
        <w:t>Annals of the New York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1206</w:t>
      </w:r>
      <w:r w:rsidRPr="00272690">
        <w:rPr>
          <w:rFonts w:ascii="Calibri Light" w:eastAsia="Times New Roman" w:hAnsi="Calibri Light" w:cs="Times New Roman"/>
          <w:noProof/>
        </w:rPr>
        <w:t>, 17–34. http://doi.org/10.1111/j.1749-6632.2010.05706.x</w:t>
      </w:r>
    </w:p>
    <w:p w14:paraId="6F474C0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Benton, T. G., &amp; Grant, A. (1996). How to Keep Fit in the Real World: Elasticity Analyses and Selection Pressures on Life Histories in a Variable Environment.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147</w:t>
      </w:r>
      <w:r w:rsidRPr="00272690">
        <w:rPr>
          <w:rFonts w:ascii="Calibri Light" w:eastAsia="Times New Roman" w:hAnsi="Calibri Light" w:cs="Times New Roman"/>
          <w:noProof/>
        </w:rPr>
        <w:t>(1), 115–139.</w:t>
      </w:r>
    </w:p>
    <w:p w14:paraId="1D3D5A54"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Benton, T. G., &amp; Grant, A. (1999). Optimal Reproductive Effort in Stochastic, Density-Dependent Environments, </w:t>
      </w:r>
      <w:r w:rsidRPr="00272690">
        <w:rPr>
          <w:rFonts w:ascii="Calibri Light" w:eastAsia="Times New Roman" w:hAnsi="Calibri Light" w:cs="Times New Roman"/>
          <w:i/>
          <w:iCs/>
          <w:noProof/>
        </w:rPr>
        <w:t>53</w:t>
      </w:r>
      <w:r w:rsidRPr="00272690">
        <w:rPr>
          <w:rFonts w:ascii="Calibri Light" w:eastAsia="Times New Roman" w:hAnsi="Calibri Light" w:cs="Times New Roman"/>
          <w:noProof/>
        </w:rPr>
        <w:t>(3), 677–688.</w:t>
      </w:r>
    </w:p>
    <w:p w14:paraId="55BF06A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Bohn, K., Pavlick, R., Reu, B., &amp; Kleidon, A. (2014). The strengths of r- And K-selection shape diversity-disturbance relationships. </w:t>
      </w:r>
      <w:r w:rsidRPr="00272690">
        <w:rPr>
          <w:rFonts w:ascii="Calibri Light" w:eastAsia="Times New Roman" w:hAnsi="Calibri Light" w:cs="Times New Roman"/>
          <w:i/>
          <w:iCs/>
          <w:noProof/>
        </w:rPr>
        <w:t>PLoS ONE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w:t>
      </w:r>
      <w:r w:rsidRPr="00272690">
        <w:rPr>
          <w:rFonts w:ascii="Calibri Light" w:eastAsia="Times New Roman" w:hAnsi="Calibri Light" w:cs="Times New Roman"/>
          <w:noProof/>
        </w:rPr>
        <w:t>(4). http://doi.org/10.1371/journal.pone.0095659</w:t>
      </w:r>
    </w:p>
    <w:p w14:paraId="1C6E3E9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lastRenderedPageBreak/>
        <w:t xml:space="preserve">Bonsall, M. B., Jansen, V. a a, &amp; Hassell, M. P. (2004). Life history trade-offs assemble ecological guilds. </w:t>
      </w:r>
      <w:r w:rsidRPr="00272690">
        <w:rPr>
          <w:rFonts w:ascii="Calibri Light" w:eastAsia="Times New Roman" w:hAnsi="Calibri Light" w:cs="Times New Roman"/>
          <w:i/>
          <w:iCs/>
          <w:noProof/>
        </w:rPr>
        <w:t>Science (New York, N.Y.)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306</w:t>
      </w:r>
      <w:r w:rsidRPr="00272690">
        <w:rPr>
          <w:rFonts w:ascii="Calibri Light" w:eastAsia="Times New Roman" w:hAnsi="Calibri Light" w:cs="Times New Roman"/>
          <w:noProof/>
        </w:rPr>
        <w:t>(5693), 111–114. http://doi.org/10.1126/science.1100680</w:t>
      </w:r>
    </w:p>
    <w:p w14:paraId="4C63A9C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Bürger, R., &amp; Gimelfarb, A. (2002). Fluctuating environments and the role of mutation in maintaining quantitative genetic variation. </w:t>
      </w:r>
      <w:r w:rsidRPr="00272690">
        <w:rPr>
          <w:rFonts w:ascii="Calibri Light" w:eastAsia="Times New Roman" w:hAnsi="Calibri Light" w:cs="Times New Roman"/>
          <w:i/>
          <w:iCs/>
          <w:noProof/>
        </w:rPr>
        <w:t>Genetical research</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80</w:t>
      </w:r>
      <w:r w:rsidRPr="00272690">
        <w:rPr>
          <w:rFonts w:ascii="Calibri Light" w:eastAsia="Times New Roman" w:hAnsi="Calibri Light" w:cs="Times New Roman"/>
          <w:noProof/>
        </w:rPr>
        <w:t>(1), 31–46. http://doi.org/10.1017/S0016672302005682</w:t>
      </w:r>
    </w:p>
    <w:p w14:paraId="2675145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Cadotte, M. W. (2007). Competition-colonization trade-offs and disturbance effects at multiple scales.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88</w:t>
      </w:r>
      <w:r w:rsidRPr="00272690">
        <w:rPr>
          <w:rFonts w:ascii="Calibri Light" w:eastAsia="Times New Roman" w:hAnsi="Calibri Light" w:cs="Times New Roman"/>
          <w:noProof/>
        </w:rPr>
        <w:t>(4), 823–829. http://doi.org/10.1890/06-1117</w:t>
      </w:r>
    </w:p>
    <w:p w14:paraId="749AB17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Chesson, P. (2000). Mechanisms of Maintenance of Species Diversity. </w:t>
      </w:r>
      <w:r w:rsidRPr="00272690">
        <w:rPr>
          <w:rFonts w:ascii="Calibri Light" w:eastAsia="Times New Roman" w:hAnsi="Calibri Light" w:cs="Times New Roman"/>
          <w:i/>
          <w:iCs/>
          <w:noProof/>
        </w:rPr>
        <w:t>Annual Review of Ecology and Systematics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31</w:t>
      </w:r>
      <w:r w:rsidRPr="00272690">
        <w:rPr>
          <w:rFonts w:ascii="Calibri Light" w:eastAsia="Times New Roman" w:hAnsi="Calibri Light" w:cs="Times New Roman"/>
          <w:noProof/>
        </w:rPr>
        <w:t>, 343–366.</w:t>
      </w:r>
    </w:p>
    <w:p w14:paraId="6D96E3D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Clark, J. S. (2010). Individuals and the Variation Needed for High Species Diversity in Forest Trees.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327</w:t>
      </w:r>
      <w:r w:rsidRPr="00272690">
        <w:rPr>
          <w:rFonts w:ascii="Calibri Light" w:eastAsia="Times New Roman" w:hAnsi="Calibri Light" w:cs="Times New Roman"/>
          <w:noProof/>
        </w:rPr>
        <w:t>(5969), 1129–1132. http://doi.org/10.1126/science.1183506</w:t>
      </w:r>
    </w:p>
    <w:p w14:paraId="50B099F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Connell, J. H. (1978). Diversity in Tropical Rain Forests and Coral Reefs High diversity of trees and corals is maintained.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199</w:t>
      </w:r>
      <w:r w:rsidRPr="00272690">
        <w:rPr>
          <w:rFonts w:ascii="Calibri Light" w:eastAsia="Times New Roman" w:hAnsi="Calibri Light" w:cs="Times New Roman"/>
          <w:noProof/>
        </w:rPr>
        <w:t>(4335), 1302–1310.</w:t>
      </w:r>
    </w:p>
    <w:p w14:paraId="2210266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Crutsinger, G. M. (2016). A community genetics perspective: Opportunities for the coming decade. </w:t>
      </w:r>
      <w:r w:rsidRPr="00272690">
        <w:rPr>
          <w:rFonts w:ascii="Calibri Light" w:eastAsia="Times New Roman" w:hAnsi="Calibri Light" w:cs="Times New Roman"/>
          <w:i/>
          <w:iCs/>
          <w:noProof/>
        </w:rPr>
        <w:t>New Phytologist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210</w:t>
      </w:r>
      <w:r w:rsidRPr="00272690">
        <w:rPr>
          <w:rFonts w:ascii="Calibri Light" w:eastAsia="Times New Roman" w:hAnsi="Calibri Light" w:cs="Times New Roman"/>
          <w:noProof/>
        </w:rPr>
        <w:t>(1), 65–70. http://doi.org/10.1111/nph.13537</w:t>
      </w:r>
    </w:p>
    <w:p w14:paraId="609DE654"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Ellner, S. P. (1985). ESS Germination Strategies in Randomly Varying Environments. </w:t>
      </w:r>
      <w:r w:rsidRPr="00272690">
        <w:rPr>
          <w:rFonts w:ascii="Calibri Light" w:eastAsia="Times New Roman" w:hAnsi="Calibri Light" w:cs="Times New Roman"/>
          <w:i/>
          <w:iCs/>
          <w:noProof/>
        </w:rPr>
        <w:t>Theoretical Population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28</w:t>
      </w:r>
      <w:r w:rsidRPr="00272690">
        <w:rPr>
          <w:rFonts w:ascii="Calibri Light" w:eastAsia="Times New Roman" w:hAnsi="Calibri Light" w:cs="Times New Roman"/>
          <w:noProof/>
        </w:rPr>
        <w:t>.</w:t>
      </w:r>
    </w:p>
    <w:p w14:paraId="249A051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Fox, J. W. (2013). The intermediate disturbance hypothesis should be abandoned.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28</w:t>
      </w:r>
      <w:r w:rsidRPr="00272690">
        <w:rPr>
          <w:rFonts w:ascii="Calibri Light" w:eastAsia="Times New Roman" w:hAnsi="Calibri Light" w:cs="Times New Roman"/>
          <w:noProof/>
        </w:rPr>
        <w:t>(2), 86–92. http://doi.org/10.1016/j.tree.2012.08.014</w:t>
      </w:r>
    </w:p>
    <w:p w14:paraId="43C26F1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Fussmann, G. F., Loreau, M., &amp; Abrams, P. A. (2007). Eco-evolutionary dynamics of communities and ecosystems. </w:t>
      </w:r>
      <w:r w:rsidRPr="00272690">
        <w:rPr>
          <w:rFonts w:ascii="Calibri Light" w:eastAsia="Times New Roman" w:hAnsi="Calibri Light" w:cs="Times New Roman"/>
          <w:i/>
          <w:iCs/>
          <w:noProof/>
        </w:rPr>
        <w:t>Functional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21</w:t>
      </w:r>
      <w:r w:rsidRPr="00272690">
        <w:rPr>
          <w:rFonts w:ascii="Calibri Light" w:eastAsia="Times New Roman" w:hAnsi="Calibri Light" w:cs="Times New Roman"/>
          <w:noProof/>
        </w:rPr>
        <w:t>(3), 465–477. http://doi.org/10.1111/j.1365-2435.2007.01275.x</w:t>
      </w:r>
    </w:p>
    <w:p w14:paraId="152CAB7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Gadgil, M., &amp; Bossert, W. H. (1970). Life Historical Consequences of Natural Selection.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104</w:t>
      </w:r>
      <w:r w:rsidRPr="00272690">
        <w:rPr>
          <w:rFonts w:ascii="Calibri Light" w:eastAsia="Times New Roman" w:hAnsi="Calibri Light" w:cs="Times New Roman"/>
          <w:noProof/>
        </w:rPr>
        <w:t>(935), 1–24.</w:t>
      </w:r>
    </w:p>
    <w:p w14:paraId="6DBB7DA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Geritz, S. A. H., Kisdi, É., Meszéna, G., &amp; Metz, J. A. J. (1998). Evolutionarily Singular Strategies and the Adaptive Growth and Branching of the Evolutionary Tree. </w:t>
      </w:r>
      <w:r w:rsidRPr="00272690">
        <w:rPr>
          <w:rFonts w:ascii="Calibri Light" w:eastAsia="Times New Roman" w:hAnsi="Calibri Light" w:cs="Times New Roman"/>
          <w:i/>
          <w:iCs/>
          <w:noProof/>
        </w:rPr>
        <w:t>Evolutionary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12</w:t>
      </w:r>
      <w:r w:rsidRPr="00272690">
        <w:rPr>
          <w:rFonts w:ascii="Calibri Light" w:eastAsia="Times New Roman" w:hAnsi="Calibri Light" w:cs="Times New Roman"/>
          <w:noProof/>
        </w:rPr>
        <w:t>, 35–57.</w:t>
      </w:r>
    </w:p>
    <w:p w14:paraId="4CCF4B3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Grant, P. R. (1972). Convergent and divergent character displacement. </w:t>
      </w:r>
      <w:r w:rsidRPr="00272690">
        <w:rPr>
          <w:rFonts w:ascii="Calibri Light" w:eastAsia="Times New Roman" w:hAnsi="Calibri Light" w:cs="Times New Roman"/>
          <w:i/>
          <w:iCs/>
          <w:noProof/>
        </w:rPr>
        <w:t>Biological Journal of the Linnean Society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4</w:t>
      </w:r>
      <w:r w:rsidRPr="00272690">
        <w:rPr>
          <w:rFonts w:ascii="Calibri Light" w:eastAsia="Times New Roman" w:hAnsi="Calibri Light" w:cs="Times New Roman"/>
          <w:noProof/>
        </w:rPr>
        <w:t>(March), 39–68. http://doi.org/10.1111/j.1095-8312.1972.tb00690.x</w:t>
      </w:r>
    </w:p>
    <w:p w14:paraId="4784C8E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Grime, J. P. (1973). Competitive exclusion in herbaceous vegetation. </w:t>
      </w:r>
      <w:r w:rsidRPr="00272690">
        <w:rPr>
          <w:rFonts w:ascii="Calibri Light" w:eastAsia="Times New Roman" w:hAnsi="Calibri Light" w:cs="Times New Roman"/>
          <w:i/>
          <w:iCs/>
          <w:noProof/>
        </w:rPr>
        <w:t>Nature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242</w:t>
      </w:r>
      <w:r w:rsidRPr="00272690">
        <w:rPr>
          <w:rFonts w:ascii="Calibri Light" w:eastAsia="Times New Roman" w:hAnsi="Calibri Light" w:cs="Times New Roman"/>
          <w:noProof/>
        </w:rPr>
        <w:t>(5396), 344–347. http://doi.org/10.1038/242344a0</w:t>
      </w:r>
    </w:p>
    <w:p w14:paraId="4C1C3CE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Grime, J. P. (1979). </w:t>
      </w:r>
      <w:r w:rsidRPr="00272690">
        <w:rPr>
          <w:rFonts w:ascii="Calibri Light" w:eastAsia="Times New Roman" w:hAnsi="Calibri Light" w:cs="Times New Roman"/>
          <w:i/>
          <w:iCs/>
          <w:noProof/>
        </w:rPr>
        <w:t>Plant Strategies and Vegetation Processes</w:t>
      </w:r>
      <w:r w:rsidRPr="00272690">
        <w:rPr>
          <w:rFonts w:ascii="Calibri Light" w:eastAsia="Times New Roman" w:hAnsi="Calibri Light" w:cs="Times New Roman"/>
          <w:noProof/>
        </w:rPr>
        <w:t>. John Wiley &amp; Sons.</w:t>
      </w:r>
    </w:p>
    <w:p w14:paraId="725954D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Hall, A. R., Miller, A. D., Leggett, H. C., Roxburgh, S. H., Buckling, A., &amp; Shea, K. (2012). Diversity – disturbance relationships: frequency and intensity interact. </w:t>
      </w:r>
      <w:r w:rsidRPr="00272690">
        <w:rPr>
          <w:rFonts w:ascii="Calibri Light" w:eastAsia="Times New Roman" w:hAnsi="Calibri Light" w:cs="Times New Roman"/>
          <w:i/>
          <w:iCs/>
          <w:noProof/>
        </w:rPr>
        <w:t>Biology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w:t>
      </w:r>
      <w:r w:rsidRPr="00272690">
        <w:rPr>
          <w:rFonts w:ascii="Calibri Light" w:eastAsia="Times New Roman" w:hAnsi="Calibri Light" w:cs="Times New Roman"/>
          <w:noProof/>
        </w:rPr>
        <w:t>, 768–771. http://doi.org/10.1098/rsbl.2012.0282</w:t>
      </w:r>
    </w:p>
    <w:p w14:paraId="68189DA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Hardin, G. (1960). The Competitive Exclusion Principle.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noProof/>
        </w:rPr>
        <w:lastRenderedPageBreak/>
        <w:t>http://doi.org/10.1126/science.131.3409.1292</w:t>
      </w:r>
    </w:p>
    <w:p w14:paraId="1365496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Hastings, A. (1980). Disturbance, coexistence, history, and competition for space. </w:t>
      </w:r>
      <w:r w:rsidRPr="00272690">
        <w:rPr>
          <w:rFonts w:ascii="Calibri Light" w:eastAsia="Times New Roman" w:hAnsi="Calibri Light" w:cs="Times New Roman"/>
          <w:i/>
          <w:iCs/>
          <w:noProof/>
        </w:rPr>
        <w:t>Theoretical Population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(3), 363–373. http://doi.org/10.1016/0040-5809(80)90059-3</w:t>
      </w:r>
    </w:p>
    <w:p w14:paraId="2FBE4C5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Holt, R. D. (2006). Emergent neutrality.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21</w:t>
      </w:r>
      <w:r w:rsidRPr="00272690">
        <w:rPr>
          <w:rFonts w:ascii="Calibri Light" w:eastAsia="Times New Roman" w:hAnsi="Calibri Light" w:cs="Times New Roman"/>
          <w:noProof/>
        </w:rPr>
        <w:t>(10).</w:t>
      </w:r>
    </w:p>
    <w:p w14:paraId="328451FE"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Hubbell, S. P. (2001). </w:t>
      </w:r>
      <w:r w:rsidRPr="00272690">
        <w:rPr>
          <w:rFonts w:ascii="Calibri Light" w:eastAsia="Times New Roman" w:hAnsi="Calibri Light" w:cs="Times New Roman"/>
          <w:i/>
          <w:iCs/>
          <w:noProof/>
        </w:rPr>
        <w:t>The Unified Neutral Theory of Biodiversity and Biogeography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Princeton University Press</w:t>
      </w:r>
      <w:r w:rsidRPr="00272690">
        <w:rPr>
          <w:rFonts w:ascii="Calibri Light" w:eastAsia="Times New Roman" w:hAnsi="Calibri Light" w:cs="Times New Roman"/>
          <w:noProof/>
        </w:rPr>
        <w:t>.</w:t>
      </w:r>
    </w:p>
    <w:p w14:paraId="194A5EA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Hughes, A. R., Byrnes, J. E., Kimbro, D. L., &amp; Stachowicz, J. J. (2007). Reciprocal relationships and potential feedbacks between biodiversity and disturbance.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w:t>
      </w:r>
      <w:r w:rsidRPr="00272690">
        <w:rPr>
          <w:rFonts w:ascii="Calibri Light" w:eastAsia="Times New Roman" w:hAnsi="Calibri Light" w:cs="Times New Roman"/>
          <w:noProof/>
        </w:rPr>
        <w:t>(9), 849–864. http://doi.org/10.1111/j.1461-0248.2007.01075.x</w:t>
      </w:r>
    </w:p>
    <w:p w14:paraId="551F182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Hughes, A. R., Inouye, B. D., Johnson, M. T. J., Underwood, N., &amp; Vellend, M. (2008). Ecological consequences of genetic diversity.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w:t>
      </w:r>
      <w:r w:rsidRPr="00272690">
        <w:rPr>
          <w:rFonts w:ascii="Calibri Light" w:eastAsia="Times New Roman" w:hAnsi="Calibri Light" w:cs="Times New Roman"/>
          <w:noProof/>
        </w:rPr>
        <w:t>(6), 609–623. http://doi.org/10.1111/j.1461-0248.2008.01179.x</w:t>
      </w:r>
    </w:p>
    <w:p w14:paraId="24EE229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Huston, M. (1979). A General Hypothesis of Species Diversity.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113</w:t>
      </w:r>
      <w:r w:rsidRPr="00272690">
        <w:rPr>
          <w:rFonts w:ascii="Calibri Light" w:eastAsia="Times New Roman" w:hAnsi="Calibri Light" w:cs="Times New Roman"/>
          <w:noProof/>
        </w:rPr>
        <w:t>(1), 81–101.</w:t>
      </w:r>
    </w:p>
    <w:p w14:paraId="5EB23BA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Johnson, M. T. J., &amp; Stinchcombe, J. R. (2007). An emerging synthesis between community ecology and evolutionary biology.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22</w:t>
      </w:r>
      <w:r w:rsidRPr="00272690">
        <w:rPr>
          <w:rFonts w:ascii="Calibri Light" w:eastAsia="Times New Roman" w:hAnsi="Calibri Light" w:cs="Times New Roman"/>
          <w:noProof/>
        </w:rPr>
        <w:t>(5), 250–257. http://doi.org/10.1016/j.tree.2007.01.014</w:t>
      </w:r>
    </w:p>
    <w:p w14:paraId="76A710A4"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Kassen, R. (2002). The experimental evolution of specialists, generalists, and the maintenance of diversity. </w:t>
      </w:r>
      <w:r w:rsidRPr="00272690">
        <w:rPr>
          <w:rFonts w:ascii="Calibri Light" w:eastAsia="Times New Roman" w:hAnsi="Calibri Light" w:cs="Times New Roman"/>
          <w:i/>
          <w:iCs/>
          <w:noProof/>
        </w:rPr>
        <w:t>Journal of Evolutionary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w:t>
      </w:r>
      <w:r w:rsidRPr="00272690">
        <w:rPr>
          <w:rFonts w:ascii="Calibri Light" w:eastAsia="Times New Roman" w:hAnsi="Calibri Light" w:cs="Times New Roman"/>
          <w:noProof/>
        </w:rPr>
        <w:t>, 173–190. http://doi.org/10.1046/j.1420-9101.2002.00377.x</w:t>
      </w:r>
    </w:p>
    <w:p w14:paraId="02364C6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Kisdi, É. (1999). Evolutionary Branching under Asymmetric Competition. </w:t>
      </w:r>
      <w:r w:rsidRPr="00272690">
        <w:rPr>
          <w:rFonts w:ascii="Calibri Light" w:eastAsia="Times New Roman" w:hAnsi="Calibri Light" w:cs="Times New Roman"/>
          <w:i/>
          <w:iCs/>
          <w:noProof/>
        </w:rPr>
        <w:t>J. theor. Biol</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197</w:t>
      </w:r>
      <w:r w:rsidRPr="00272690">
        <w:rPr>
          <w:rFonts w:ascii="Calibri Light" w:eastAsia="Times New Roman" w:hAnsi="Calibri Light" w:cs="Times New Roman"/>
          <w:noProof/>
        </w:rPr>
        <w:t>, 149–162. http://doi.org/DOI: 10.1006/jtbi.1998.0864</w:t>
      </w:r>
    </w:p>
    <w:p w14:paraId="781DE9C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Kondoh, M. (2001). Unifying the relationships of species richness to productivity and disturbance. </w:t>
      </w:r>
      <w:r w:rsidRPr="00272690">
        <w:rPr>
          <w:rFonts w:ascii="Calibri Light" w:eastAsia="Times New Roman" w:hAnsi="Calibri Light" w:cs="Times New Roman"/>
          <w:i/>
          <w:iCs/>
          <w:noProof/>
        </w:rPr>
        <w:t>Proceedings of the Royal Society B: Biological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268</w:t>
      </w:r>
      <w:r w:rsidRPr="00272690">
        <w:rPr>
          <w:rFonts w:ascii="Calibri Light" w:eastAsia="Times New Roman" w:hAnsi="Calibri Light" w:cs="Times New Roman"/>
          <w:noProof/>
        </w:rPr>
        <w:t>(1464), 269–271. http://doi.org/10.1098/rspb.2000.1384</w:t>
      </w:r>
    </w:p>
    <w:p w14:paraId="2E9D5EE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Laland, K., Matthews, B., &amp; Feldman, M. W. (2016). An introduction to niche construction theory. </w:t>
      </w:r>
      <w:r w:rsidRPr="00272690">
        <w:rPr>
          <w:rFonts w:ascii="Calibri Light" w:eastAsia="Times New Roman" w:hAnsi="Calibri Light" w:cs="Times New Roman"/>
          <w:i/>
          <w:iCs/>
          <w:noProof/>
        </w:rPr>
        <w:t>Evolutionary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30</w:t>
      </w:r>
      <w:r w:rsidRPr="00272690">
        <w:rPr>
          <w:rFonts w:ascii="Calibri Light" w:eastAsia="Times New Roman" w:hAnsi="Calibri Light" w:cs="Times New Roman"/>
          <w:noProof/>
        </w:rPr>
        <w:t>(2), 191–202. http://doi.org/10.1007/s10682-016-9821-z</w:t>
      </w:r>
    </w:p>
    <w:p w14:paraId="664E303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Laland, K. N., Odling-Smee, F. J., &amp; Feldman, M. W. (1999). Evolutionary consequences of niche construction and their implications for ecology. </w:t>
      </w:r>
      <w:r w:rsidRPr="00272690">
        <w:rPr>
          <w:rFonts w:ascii="Calibri Light" w:eastAsia="Times New Roman" w:hAnsi="Calibri Light" w:cs="Times New Roman"/>
          <w:i/>
          <w:iCs/>
          <w:noProof/>
        </w:rPr>
        <w:t>Proceedings of the National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96</w:t>
      </w:r>
      <w:r w:rsidRPr="00272690">
        <w:rPr>
          <w:rFonts w:ascii="Calibri Light" w:eastAsia="Times New Roman" w:hAnsi="Calibri Light" w:cs="Times New Roman"/>
          <w:noProof/>
        </w:rPr>
        <w:t>(18), 10242–10247. http://doi.org/10.1073/pnas.96.18.10242</w:t>
      </w:r>
    </w:p>
    <w:p w14:paraId="609C6A3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Law, R. (1979). Optimal Life Histories Under Age-Specific Predation.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114</w:t>
      </w:r>
      <w:r w:rsidRPr="00272690">
        <w:rPr>
          <w:rFonts w:ascii="Calibri Light" w:eastAsia="Times New Roman" w:hAnsi="Calibri Light" w:cs="Times New Roman"/>
          <w:noProof/>
        </w:rPr>
        <w:t>(3), 399–417.</w:t>
      </w:r>
    </w:p>
    <w:p w14:paraId="6BA3E80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Lawton, J. H. (1999). Are There General Laws in Ecology? </w:t>
      </w:r>
      <w:r w:rsidRPr="00272690">
        <w:rPr>
          <w:rFonts w:ascii="Calibri Light" w:eastAsia="Times New Roman" w:hAnsi="Calibri Light" w:cs="Times New Roman"/>
          <w:i/>
          <w:iCs/>
          <w:noProof/>
        </w:rPr>
        <w:t>Oikos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84</w:t>
      </w:r>
      <w:r w:rsidRPr="00272690">
        <w:rPr>
          <w:rFonts w:ascii="Calibri Light" w:eastAsia="Times New Roman" w:hAnsi="Calibri Light" w:cs="Times New Roman"/>
          <w:noProof/>
        </w:rPr>
        <w:t>(2), 177–192.</w:t>
      </w:r>
    </w:p>
    <w:p w14:paraId="0A09D7F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Levin, S. A., &amp; Paine, R. T. (1974). Disturbance, Patch Formation, and Community Structure. </w:t>
      </w:r>
      <w:r w:rsidRPr="00272690">
        <w:rPr>
          <w:rFonts w:ascii="Calibri Light" w:eastAsia="Times New Roman" w:hAnsi="Calibri Light" w:cs="Times New Roman"/>
          <w:i/>
          <w:iCs/>
          <w:noProof/>
        </w:rPr>
        <w:t>Proceedings of the National Academy of 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71</w:t>
      </w:r>
      <w:r w:rsidRPr="00272690">
        <w:rPr>
          <w:rFonts w:ascii="Calibri Light" w:eastAsia="Times New Roman" w:hAnsi="Calibri Light" w:cs="Times New Roman"/>
          <w:noProof/>
        </w:rPr>
        <w:t>(7), 2744–2747. http://doi.org/10.1073/pnas.71.7.2744</w:t>
      </w:r>
    </w:p>
    <w:p w14:paraId="36AE32C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Levins, R. (1962). Theory of Fitness in a Heterogeneous Environment. </w:t>
      </w:r>
      <w:r w:rsidRPr="00272690">
        <w:rPr>
          <w:rFonts w:ascii="Calibri Light" w:eastAsia="Times New Roman" w:hAnsi="Calibri Light" w:cs="Times New Roman"/>
          <w:i/>
          <w:iCs/>
          <w:noProof/>
        </w:rPr>
        <w:t xml:space="preserve">The American </w:t>
      </w:r>
      <w:r w:rsidRPr="00272690">
        <w:rPr>
          <w:rFonts w:ascii="Calibri Light" w:eastAsia="Times New Roman" w:hAnsi="Calibri Light" w:cs="Times New Roman"/>
          <w:i/>
          <w:iCs/>
          <w:noProof/>
        </w:rPr>
        <w:lastRenderedPageBreak/>
        <w:t>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96</w:t>
      </w:r>
      <w:r w:rsidRPr="00272690">
        <w:rPr>
          <w:rFonts w:ascii="Calibri Light" w:eastAsia="Times New Roman" w:hAnsi="Calibri Light" w:cs="Times New Roman"/>
          <w:noProof/>
        </w:rPr>
        <w:t>(891), 361–373.</w:t>
      </w:r>
    </w:p>
    <w:p w14:paraId="53DE202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Levins, R. (1966). The strategy of model building in population biology. </w:t>
      </w:r>
      <w:r w:rsidRPr="00272690">
        <w:rPr>
          <w:rFonts w:ascii="Calibri Light" w:eastAsia="Times New Roman" w:hAnsi="Calibri Light" w:cs="Times New Roman"/>
          <w:i/>
          <w:iCs/>
          <w:noProof/>
        </w:rPr>
        <w:t>American Scientist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54</w:t>
      </w:r>
      <w:r w:rsidRPr="00272690">
        <w:rPr>
          <w:rFonts w:ascii="Calibri Light" w:eastAsia="Times New Roman" w:hAnsi="Calibri Light" w:cs="Times New Roman"/>
          <w:noProof/>
        </w:rPr>
        <w:t>(4), 421–431. http://doi.org/10.2307/27836590</w:t>
      </w:r>
    </w:p>
    <w:p w14:paraId="0B83822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Lytle, D. A. (2001). Disturbance Regimes and Life</w:t>
      </w:r>
      <w:r w:rsidRPr="00272690">
        <w:rPr>
          <w:rFonts w:ascii="Calibri Light" w:eastAsia="Calibri" w:hAnsi="Calibri Light" w:cs="Calibri"/>
          <w:noProof/>
        </w:rPr>
        <w:t>‐</w:t>
      </w:r>
      <w:r w:rsidRPr="00272690">
        <w:rPr>
          <w:rFonts w:ascii="Calibri Light" w:eastAsia="Times New Roman" w:hAnsi="Calibri Light" w:cs="Times New Roman"/>
          <w:noProof/>
        </w:rPr>
        <w:t xml:space="preserve">History Evolution.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157</w:t>
      </w:r>
      <w:r w:rsidRPr="00272690">
        <w:rPr>
          <w:rFonts w:ascii="Calibri Light" w:eastAsia="Times New Roman" w:hAnsi="Calibri Light" w:cs="Times New Roman"/>
          <w:noProof/>
        </w:rPr>
        <w:t>(5), 525–536. http://doi.org/10.1086/319930</w:t>
      </w:r>
    </w:p>
    <w:p w14:paraId="4F250F2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Macarthur, R., &amp; Levins, R. (1967). The Limiting Similarity, Convergence, and Divergence of Coexisting Species.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101</w:t>
      </w:r>
      <w:r w:rsidRPr="00272690">
        <w:rPr>
          <w:rFonts w:ascii="Calibri Light" w:eastAsia="Times New Roman" w:hAnsi="Calibri Light" w:cs="Times New Roman"/>
          <w:noProof/>
        </w:rPr>
        <w:t>(921), 377–385. http://doi.org/10.2307/2678832</w:t>
      </w:r>
    </w:p>
    <w:p w14:paraId="5BC2FDBE"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Mackey, R. L., &amp; Currie, D. J. (2001). The diversity-disturbance relationship: Is it generally strong and peaked?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82</w:t>
      </w:r>
      <w:r w:rsidRPr="00272690">
        <w:rPr>
          <w:rFonts w:ascii="Calibri Light" w:eastAsia="Times New Roman" w:hAnsi="Calibri Light" w:cs="Times New Roman"/>
          <w:noProof/>
        </w:rPr>
        <w:t>(12), 3479–3492. http://doi.org/10.1890/0012-9658(2001)082[3479:TDDRII]2.0.CO;2</w:t>
      </w:r>
    </w:p>
    <w:p w14:paraId="628D532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Maynard Smith, J., &amp; Price, G. R. (1973). The Logic of Animal Conflict. </w:t>
      </w:r>
      <w:r w:rsidRPr="00272690">
        <w:rPr>
          <w:rFonts w:ascii="Calibri Light" w:eastAsia="Times New Roman" w:hAnsi="Calibri Light" w:cs="Times New Roman"/>
          <w:i/>
          <w:iCs/>
          <w:noProof/>
        </w:rPr>
        <w:t>Nature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246</w:t>
      </w:r>
      <w:r w:rsidRPr="00272690">
        <w:rPr>
          <w:rFonts w:ascii="Calibri Light" w:eastAsia="Times New Roman" w:hAnsi="Calibri Light" w:cs="Times New Roman"/>
          <w:noProof/>
        </w:rPr>
        <w:t>, 15–18. http://doi.org/10.1038/254463b0</w:t>
      </w:r>
    </w:p>
    <w:p w14:paraId="62BC56B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Metz, J. A. J., Nisbet, R. M., &amp; Geritz, S. A. H. (1992). How should we define “fitness” for general ecological scenarios? </w:t>
      </w:r>
      <w:r w:rsidRPr="00272690">
        <w:rPr>
          <w:rFonts w:ascii="Calibri Light" w:eastAsia="Times New Roman" w:hAnsi="Calibri Light" w:cs="Times New Roman"/>
          <w:i/>
          <w:iCs/>
          <w:noProof/>
        </w:rPr>
        <w:t>Trends in Ecology &amp;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w:t>
      </w:r>
      <w:r w:rsidRPr="00272690">
        <w:rPr>
          <w:rFonts w:ascii="Calibri Light" w:eastAsia="Times New Roman" w:hAnsi="Calibri Light" w:cs="Times New Roman"/>
          <w:noProof/>
        </w:rPr>
        <w:t>(6), 198–202. http://doi.org/10.1016/0169-5347(92)90073-K</w:t>
      </w:r>
    </w:p>
    <w:p w14:paraId="6E585A6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Michod, R. E. (1979). Evolution of Life Histories in Response to Age-Specific Mortality Factors.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113</w:t>
      </w:r>
      <w:r w:rsidRPr="00272690">
        <w:rPr>
          <w:rFonts w:ascii="Calibri Light" w:eastAsia="Times New Roman" w:hAnsi="Calibri Light" w:cs="Times New Roman"/>
          <w:noProof/>
        </w:rPr>
        <w:t>(4), 229–246.</w:t>
      </w:r>
    </w:p>
    <w:p w14:paraId="4E907DF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Miller, A. D., Roxburgh, S. H., &amp; Shea, K. (2011). How frequency and intensity shape diversity-disturbance relationships. </w:t>
      </w:r>
      <w:r w:rsidRPr="00272690">
        <w:rPr>
          <w:rFonts w:ascii="Calibri Light" w:eastAsia="Times New Roman" w:hAnsi="Calibri Light" w:cs="Times New Roman"/>
          <w:i/>
          <w:iCs/>
          <w:noProof/>
        </w:rPr>
        <w:t>Proceedings of the National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108</w:t>
      </w:r>
      <w:r w:rsidRPr="00272690">
        <w:rPr>
          <w:rFonts w:ascii="Calibri Light" w:eastAsia="Times New Roman" w:hAnsi="Calibri Light" w:cs="Times New Roman"/>
          <w:noProof/>
        </w:rPr>
        <w:t>(14), 5643–5648. http://doi.org/10.1073/pnas.1018594108</w:t>
      </w:r>
    </w:p>
    <w:p w14:paraId="183DBCF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Møller, A. P., &amp; Jennions, M. D. (2002). How much variance can be explained by ecologists and evolutionary biologists? </w:t>
      </w:r>
      <w:r w:rsidRPr="00272690">
        <w:rPr>
          <w:rFonts w:ascii="Calibri Light" w:eastAsia="Times New Roman" w:hAnsi="Calibri Light" w:cs="Times New Roman"/>
          <w:i/>
          <w:iCs/>
          <w:noProof/>
        </w:rPr>
        <w:t>Oecologia</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132</w:t>
      </w:r>
      <w:r w:rsidRPr="00272690">
        <w:rPr>
          <w:rFonts w:ascii="Calibri Light" w:eastAsia="Times New Roman" w:hAnsi="Calibri Light" w:cs="Times New Roman"/>
          <w:noProof/>
        </w:rPr>
        <w:t>(4), 492–500. http://doi.org/10.1007/s00442-002-0952-2</w:t>
      </w:r>
    </w:p>
    <w:p w14:paraId="1386D46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Nagylaki, T. (1975). Polymorphisms in cyclically-varying environments. </w:t>
      </w:r>
      <w:r w:rsidRPr="00272690">
        <w:rPr>
          <w:rFonts w:ascii="Calibri Light" w:eastAsia="Times New Roman" w:hAnsi="Calibri Light" w:cs="Times New Roman"/>
          <w:i/>
          <w:iCs/>
          <w:noProof/>
        </w:rPr>
        <w:t>Heredity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35</w:t>
      </w:r>
      <w:r w:rsidRPr="00272690">
        <w:rPr>
          <w:rFonts w:ascii="Calibri Light" w:eastAsia="Times New Roman" w:hAnsi="Calibri Light" w:cs="Times New Roman"/>
          <w:noProof/>
        </w:rPr>
        <w:t>(1), 67–74.</w:t>
      </w:r>
    </w:p>
    <w:p w14:paraId="368E4AC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Norberg, J., Swaney, D. P., Dushoff, J., Lin, J., Casagrandi, R., &amp; Levin, S. A. (2001). Phenotypic Diversity and Ecosystem Functioning in Changing Environments: A Theoretical Framework. </w:t>
      </w:r>
      <w:r w:rsidRPr="00272690">
        <w:rPr>
          <w:rFonts w:ascii="Calibri Light" w:eastAsia="Times New Roman" w:hAnsi="Calibri Light" w:cs="Times New Roman"/>
          <w:i/>
          <w:iCs/>
          <w:noProof/>
        </w:rPr>
        <w:t>Proceedings of the National Academy of Sciences of the United States of America</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98</w:t>
      </w:r>
      <w:r w:rsidRPr="00272690">
        <w:rPr>
          <w:rFonts w:ascii="Calibri Light" w:eastAsia="Times New Roman" w:hAnsi="Calibri Light" w:cs="Times New Roman"/>
          <w:noProof/>
        </w:rPr>
        <w:t>(20), 11376–11381. http://doi.org/doi: 10.1073/pnas.171315998</w:t>
      </w:r>
    </w:p>
    <w:p w14:paraId="0BD6ACD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Odling-Smee, F. . J., Laland, K. N., &amp; Feldman, M. W. (2003). </w:t>
      </w:r>
      <w:r w:rsidRPr="00272690">
        <w:rPr>
          <w:rFonts w:ascii="Calibri Light" w:eastAsia="Times New Roman" w:hAnsi="Calibri Light" w:cs="Times New Roman"/>
          <w:i/>
          <w:iCs/>
          <w:noProof/>
        </w:rPr>
        <w:t>Niche Construction: The Neglected Process in Evolution</w:t>
      </w:r>
      <w:r w:rsidRPr="00272690">
        <w:rPr>
          <w:rFonts w:ascii="Calibri Light" w:eastAsia="Times New Roman" w:hAnsi="Calibri Light" w:cs="Times New Roman"/>
          <w:noProof/>
        </w:rPr>
        <w:t>. Princeton University Press. Recuperado de http://www.jstor.org/stable/j.ctt24hqpd</w:t>
      </w:r>
    </w:p>
    <w:p w14:paraId="45B0E4E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Pake, C. E., &amp; Venable, D. L. (1995). Is coexistence of sonoran desert annuals mediated by temporal variability in reproductive sucess?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76</w:t>
      </w:r>
      <w:r w:rsidRPr="00272690">
        <w:rPr>
          <w:rFonts w:ascii="Calibri Light" w:eastAsia="Times New Roman" w:hAnsi="Calibri Light" w:cs="Times New Roman"/>
          <w:noProof/>
        </w:rPr>
        <w:t>(1), 246–261.</w:t>
      </w:r>
    </w:p>
    <w:p w14:paraId="2E4A725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Pake, C. E., &amp; Venable, D. L. (1996). Seed Banks in Desert Annuals: Implications for Persistence and Coexistence in Variable Environments.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77</w:t>
      </w:r>
      <w:r w:rsidRPr="00272690">
        <w:rPr>
          <w:rFonts w:ascii="Calibri Light" w:eastAsia="Times New Roman" w:hAnsi="Calibri Light" w:cs="Times New Roman"/>
          <w:noProof/>
        </w:rPr>
        <w:t>(5), 1427–1435.</w:t>
      </w:r>
    </w:p>
    <w:p w14:paraId="7911808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Pianka, E. R. (1970). On r- and K-Selection.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104</w:t>
      </w:r>
      <w:r w:rsidRPr="00272690">
        <w:rPr>
          <w:rFonts w:ascii="Calibri Light" w:eastAsia="Times New Roman" w:hAnsi="Calibri Light" w:cs="Times New Roman"/>
          <w:noProof/>
        </w:rPr>
        <w:t>(940), 592–597.</w:t>
      </w:r>
    </w:p>
    <w:p w14:paraId="2F7D47E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Post, D. M., &amp; Palkovacs, E. P. (2009). Eco-evolutionary feedbacks in community and </w:t>
      </w:r>
      <w:r w:rsidRPr="00272690">
        <w:rPr>
          <w:rFonts w:ascii="Calibri Light" w:eastAsia="Times New Roman" w:hAnsi="Calibri Light" w:cs="Times New Roman"/>
          <w:noProof/>
        </w:rPr>
        <w:lastRenderedPageBreak/>
        <w:t xml:space="preserve">ecosystem ecology: interactions between the ecological theatre and the evolutionary play. </w:t>
      </w:r>
      <w:r w:rsidRPr="00272690">
        <w:rPr>
          <w:rFonts w:ascii="Calibri Light" w:eastAsia="Times New Roman" w:hAnsi="Calibri Light" w:cs="Times New Roman"/>
          <w:i/>
          <w:iCs/>
          <w:noProof/>
        </w:rPr>
        <w:t>Philosophical Transactions of the Royal Society B: Biological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364</w:t>
      </w:r>
      <w:r w:rsidRPr="00272690">
        <w:rPr>
          <w:rFonts w:ascii="Calibri Light" w:eastAsia="Times New Roman" w:hAnsi="Calibri Light" w:cs="Times New Roman"/>
          <w:noProof/>
        </w:rPr>
        <w:t>(1523), 1629–1640. http://doi.org/10.1098/rstb.2009.0012</w:t>
      </w:r>
    </w:p>
    <w:p w14:paraId="743B9ED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Rankin, D. J., Bargum, K., &amp; Kokko, H. (2007). The tragedy of the commons in evolutionary biology.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22</w:t>
      </w:r>
      <w:r w:rsidRPr="00272690">
        <w:rPr>
          <w:rFonts w:ascii="Calibri Light" w:eastAsia="Times New Roman" w:hAnsi="Calibri Light" w:cs="Times New Roman"/>
          <w:noProof/>
        </w:rPr>
        <w:t>(12), 643–651. http://doi.org/10.1016/j.tree.2007.07.009</w:t>
      </w:r>
    </w:p>
    <w:p w14:paraId="2E48791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Reznick, D., Bryant, M. J., &amp; Bashey, F. (2002). r - and K-Selection Revisited: The role of population regulation in life-history evolution.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83</w:t>
      </w:r>
      <w:r w:rsidRPr="00272690">
        <w:rPr>
          <w:rFonts w:ascii="Calibri Light" w:eastAsia="Times New Roman" w:hAnsi="Calibri Light" w:cs="Times New Roman"/>
          <w:noProof/>
        </w:rPr>
        <w:t>(6), 1509–1520. http://doi.org/10.1890/0012-9658(2002)083[1509:RAKSRT]2.0.CO;2</w:t>
      </w:r>
    </w:p>
    <w:p w14:paraId="2D5B289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Roxburgh, S. H., Shea, K., &amp; Wilson, J. B. (2004). The intermediate disturbance hypothesis: patch dynamics and mechanisms of species coexistence.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85</w:t>
      </w:r>
      <w:r w:rsidRPr="00272690">
        <w:rPr>
          <w:rFonts w:ascii="Calibri Light" w:eastAsia="Times New Roman" w:hAnsi="Calibri Light" w:cs="Times New Roman"/>
          <w:noProof/>
        </w:rPr>
        <w:t>(2), 359–371.</w:t>
      </w:r>
    </w:p>
    <w:p w14:paraId="1D305D7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Sasaki, A., &amp; Ellner, S. P. (1995). The evolutionarily stable phenotype distribution in a random environment. </w:t>
      </w:r>
      <w:r w:rsidRPr="00272690">
        <w:rPr>
          <w:rFonts w:ascii="Calibri Light" w:eastAsia="Times New Roman" w:hAnsi="Calibri Light" w:cs="Times New Roman"/>
          <w:i/>
          <w:iCs/>
          <w:noProof/>
        </w:rPr>
        <w:t>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49</w:t>
      </w:r>
      <w:r w:rsidRPr="00272690">
        <w:rPr>
          <w:rFonts w:ascii="Calibri Light" w:eastAsia="Times New Roman" w:hAnsi="Calibri Light" w:cs="Times New Roman"/>
          <w:noProof/>
        </w:rPr>
        <w:t>(2), 337–350. http://doi.org/10.2307/2410344</w:t>
      </w:r>
    </w:p>
    <w:p w14:paraId="637EF57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Schaffer, W. (1974). Optimal Reproductive Effort in Fluctuating Environments.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108</w:t>
      </w:r>
      <w:r w:rsidRPr="00272690">
        <w:rPr>
          <w:rFonts w:ascii="Calibri Light" w:eastAsia="Times New Roman" w:hAnsi="Calibri Light" w:cs="Times New Roman"/>
          <w:noProof/>
        </w:rPr>
        <w:t>(964), 783–790.</w:t>
      </w:r>
    </w:p>
    <w:p w14:paraId="189D03B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Scheffer, M., &amp; Nes, E. H. Van. (2006). Self-organized similarity, the evolutionary emergence of groups of similar species. </w:t>
      </w:r>
      <w:r w:rsidRPr="00272690">
        <w:rPr>
          <w:rFonts w:ascii="Calibri Light" w:eastAsia="Times New Roman" w:hAnsi="Calibri Light" w:cs="Times New Roman"/>
          <w:i/>
          <w:iCs/>
          <w:noProof/>
        </w:rPr>
        <w:t>Proceedings of the National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103</w:t>
      </w:r>
      <w:r w:rsidRPr="00272690">
        <w:rPr>
          <w:rFonts w:ascii="Calibri Light" w:eastAsia="Times New Roman" w:hAnsi="Calibri Light" w:cs="Times New Roman"/>
          <w:noProof/>
        </w:rPr>
        <w:t>(16), 6230–6235. http://doi.org/10.1073/pnas.0508024103</w:t>
      </w:r>
    </w:p>
    <w:p w14:paraId="5AA489F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Schoener, T. W. (1983). Field Experiments on Interspecific Competition.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122</w:t>
      </w:r>
      <w:r w:rsidRPr="00272690">
        <w:rPr>
          <w:rFonts w:ascii="Calibri Light" w:eastAsia="Times New Roman" w:hAnsi="Calibri Light" w:cs="Times New Roman"/>
          <w:noProof/>
        </w:rPr>
        <w:t>(2), 240–285.</w:t>
      </w:r>
    </w:p>
    <w:p w14:paraId="754E176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Shea, K., Roxburgh, S. H., &amp; Rauschert, E. S. J. (2004). Moving from pattern to process: Coexistence mechanisms under intermediate disturbance regimes.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w:t>
      </w:r>
      <w:r w:rsidRPr="00272690">
        <w:rPr>
          <w:rFonts w:ascii="Calibri Light" w:eastAsia="Times New Roman" w:hAnsi="Calibri Light" w:cs="Times New Roman"/>
          <w:noProof/>
        </w:rPr>
        <w:t>(6), 491–508. http://doi.org/10.1111/j.1461-0248.2004.00600.x</w:t>
      </w:r>
    </w:p>
    <w:p w14:paraId="4FE3E31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Sheil, D., &amp; Burslem, D. F. R. P. (2003). Disturbing hypotheses in tropical forests.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(1), 18–26. http://doi.org/10.1016/S0169-5347(02)00005-8</w:t>
      </w:r>
    </w:p>
    <w:p w14:paraId="748BD71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Slatkin, M., &amp; Anderson, D. J. (1984). A Model of Competition for Space.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65</w:t>
      </w:r>
      <w:r w:rsidRPr="00272690">
        <w:rPr>
          <w:rFonts w:ascii="Calibri Light" w:eastAsia="Times New Roman" w:hAnsi="Calibri Light" w:cs="Times New Roman"/>
          <w:noProof/>
        </w:rPr>
        <w:t>(6), 1840–1845.</w:t>
      </w:r>
    </w:p>
    <w:p w14:paraId="33C8C47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Sousa, W. P. (1984). The Role of Dusturbance in Natural Communities. </w:t>
      </w:r>
      <w:r w:rsidRPr="00272690">
        <w:rPr>
          <w:rFonts w:ascii="Calibri Light" w:eastAsia="Times New Roman" w:hAnsi="Calibri Light" w:cs="Times New Roman"/>
          <w:i/>
          <w:iCs/>
          <w:noProof/>
        </w:rPr>
        <w:t>Annual Review of Ecology and Systematics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w:t>
      </w:r>
      <w:r w:rsidRPr="00272690">
        <w:rPr>
          <w:rFonts w:ascii="Calibri Light" w:eastAsia="Times New Roman" w:hAnsi="Calibri Light" w:cs="Times New Roman"/>
          <w:noProof/>
        </w:rPr>
        <w:t>, 353–391.</w:t>
      </w:r>
    </w:p>
    <w:p w14:paraId="3824C00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Stearns, S. C. (1989). Trade-offs in life history evolution. </w:t>
      </w:r>
      <w:r w:rsidRPr="00272690">
        <w:rPr>
          <w:rFonts w:ascii="Calibri Light" w:eastAsia="Times New Roman" w:hAnsi="Calibri Light" w:cs="Times New Roman"/>
          <w:i/>
          <w:iCs/>
          <w:noProof/>
        </w:rPr>
        <w:t>Functional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w:t>
      </w:r>
      <w:r w:rsidRPr="00272690">
        <w:rPr>
          <w:rFonts w:ascii="Calibri Light" w:eastAsia="Times New Roman" w:hAnsi="Calibri Light" w:cs="Times New Roman"/>
          <w:noProof/>
        </w:rPr>
        <w:t>, 259–268.</w:t>
      </w:r>
    </w:p>
    <w:p w14:paraId="74E8718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Stuart, Y. E., Campbell, T. S., Hohenlohe, P. A., Reynolds, R. G., Revell, L. J., &amp; Losos, J. B. (2014). Rapid evolution of a native species following invasion by a congener.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346</w:t>
      </w:r>
      <w:r w:rsidRPr="00272690">
        <w:rPr>
          <w:rFonts w:ascii="Calibri Light" w:eastAsia="Times New Roman" w:hAnsi="Calibri Light" w:cs="Times New Roman"/>
          <w:noProof/>
        </w:rPr>
        <w:t>(6208), 463–466. http://doi.org/10.1126/science.1257008</w:t>
      </w:r>
    </w:p>
    <w:p w14:paraId="145790A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Thompson, J. N. (2005). Coevolution: The Geographic Mosaic Of Coevolutionary Arms Race. </w:t>
      </w:r>
      <w:r w:rsidRPr="00272690">
        <w:rPr>
          <w:rFonts w:ascii="Calibri Light" w:eastAsia="Times New Roman" w:hAnsi="Calibri Light" w:cs="Times New Roman"/>
          <w:i/>
          <w:iCs/>
          <w:noProof/>
        </w:rPr>
        <w:t>Current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w:t>
      </w:r>
      <w:r w:rsidRPr="00272690">
        <w:rPr>
          <w:rFonts w:ascii="Calibri Light" w:eastAsia="Times New Roman" w:hAnsi="Calibri Light" w:cs="Times New Roman"/>
          <w:noProof/>
        </w:rPr>
        <w:t>(24), 992–994. http://doi.org/10.1016/j.cub.2005.11.047</w:t>
      </w:r>
    </w:p>
    <w:p w14:paraId="7E55E77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Tilman, D. (1982). </w:t>
      </w:r>
      <w:r w:rsidRPr="00272690">
        <w:rPr>
          <w:rFonts w:ascii="Calibri Light" w:eastAsia="Times New Roman" w:hAnsi="Calibri Light" w:cs="Times New Roman"/>
          <w:i/>
          <w:iCs/>
          <w:noProof/>
        </w:rPr>
        <w:t>Resource Competition and Community Structure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Princeton University Press</w:t>
      </w:r>
      <w:r w:rsidRPr="00272690">
        <w:rPr>
          <w:rFonts w:ascii="Calibri Light" w:eastAsia="Times New Roman" w:hAnsi="Calibri Light" w:cs="Times New Roman"/>
          <w:noProof/>
        </w:rPr>
        <w:t>. Princeton, New Jersey.</w:t>
      </w:r>
    </w:p>
    <w:p w14:paraId="409E411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Tilman, D. (1990). Constraints and Tradeoffs: Toward a Predictive Theory of Competition and </w:t>
      </w:r>
      <w:r w:rsidRPr="00272690">
        <w:rPr>
          <w:rFonts w:ascii="Calibri Light" w:eastAsia="Times New Roman" w:hAnsi="Calibri Light" w:cs="Times New Roman"/>
          <w:noProof/>
        </w:rPr>
        <w:lastRenderedPageBreak/>
        <w:t xml:space="preserve">Succession. </w:t>
      </w:r>
      <w:r w:rsidRPr="00272690">
        <w:rPr>
          <w:rFonts w:ascii="Calibri Light" w:eastAsia="Times New Roman" w:hAnsi="Calibri Light" w:cs="Times New Roman"/>
          <w:i/>
          <w:iCs/>
          <w:noProof/>
        </w:rPr>
        <w:t>Oikos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58</w:t>
      </w:r>
      <w:r w:rsidRPr="00272690">
        <w:rPr>
          <w:rFonts w:ascii="Calibri Light" w:eastAsia="Times New Roman" w:hAnsi="Calibri Light" w:cs="Times New Roman"/>
          <w:noProof/>
        </w:rPr>
        <w:t>(1), 3–15.</w:t>
      </w:r>
    </w:p>
    <w:p w14:paraId="1233B5F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Turner, M. (2010). Disturbance and landscape dynamics in a changing world.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91</w:t>
      </w:r>
      <w:r w:rsidRPr="00272690">
        <w:rPr>
          <w:rFonts w:ascii="Calibri Light" w:eastAsia="Times New Roman" w:hAnsi="Calibri Light" w:cs="Times New Roman"/>
          <w:noProof/>
        </w:rPr>
        <w:t>(March), 2833–2849. http://doi.org/doi:10.1890/10-0097.1</w:t>
      </w:r>
    </w:p>
    <w:p w14:paraId="64D7CD4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Urban, M. C., Leibold, M. a., Amarasekare, P., De Meester, L., Gomulkiewicz, R., Hochberg, M. E., … Wade, M. J. (2008). The evolutionary ecology of metacommunities.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23</w:t>
      </w:r>
      <w:r w:rsidRPr="00272690">
        <w:rPr>
          <w:rFonts w:ascii="Calibri Light" w:eastAsia="Times New Roman" w:hAnsi="Calibri Light" w:cs="Times New Roman"/>
          <w:noProof/>
        </w:rPr>
        <w:t>(6), 311–317. http://doi.org/10.1016/j.tree.2008.02.007</w:t>
      </w:r>
    </w:p>
    <w:p w14:paraId="45EBA1E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Urban, M. C., &amp; Skelly, D. K. (2006). Evolving Metacommunities: Toward an Evolutionary Perspective on Metacommunities.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87</w:t>
      </w:r>
      <w:r w:rsidRPr="00272690">
        <w:rPr>
          <w:rFonts w:ascii="Calibri Light" w:eastAsia="Times New Roman" w:hAnsi="Calibri Light" w:cs="Times New Roman"/>
          <w:noProof/>
        </w:rPr>
        <w:t>(7), 1616–1626.</w:t>
      </w:r>
    </w:p>
    <w:p w14:paraId="7BAF8EE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Vance, R. R. (1984). Interference Competition and the Coexistence of Two Competitors on a Single Limiting Resource.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65</w:t>
      </w:r>
      <w:r w:rsidRPr="00272690">
        <w:rPr>
          <w:rFonts w:ascii="Calibri Light" w:eastAsia="Times New Roman" w:hAnsi="Calibri Light" w:cs="Times New Roman"/>
          <w:noProof/>
        </w:rPr>
        <w:t>(5), 1349–1357.</w:t>
      </w:r>
    </w:p>
    <w:p w14:paraId="19095E2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Vellend, M. (2016). </w:t>
      </w:r>
      <w:r w:rsidRPr="00272690">
        <w:rPr>
          <w:rFonts w:ascii="Calibri Light" w:eastAsia="Times New Roman" w:hAnsi="Calibri Light" w:cs="Times New Roman"/>
          <w:i/>
          <w:iCs/>
          <w:noProof/>
        </w:rPr>
        <w:t>The Theory of Ecological Communities</w:t>
      </w:r>
      <w:r w:rsidRPr="00272690">
        <w:rPr>
          <w:rFonts w:ascii="Calibri Light" w:eastAsia="Times New Roman" w:hAnsi="Calibri Light" w:cs="Times New Roman"/>
          <w:noProof/>
        </w:rPr>
        <w:t>. Princeton University Press. http://doi.org/10.1016/S0074-6142(05)80002-6</w:t>
      </w:r>
    </w:p>
    <w:p w14:paraId="176CCC5E"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Vellend, M., &amp; Geber, M. A. (2005). Connections between species diversity and genetic diversity.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w:t>
      </w:r>
      <w:r w:rsidRPr="00272690">
        <w:rPr>
          <w:rFonts w:ascii="Calibri Light" w:eastAsia="Times New Roman" w:hAnsi="Calibri Light" w:cs="Times New Roman"/>
          <w:noProof/>
        </w:rPr>
        <w:t>(7), 767–781. http://doi.org/10.1111/j.1461-0248.2005.00775.x</w:t>
      </w:r>
    </w:p>
    <w:p w14:paraId="43E8E45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Venail, P. A., Kaltz, O., Olivieri, I., Pommier, T., &amp; Mouquet, N. (2011). Diversification in temporally heterogeneous environments: Effect of the grain in experimental bacterial populations. </w:t>
      </w:r>
      <w:r w:rsidRPr="00272690">
        <w:rPr>
          <w:rFonts w:ascii="Calibri Light" w:eastAsia="Times New Roman" w:hAnsi="Calibri Light" w:cs="Times New Roman"/>
          <w:i/>
          <w:iCs/>
          <w:noProof/>
        </w:rPr>
        <w:t>Journal of Evolutionary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24</w:t>
      </w:r>
      <w:r w:rsidRPr="00272690">
        <w:rPr>
          <w:rFonts w:ascii="Calibri Light" w:eastAsia="Times New Roman" w:hAnsi="Calibri Light" w:cs="Times New Roman"/>
          <w:noProof/>
        </w:rPr>
        <w:t>(11), 2485–2495. http://doi.org/10.1111/j.1420-9101.2011.02376.x</w:t>
      </w:r>
    </w:p>
    <w:p w14:paraId="588D1EF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Violle, C., Enquist, B. J., McGill, B. J., Jiang, L., Albert, C. H., Hulshof, C., … Messier, J. (2012). The return of the variance: Intraspecific variability in community ecology.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27</w:t>
      </w:r>
      <w:r w:rsidRPr="00272690">
        <w:rPr>
          <w:rFonts w:ascii="Calibri Light" w:eastAsia="Times New Roman" w:hAnsi="Calibri Light" w:cs="Times New Roman"/>
          <w:noProof/>
        </w:rPr>
        <w:t>(4), 244–252. http://doi.org/10.1016/j.tree.2011.11.014</w:t>
      </w:r>
    </w:p>
    <w:p w14:paraId="38EAEF5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Waxman, D., &amp; Gavrilets, S. (2005). 20 Questions on Adaptive Dynamics. </w:t>
      </w:r>
      <w:r w:rsidRPr="00272690">
        <w:rPr>
          <w:rFonts w:ascii="Calibri Light" w:eastAsia="Times New Roman" w:hAnsi="Calibri Light" w:cs="Times New Roman"/>
          <w:i/>
          <w:iCs/>
          <w:noProof/>
        </w:rPr>
        <w:t>Journal of Evolutionary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(5), 1139–1154. http://doi.org/10.1111/j.1420-9101.2005.00948.x</w:t>
      </w:r>
    </w:p>
    <w:p w14:paraId="27ED644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Weber, M. G., Wagner, C. E., Best, R. J., Harmon, L. J., &amp; Matthews, B. (2017). Evolution in a Community Context: On Integrating Ecological Interactions and Macroevolution.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32</w:t>
      </w:r>
      <w:r w:rsidRPr="00272690">
        <w:rPr>
          <w:rFonts w:ascii="Calibri Light" w:eastAsia="Times New Roman" w:hAnsi="Calibri Light" w:cs="Times New Roman"/>
          <w:noProof/>
        </w:rPr>
        <w:t>(4), 291–304. http://doi.org/10.1016/j.tree.2017.01.003</w:t>
      </w:r>
    </w:p>
    <w:p w14:paraId="592CD90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Whitham, T. G., Bailey, J. K., Schweitzer, J. a, Shuster, S. M., Bangert, R. K., LeRoy, C. J., … Wooley, S. C. (2006). A framework for community and ecosystem genetics: from genes to ecosystems. </w:t>
      </w:r>
      <w:r w:rsidRPr="00272690">
        <w:rPr>
          <w:rFonts w:ascii="Calibri Light" w:eastAsia="Times New Roman" w:hAnsi="Calibri Light" w:cs="Times New Roman"/>
          <w:i/>
          <w:iCs/>
          <w:noProof/>
        </w:rPr>
        <w:t>Nature reviews. Genetics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w:t>
      </w:r>
      <w:r w:rsidRPr="00272690">
        <w:rPr>
          <w:rFonts w:ascii="Calibri Light" w:eastAsia="Times New Roman" w:hAnsi="Calibri Light" w:cs="Times New Roman"/>
          <w:noProof/>
        </w:rPr>
        <w:t>(7), 510–523. http://doi.org/10.1038/nrg1877</w:t>
      </w:r>
    </w:p>
    <w:p w14:paraId="288F98B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Wilkinson, D. M. (1999). The Disturbing History of Intermediate Disturbance. </w:t>
      </w:r>
      <w:r w:rsidRPr="00272690">
        <w:rPr>
          <w:rFonts w:ascii="Calibri Light" w:eastAsia="Times New Roman" w:hAnsi="Calibri Light" w:cs="Times New Roman"/>
          <w:i/>
          <w:iCs/>
          <w:noProof/>
        </w:rPr>
        <w:t>Oikos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84</w:t>
      </w:r>
      <w:r w:rsidRPr="00272690">
        <w:rPr>
          <w:rFonts w:ascii="Calibri Light" w:eastAsia="Times New Roman" w:hAnsi="Calibri Light" w:cs="Times New Roman"/>
          <w:noProof/>
        </w:rPr>
        <w:t>(1), 145–147.</w:t>
      </w:r>
    </w:p>
    <w:p w14:paraId="27E2B23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Williams, G. C. (1966). Natural Selection, the Costs of Reproduction, and a Refinement of Lack’s Principle.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100</w:t>
      </w:r>
      <w:r w:rsidRPr="00272690">
        <w:rPr>
          <w:rFonts w:ascii="Calibri Light" w:eastAsia="Times New Roman" w:hAnsi="Calibri Light" w:cs="Times New Roman"/>
          <w:noProof/>
        </w:rPr>
        <w:t>(916), 687–690.</w:t>
      </w:r>
    </w:p>
    <w:p w14:paraId="3EDCE7D7" w14:textId="77777777" w:rsid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Wilson, J. B. (1994). The “Intermediate Disturbance Hypothesis” of species coexistance is based on patch dynamics. </w:t>
      </w:r>
      <w:r w:rsidRPr="00272690">
        <w:rPr>
          <w:rFonts w:ascii="Calibri Light" w:eastAsia="Times New Roman" w:hAnsi="Calibri Light" w:cs="Times New Roman"/>
          <w:i/>
          <w:iCs/>
          <w:noProof/>
        </w:rPr>
        <w:t>New Zealand Journal of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(2), 176–181. http://doi.org/10.1093/plankt/23.10.1147</w:t>
      </w:r>
    </w:p>
    <w:p w14:paraId="238BAE4C" w14:textId="77777777" w:rsidR="00392C6A" w:rsidRPr="00272690" w:rsidRDefault="00392C6A" w:rsidP="00272690">
      <w:pPr>
        <w:widowControl w:val="0"/>
        <w:autoSpaceDE w:val="0"/>
        <w:autoSpaceDN w:val="0"/>
        <w:adjustRightInd w:val="0"/>
        <w:spacing w:before="100" w:after="160" w:line="240" w:lineRule="auto"/>
        <w:ind w:left="480" w:hanging="480"/>
        <w:rPr>
          <w:rFonts w:ascii="Calibri Light" w:hAnsi="Calibri Light"/>
          <w:noProof/>
        </w:rPr>
      </w:pPr>
      <w:bookmarkStart w:id="17" w:name="_GoBack"/>
      <w:bookmarkEnd w:id="17"/>
    </w:p>
    <w:p w14:paraId="2368B541" w14:textId="0EBEB379" w:rsidR="000C2B71" w:rsidRPr="00980F59" w:rsidRDefault="00117284" w:rsidP="00272690">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lang w:val="en-US"/>
        </w:rPr>
      </w:pPr>
      <w:r w:rsidRPr="00980F59">
        <w:rPr>
          <w:rFonts w:asciiTheme="majorHAnsi" w:eastAsia="Arial Unicode MS" w:hAnsiTheme="majorHAnsi" w:cs="Arial Unicode MS"/>
          <w:color w:val="000000"/>
          <w:lang w:val="en-US"/>
        </w:rPr>
        <w:fldChar w:fldCharType="end"/>
      </w:r>
    </w:p>
    <w:p w14:paraId="02FE4952" w14:textId="77777777" w:rsidR="000C2B71" w:rsidRPr="00980F59" w:rsidRDefault="000C2B71" w:rsidP="001110A8">
      <w:pPr>
        <w:spacing w:line="276" w:lineRule="auto"/>
        <w:ind w:firstLine="720"/>
        <w:contextualSpacing/>
        <w:jc w:val="both"/>
        <w:rPr>
          <w:rFonts w:asciiTheme="majorHAnsi" w:hAnsiTheme="majorHAnsi"/>
        </w:rPr>
      </w:pPr>
    </w:p>
    <w:p w14:paraId="29D45F8D" w14:textId="77777777" w:rsidR="00B304BF" w:rsidRPr="00980F59" w:rsidRDefault="00B304BF" w:rsidP="001110A8">
      <w:pPr>
        <w:spacing w:line="276" w:lineRule="auto"/>
        <w:contextualSpacing/>
        <w:rPr>
          <w:rFonts w:asciiTheme="majorHAnsi" w:hAnsiTheme="majorHAnsi"/>
        </w:rPr>
      </w:pPr>
    </w:p>
    <w:sectPr w:rsidR="00B304BF" w:rsidRPr="00980F59" w:rsidSect="005A45DD">
      <w:pgSz w:w="11901" w:h="16817"/>
      <w:pgMar w:top="1440" w:right="1440" w:bottom="1440" w:left="1440" w:header="709" w:footer="709" w:gutter="0"/>
      <w:cols w:space="708"/>
      <w:docGrid w:linePitch="360"/>
      <w:printerSettings r:id="rId2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0T19:51:00Z" w:initials="LNMG">
    <w:p w14:paraId="534E1B2D" w14:textId="4911E897" w:rsidR="00C84023" w:rsidRDefault="00C84023">
      <w:pPr>
        <w:pStyle w:val="CommentText"/>
      </w:pPr>
      <w:r>
        <w:rPr>
          <w:rStyle w:val="CommentReference"/>
        </w:rPr>
        <w:annotationRef/>
      </w:r>
      <w:r>
        <w:t>Ayana:</w:t>
      </w:r>
    </w:p>
    <w:p w14:paraId="27E09187"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Eu não tenho familiariade com a literatura que trata de trade-offs e fiquei um pouco confusa com essa parte. Alguns comentários:</w:t>
      </w:r>
    </w:p>
    <w:p w14:paraId="6D3BB045" w14:textId="77777777" w:rsidR="00C84023" w:rsidRPr="00D13F3C" w:rsidRDefault="00C84023" w:rsidP="00D13F3C">
      <w:pPr>
        <w:spacing w:line="240" w:lineRule="auto"/>
        <w:rPr>
          <w:rFonts w:ascii="Arial" w:eastAsia="Times New Roman" w:hAnsi="Arial" w:cs="Arial"/>
          <w:color w:val="222222"/>
          <w:sz w:val="20"/>
          <w:szCs w:val="20"/>
          <w:lang w:val="en-US"/>
        </w:rPr>
      </w:pPr>
    </w:p>
    <w:p w14:paraId="25E64B2B"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1. Entendo a primeira frase sob a suposição de que todos os indivíduos interagem da mesma forma com o ambiente. Porém fiquei em dúvida do quanto essa suposição é geral.</w:t>
      </w:r>
    </w:p>
    <w:p w14:paraId="0EDE6D17" w14:textId="77777777" w:rsidR="00C84023" w:rsidRPr="00D13F3C" w:rsidRDefault="00C84023" w:rsidP="00D13F3C">
      <w:pPr>
        <w:spacing w:line="240" w:lineRule="auto"/>
        <w:rPr>
          <w:rFonts w:ascii="Arial" w:eastAsia="Times New Roman" w:hAnsi="Arial" w:cs="Arial"/>
          <w:color w:val="222222"/>
          <w:sz w:val="20"/>
          <w:szCs w:val="20"/>
          <w:lang w:val="en-US"/>
        </w:rPr>
      </w:pPr>
    </w:p>
    <w:p w14:paraId="060BD53D"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2. Dado que eu sei como é o seu modelo, fiquei em dúvida também sobre qual a relação entre essa correlação ecológica e o trade-off entre longevidade e fecundidade no seu modelo. Eu entendi a primeira frase como se referindo ao modelo logístico de crescimento populacional. A segunda frase pareceu sugerir que essa correlação entre abundância e mortalidade (que eu poderia chamar de dependância de densidade) pode dar origem ao trade-off entre componentes da estratégia de vida. É isso mesmo? </w:t>
      </w:r>
    </w:p>
    <w:p w14:paraId="0F003C63"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w:t>
      </w:r>
    </w:p>
    <w:p w14:paraId="1719506C"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3. Parte da minha dificuldade com essa parte talvez venha do fato de eu não tenho claro o que são correlações fisiológicas. Tipicamente eu associo aspectos fisiológicos e ecológicos aos mecanismos por trás de trade-offs e correlações fenotípicas, genotípicas ou filogenéticas a padrões potencialmente associados aos mesmos.</w:t>
      </w:r>
    </w:p>
    <w:p w14:paraId="641D09E8" w14:textId="77777777" w:rsidR="00C84023" w:rsidRDefault="00C84023">
      <w:pPr>
        <w:pStyle w:val="CommentText"/>
      </w:pPr>
    </w:p>
  </w:comment>
  <w:comment w:id="2" w:author="LUISA NOVARA MONCLAR GONÇALVES" w:date="2017-07-10T20:43:00Z" w:initials="LNMG">
    <w:p w14:paraId="7CD830AA" w14:textId="39864F6F" w:rsidR="00C84023" w:rsidRDefault="00C84023">
      <w:pPr>
        <w:pStyle w:val="CommentText"/>
      </w:pPr>
      <w:r>
        <w:rPr>
          <w:rStyle w:val="CommentReference"/>
        </w:rPr>
        <w:annotationRef/>
      </w:r>
      <w:r>
        <w:t>Ayana:</w:t>
      </w:r>
    </w:p>
    <w:p w14:paraId="6DEC42B0" w14:textId="77777777" w:rsidR="00C84023" w:rsidRPr="000C04BF" w:rsidRDefault="00C84023" w:rsidP="000C04BF">
      <w:pPr>
        <w:spacing w:line="240" w:lineRule="auto"/>
        <w:rPr>
          <w:rFonts w:ascii="Times New Roman" w:eastAsia="Times New Roman" w:hAnsi="Times New Roman" w:cs="Times New Roman"/>
          <w:lang w:val="en-US"/>
        </w:rPr>
      </w:pPr>
      <w:r w:rsidRPr="000C04BF">
        <w:rPr>
          <w:rFonts w:ascii="Arial" w:eastAsia="Times New Roman" w:hAnsi="Arial" w:cs="Arial"/>
          <w:color w:val="222222"/>
          <w:sz w:val="20"/>
          <w:szCs w:val="20"/>
          <w:shd w:val="clear" w:color="auto" w:fill="FFFFFF"/>
          <w:lang w:val="en-US"/>
        </w:rPr>
        <w:t>Essa distinção é super relevante para o seu trabalho e acho importante tratar dessa dela explicitamente. Vale ressaltar que a relação entre seleção natural, adaptação, exclusão competitiva e filtragem ambiental é relativamente controversa. Uma interpretação possível  da sua frase é que a dinâmica evolutiva estaria contida na dinâmica ecológica em alguns casos. Por exemplo, se nada mais mudar e a frequência relativa de estratégias mudar em uma espécie, a distribuição na comunidade mudaria. Outra alternativa é considetar que a dinâmica ecológica é que mudança na distribuição de estratégias na comunidade depois de descontados os efeitos das mudanças dentro das espécies ou populacões. Acho que vale a pena deixar isso mais claro. Por sinal, para mim não é tão claro o que é "abundância das estratégias"</w:t>
      </w:r>
    </w:p>
    <w:p w14:paraId="1C0CFE59" w14:textId="77777777" w:rsidR="00C84023" w:rsidRDefault="00C84023">
      <w:pPr>
        <w:pStyle w:val="CommentText"/>
      </w:pPr>
    </w:p>
  </w:comment>
  <w:comment w:id="3" w:author="Alexandre Adalardo de Oliveira" w:date="2017-06-28T16:20:00Z" w:initials="AO">
    <w:p w14:paraId="6F437CB3" w14:textId="77777777" w:rsidR="00C84023" w:rsidRDefault="00C84023" w:rsidP="000C2B71">
      <w:r>
        <w:rPr>
          <w:rFonts w:ascii="Calibri" w:eastAsia="Calibri" w:hAnsi="Calibri"/>
          <w:color w:val="00000A"/>
          <w:sz w:val="20"/>
        </w:rPr>
        <w:t>Competição não leva a limitação da similiaridade de estratégias?? Acho que o que leva a uma maior similaridade é a pressão de fatores abióticos ambientais, restringindo as estratégias viáveis…</w:t>
      </w:r>
    </w:p>
    <w:p w14:paraId="0B13D292" w14:textId="77777777" w:rsidR="00C84023" w:rsidRDefault="00C84023" w:rsidP="000C2B71">
      <w:r>
        <w:rPr>
          <w:rFonts w:ascii="Calibri" w:eastAsia="Calibri" w:hAnsi="Calibri"/>
          <w:color w:val="00000A"/>
          <w:sz w:val="20"/>
        </w:rPr>
        <w:t>Ambos processos de nicho, mas não entendo competição levando à convergência..  você está falando de mímicos Mullerianos/Batesianos?</w:t>
      </w:r>
    </w:p>
  </w:comment>
  <w:comment w:id="4" w:author="LUISA NOVARA MONCLAR GONÇALVES" w:date="2017-07-11T02:50:00Z" w:initials="LNMG">
    <w:p w14:paraId="3BD6D462" w14:textId="6777900A" w:rsidR="00C84023" w:rsidRDefault="00C84023">
      <w:pPr>
        <w:pStyle w:val="CommentText"/>
      </w:pPr>
      <w:r>
        <w:rPr>
          <w:rStyle w:val="CommentReference"/>
        </w:rPr>
        <w:annotationRef/>
      </w:r>
      <w:r>
        <w:t>Luanne: por que isso dentre outras coisas que poderiam representar a longevidade?</w:t>
      </w:r>
    </w:p>
  </w:comment>
  <w:comment w:id="5" w:author="LUISA NOVARA MONCLAR GONÇALVES" w:date="2017-07-11T02:55:00Z" w:initials="LNMG">
    <w:p w14:paraId="6FCAAD8B" w14:textId="426C295D" w:rsidR="00C84023" w:rsidRDefault="00C84023">
      <w:pPr>
        <w:pStyle w:val="CommentText"/>
      </w:pPr>
      <w:r>
        <w:rPr>
          <w:rStyle w:val="CommentReference"/>
        </w:rPr>
        <w:annotationRef/>
      </w:r>
      <w:r>
        <w:t>Luanne: deixar resposta pronta caso perguntem pq fixei o número de gametas masculinos.</w:t>
      </w:r>
    </w:p>
  </w:comment>
  <w:comment w:id="6" w:author="LUISA NOVARA MONCLAR GONÇALVES" w:date="2017-07-11T03:41:00Z" w:initials="LNMG">
    <w:p w14:paraId="1DFB323A" w14:textId="6EEB541A" w:rsidR="00C84023" w:rsidRDefault="00C84023">
      <w:pPr>
        <w:pStyle w:val="CommentText"/>
      </w:pPr>
      <w:r>
        <w:rPr>
          <w:rStyle w:val="CommentReference"/>
        </w:rPr>
        <w:annotationRef/>
      </w:r>
      <w:r>
        <w:t>Revisar!</w:t>
      </w:r>
    </w:p>
  </w:comment>
  <w:comment w:id="7" w:author="LUISA NOVARA MONCLAR GONÇALVES" w:date="2017-07-11T02:57:00Z" w:initials="LNMG">
    <w:p w14:paraId="34D62390" w14:textId="339CC2EE" w:rsidR="00C84023" w:rsidRDefault="00C84023">
      <w:pPr>
        <w:pStyle w:val="CommentText"/>
      </w:pPr>
      <w:r>
        <w:rPr>
          <w:rStyle w:val="CommentReference"/>
        </w:rPr>
        <w:annotationRef/>
      </w:r>
      <w:r>
        <w:t>Arrumar isso e revisar grafia de todos os números!</w:t>
      </w:r>
    </w:p>
  </w:comment>
  <w:comment w:id="8" w:author="LUISA NOVARA MONCLAR GONÇALVES" w:date="2017-07-11T02:59:00Z" w:initials="LNMG">
    <w:p w14:paraId="3A56B5FE" w14:textId="646692B8" w:rsidR="00C84023" w:rsidRDefault="00C84023">
      <w:pPr>
        <w:pStyle w:val="CommentText"/>
      </w:pPr>
      <w:r>
        <w:rPr>
          <w:rStyle w:val="CommentReference"/>
        </w:rPr>
        <w:annotationRef/>
      </w:r>
      <w:r>
        <w:t>Luanne: inserir info sobre riqueza de florestas temperadas.</w:t>
      </w:r>
    </w:p>
  </w:comment>
  <w:comment w:id="9" w:author="LUISA NOVARA MONCLAR GONÇALVES" w:date="2017-07-11T03:00:00Z" w:initials="LNMG">
    <w:p w14:paraId="217F6216" w14:textId="3A12C8C0" w:rsidR="00C84023" w:rsidRDefault="00C84023">
      <w:pPr>
        <w:pStyle w:val="CommentText"/>
      </w:pPr>
      <w:r>
        <w:rPr>
          <w:rStyle w:val="CommentReference"/>
        </w:rPr>
        <w:annotationRef/>
      </w:r>
      <w:r>
        <w:t>Luanne: porque esta espécie? Sua produção é alta?</w:t>
      </w:r>
    </w:p>
  </w:comment>
  <w:comment w:id="10" w:author="LUISA NOVARA MONCLAR GONÇALVES" w:date="2017-07-11T19:19:00Z" w:initials="LNMG">
    <w:p w14:paraId="332FE158" w14:textId="39BFE3F7" w:rsidR="00086CEC" w:rsidRDefault="00086CEC">
      <w:pPr>
        <w:pStyle w:val="CommentText"/>
      </w:pPr>
      <w:r>
        <w:rPr>
          <w:rStyle w:val="CommentReference"/>
        </w:rPr>
        <w:annotationRef/>
      </w:r>
      <w:r>
        <w:t>Ale: mudar o nome</w:t>
      </w:r>
    </w:p>
  </w:comment>
  <w:comment w:id="11" w:author="LUISA NOVARA MONCLAR GONÇALVES" w:date="2017-07-11T03:14:00Z" w:initials="LNMG">
    <w:p w14:paraId="6D0C7427" w14:textId="7FB04676" w:rsidR="00C84023" w:rsidRDefault="00C84023">
      <w:pPr>
        <w:pStyle w:val="CommentText"/>
      </w:pPr>
      <w:r>
        <w:rPr>
          <w:rStyle w:val="CommentReference"/>
        </w:rPr>
        <w:annotationRef/>
      </w:r>
      <w:r>
        <w:t>Luanne: Aparece antes do Apêndice 2. Mudar ordem no Apêndice.</w:t>
      </w:r>
    </w:p>
  </w:comment>
  <w:comment w:id="12" w:author="LUISA NOVARA MONCLAR GONÇALVES" w:date="2017-07-11T23:08:00Z" w:initials="LNMG">
    <w:p w14:paraId="6E5F2121" w14:textId="05F58E21" w:rsidR="0019438B" w:rsidRDefault="0019438B">
      <w:pPr>
        <w:pStyle w:val="CommentText"/>
      </w:pPr>
      <w:r>
        <w:rPr>
          <w:rStyle w:val="CommentReference"/>
        </w:rPr>
        <w:annotationRef/>
      </w:r>
      <w:r>
        <w:t>Luanne: o q ser isso?</w:t>
      </w:r>
    </w:p>
  </w:comment>
  <w:comment w:id="13" w:author="Alexandre Adalardo de Oliveira" w:date="2017-06-30T15:29:00Z" w:initials="AO">
    <w:p w14:paraId="4CC4328B" w14:textId="77777777" w:rsidR="00C84023" w:rsidRDefault="00C84023" w:rsidP="00085C73">
      <w:r>
        <w:rPr>
          <w:rFonts w:ascii="Calibri" w:hAnsi="Calibri"/>
          <w:sz w:val="20"/>
        </w:rPr>
        <w:t>Poderia fazer um paralelo com as estrateǵias aquisitivas e conservativas. Sei que parece muito do mesmo, mas está na moda e você precisa colocar em contextos atuais, por exemplo o espectro de economia foliar….</w:t>
      </w:r>
    </w:p>
    <w:p w14:paraId="1DD3DEB5" w14:textId="77777777" w:rsidR="00C84023" w:rsidRDefault="00C84023" w:rsidP="00085C73"/>
  </w:comment>
  <w:comment w:id="14" w:author="Alexandre Adalardo de Oliveira" w:date="2017-06-30T15:31:00Z" w:initials="AO">
    <w:p w14:paraId="641381EB" w14:textId="77777777" w:rsidR="00C84023" w:rsidRDefault="00C84023" w:rsidP="00085C73">
      <w:r>
        <w:rPr>
          <w:rFonts w:ascii="Calibri" w:hAnsi="Calibri"/>
          <w:sz w:val="20"/>
        </w:rPr>
        <w:t>Estratégia aquisitiva!</w:t>
      </w:r>
    </w:p>
  </w:comment>
  <w:comment w:id="15" w:author="LUISA NOVARA MONCLAR GONÇALVES" w:date="2017-07-12T00:49:00Z" w:initials="LNMG">
    <w:p w14:paraId="7D664997" w14:textId="0B41BB5A" w:rsidR="001970F7" w:rsidRDefault="001970F7">
      <w:pPr>
        <w:pStyle w:val="CommentText"/>
      </w:pPr>
      <w:r>
        <w:rPr>
          <w:rStyle w:val="CommentReference"/>
        </w:rPr>
        <w:annotationRef/>
      </w:r>
      <w:r>
        <w:t>Luanne: mas por que ela aumentou tão rápido?</w:t>
      </w:r>
    </w:p>
  </w:comment>
  <w:comment w:id="16" w:author="LUISA NOVARA MONCLAR GONÇALVES" w:date="2017-07-12T01:56:00Z" w:initials="LNMG">
    <w:p w14:paraId="46929DFD" w14:textId="34C757EF" w:rsidR="00C739D4" w:rsidRDefault="00C739D4">
      <w:pPr>
        <w:pStyle w:val="CommentText"/>
      </w:pPr>
      <w:r>
        <w:rPr>
          <w:rStyle w:val="CommentReference"/>
        </w:rPr>
        <w:annotationRef/>
      </w:r>
      <w:r>
        <w:t>Luanne: ainda que a interpretação seja diferente, o que ocorreu ocorreu.</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1D09E8" w15:done="0"/>
  <w15:commentEx w15:paraId="1C0CFE59" w15:done="0"/>
  <w15:commentEx w15:paraId="0B13D292" w15:done="0"/>
  <w15:commentEx w15:paraId="3BD6D462" w15:done="0"/>
  <w15:commentEx w15:paraId="6FCAAD8B" w15:done="0"/>
  <w15:commentEx w15:paraId="1DFB323A" w15:done="0"/>
  <w15:commentEx w15:paraId="34D62390" w15:done="0"/>
  <w15:commentEx w15:paraId="3A56B5FE" w15:done="0"/>
  <w15:commentEx w15:paraId="217F6216" w15:done="0"/>
  <w15:commentEx w15:paraId="332FE158" w15:done="0"/>
  <w15:commentEx w15:paraId="6D0C7427" w15:done="0"/>
  <w15:commentEx w15:paraId="6E5F2121" w15:done="0"/>
  <w15:commentEx w15:paraId="1DD3DEB5" w15:done="0"/>
  <w15:commentEx w15:paraId="641381EB" w15:done="0"/>
  <w15:commentEx w15:paraId="7D664997" w15:done="0"/>
  <w15:commentEx w15:paraId="46929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9FC825" w14:textId="77777777" w:rsidR="008F1C53" w:rsidRDefault="008F1C53" w:rsidP="000C2B71">
      <w:pPr>
        <w:spacing w:line="240" w:lineRule="auto"/>
      </w:pPr>
      <w:r>
        <w:separator/>
      </w:r>
    </w:p>
  </w:endnote>
  <w:endnote w:type="continuationSeparator" w:id="0">
    <w:p w14:paraId="3D69F79A" w14:textId="77777777" w:rsidR="008F1C53" w:rsidRDefault="008F1C53"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04F8D6" w14:textId="77777777" w:rsidR="008F1C53" w:rsidRDefault="008F1C53" w:rsidP="000C2B71">
      <w:pPr>
        <w:spacing w:line="240" w:lineRule="auto"/>
      </w:pPr>
      <w:r>
        <w:separator/>
      </w:r>
    </w:p>
  </w:footnote>
  <w:footnote w:type="continuationSeparator" w:id="0">
    <w:p w14:paraId="637A9B1E" w14:textId="77777777" w:rsidR="008F1C53" w:rsidRDefault="008F1C53" w:rsidP="000C2B71">
      <w:pPr>
        <w:spacing w:line="240" w:lineRule="auto"/>
      </w:pPr>
      <w:r>
        <w:continuationSeparator/>
      </w:r>
    </w:p>
  </w:footnote>
  <w:footnote w:id="1">
    <w:p w14:paraId="02FDB377" w14:textId="4B1E4C72" w:rsidR="003202C2" w:rsidRPr="00D7759C" w:rsidRDefault="00D7759C" w:rsidP="00D7759C">
      <w:pPr>
        <w:pStyle w:val="FootnoteText"/>
        <w:spacing w:line="276" w:lineRule="auto"/>
        <w:jc w:val="both"/>
        <w:rPr>
          <w:rFonts w:asciiTheme="majorHAnsi" w:hAnsiTheme="majorHAnsi"/>
          <w:sz w:val="22"/>
          <w:szCs w:val="22"/>
          <w:lang w:val="en-US"/>
        </w:rPr>
      </w:pPr>
      <w:r w:rsidRPr="00D7759C">
        <w:rPr>
          <w:rStyle w:val="FootnoteReference"/>
          <w:rFonts w:asciiTheme="majorHAnsi" w:hAnsiTheme="majorHAnsi"/>
          <w:sz w:val="22"/>
          <w:szCs w:val="22"/>
        </w:rPr>
        <w:footnoteRef/>
      </w:r>
      <w:r w:rsidRPr="00D7759C">
        <w:rPr>
          <w:rFonts w:asciiTheme="majorHAnsi" w:hAnsiTheme="majorHAnsi"/>
          <w:sz w:val="22"/>
          <w:szCs w:val="22"/>
        </w:rPr>
        <w:t xml:space="preserve"> </w:t>
      </w:r>
      <w:r w:rsidR="00140EFD">
        <w:rPr>
          <w:rFonts w:asciiTheme="majorHAnsi" w:hAnsiTheme="majorHAnsi"/>
          <w:sz w:val="22"/>
          <w:szCs w:val="22"/>
          <w:lang w:val="en-US"/>
        </w:rPr>
        <w:t>A</w:t>
      </w:r>
      <w:r w:rsidR="00676FC0">
        <w:rPr>
          <w:rFonts w:asciiTheme="majorHAnsi" w:hAnsiTheme="majorHAnsi"/>
          <w:sz w:val="22"/>
          <w:szCs w:val="22"/>
          <w:lang w:val="en-US"/>
        </w:rPr>
        <w:t>s</w:t>
      </w:r>
      <w:r w:rsidR="00140EFD">
        <w:rPr>
          <w:rFonts w:asciiTheme="majorHAnsi" w:hAnsiTheme="majorHAnsi"/>
          <w:sz w:val="22"/>
          <w:szCs w:val="22"/>
          <w:lang w:val="en-US"/>
        </w:rPr>
        <w:t xml:space="preserve"> capacidade</w:t>
      </w:r>
      <w:r w:rsidR="00676FC0">
        <w:rPr>
          <w:rFonts w:asciiTheme="majorHAnsi" w:hAnsiTheme="majorHAnsi"/>
          <w:sz w:val="22"/>
          <w:szCs w:val="22"/>
          <w:lang w:val="en-US"/>
        </w:rPr>
        <w:t>s</w:t>
      </w:r>
      <w:r w:rsidR="00140EFD">
        <w:rPr>
          <w:rFonts w:asciiTheme="majorHAnsi" w:hAnsiTheme="majorHAnsi"/>
          <w:sz w:val="22"/>
          <w:szCs w:val="22"/>
          <w:lang w:val="en-US"/>
        </w:rPr>
        <w:t xml:space="preserve"> de manutenção, </w:t>
      </w:r>
      <w:r w:rsidRPr="00D7759C">
        <w:rPr>
          <w:rFonts w:asciiTheme="majorHAnsi" w:hAnsiTheme="majorHAnsi"/>
          <w:sz w:val="22"/>
          <w:szCs w:val="22"/>
          <w:lang w:val="en-US"/>
        </w:rPr>
        <w:t xml:space="preserve">de crescimento </w:t>
      </w:r>
      <w:r w:rsidR="00140EFD">
        <w:rPr>
          <w:rFonts w:asciiTheme="majorHAnsi" w:hAnsiTheme="majorHAnsi"/>
          <w:sz w:val="22"/>
          <w:szCs w:val="22"/>
          <w:lang w:val="en-US"/>
        </w:rPr>
        <w:t xml:space="preserve">e de </w:t>
      </w:r>
      <w:r w:rsidR="00E63612">
        <w:rPr>
          <w:rFonts w:asciiTheme="majorHAnsi" w:hAnsiTheme="majorHAnsi"/>
          <w:sz w:val="22"/>
          <w:szCs w:val="22"/>
          <w:lang w:val="en-US"/>
        </w:rPr>
        <w:t>reserva</w:t>
      </w:r>
      <w:r w:rsidR="00140EFD">
        <w:rPr>
          <w:rFonts w:asciiTheme="majorHAnsi" w:hAnsiTheme="majorHAnsi"/>
          <w:sz w:val="22"/>
          <w:szCs w:val="22"/>
          <w:lang w:val="en-US"/>
        </w:rPr>
        <w:t xml:space="preserve"> </w:t>
      </w:r>
      <w:r w:rsidR="00E63612">
        <w:rPr>
          <w:rFonts w:asciiTheme="majorHAnsi" w:hAnsiTheme="majorHAnsi"/>
          <w:sz w:val="22"/>
          <w:szCs w:val="22"/>
          <w:lang w:val="en-US"/>
        </w:rPr>
        <w:t>de recursos</w:t>
      </w:r>
      <w:r w:rsidR="00140EFD">
        <w:rPr>
          <w:rFonts w:asciiTheme="majorHAnsi" w:hAnsiTheme="majorHAnsi"/>
          <w:sz w:val="22"/>
          <w:szCs w:val="22"/>
          <w:lang w:val="en-US"/>
        </w:rPr>
        <w:t xml:space="preserve"> </w:t>
      </w:r>
      <w:r w:rsidRPr="00D7759C">
        <w:rPr>
          <w:rFonts w:asciiTheme="majorHAnsi" w:hAnsiTheme="majorHAnsi"/>
          <w:sz w:val="22"/>
          <w:szCs w:val="22"/>
          <w:lang w:val="en-US"/>
        </w:rPr>
        <w:t>tamb</w:t>
      </w:r>
      <w:r w:rsidR="0052391B">
        <w:rPr>
          <w:rFonts w:asciiTheme="majorHAnsi" w:hAnsiTheme="majorHAnsi"/>
          <w:sz w:val="22"/>
          <w:szCs w:val="22"/>
          <w:lang w:val="en-US"/>
        </w:rPr>
        <w:t xml:space="preserve">ém </w:t>
      </w:r>
      <w:r w:rsidR="00F32E7A">
        <w:rPr>
          <w:rFonts w:asciiTheme="majorHAnsi" w:hAnsiTheme="majorHAnsi"/>
          <w:sz w:val="22"/>
          <w:szCs w:val="22"/>
          <w:lang w:val="en-US"/>
        </w:rPr>
        <w:t>são atributos relacionados à</w:t>
      </w:r>
      <w:r w:rsidR="0052391B">
        <w:rPr>
          <w:rFonts w:asciiTheme="majorHAnsi" w:hAnsiTheme="majorHAnsi"/>
          <w:sz w:val="22"/>
          <w:szCs w:val="22"/>
          <w:lang w:val="en-US"/>
        </w:rPr>
        <w:t xml:space="preserve"> aptidão dos indivíduos (</w:t>
      </w:r>
      <w:r w:rsidR="0052391B" w:rsidRPr="00077AB1">
        <w:rPr>
          <w:rFonts w:asciiTheme="majorHAnsi" w:hAnsiTheme="majorHAnsi"/>
          <w:highlight w:val="red"/>
        </w:rPr>
        <w:t>cap III.11, PGTEvo</w:t>
      </w:r>
      <w:r w:rsidR="00E63612">
        <w:rPr>
          <w:rFonts w:asciiTheme="majorHAnsi" w:hAnsiTheme="majorHAnsi"/>
          <w:sz w:val="22"/>
          <w:szCs w:val="22"/>
          <w:lang w:val="en-US"/>
        </w:rPr>
        <w:t xml:space="preserve">). No entanto, em geral, essas capacidades </w:t>
      </w:r>
      <w:r w:rsidR="00676FC0">
        <w:rPr>
          <w:rFonts w:asciiTheme="majorHAnsi" w:hAnsiTheme="majorHAnsi"/>
          <w:sz w:val="22"/>
          <w:szCs w:val="22"/>
          <w:lang w:val="en-US"/>
        </w:rPr>
        <w:t>se relacionam</w:t>
      </w:r>
      <w:r w:rsidR="00E63612">
        <w:rPr>
          <w:rFonts w:asciiTheme="majorHAnsi" w:hAnsiTheme="majorHAnsi"/>
          <w:sz w:val="22"/>
          <w:szCs w:val="22"/>
          <w:lang w:val="en-US"/>
        </w:rPr>
        <w:t xml:space="preserve"> </w:t>
      </w:r>
      <w:r w:rsidR="00676FC0">
        <w:rPr>
          <w:rFonts w:asciiTheme="majorHAnsi" w:hAnsiTheme="majorHAnsi"/>
          <w:sz w:val="22"/>
          <w:szCs w:val="22"/>
          <w:lang w:val="en-US"/>
        </w:rPr>
        <w:t xml:space="preserve">à aptidão </w:t>
      </w:r>
      <w:r w:rsidR="00E63612">
        <w:rPr>
          <w:rFonts w:asciiTheme="majorHAnsi" w:hAnsiTheme="majorHAnsi"/>
          <w:sz w:val="22"/>
          <w:szCs w:val="22"/>
          <w:lang w:val="en-US"/>
        </w:rPr>
        <w:t xml:space="preserve">de forma indireta, por meio do aumento ou da redução das capacidades de </w:t>
      </w:r>
      <w:r w:rsidR="0052391B">
        <w:rPr>
          <w:rFonts w:asciiTheme="majorHAnsi" w:hAnsiTheme="majorHAnsi"/>
          <w:sz w:val="22"/>
          <w:szCs w:val="22"/>
          <w:lang w:val="en-US"/>
        </w:rPr>
        <w:t>sobrevivên</w:t>
      </w:r>
      <w:r w:rsidR="00E63612">
        <w:rPr>
          <w:rFonts w:asciiTheme="majorHAnsi" w:hAnsiTheme="majorHAnsi"/>
          <w:sz w:val="22"/>
          <w:szCs w:val="22"/>
          <w:lang w:val="en-US"/>
        </w:rPr>
        <w:t>cia e de</w:t>
      </w:r>
      <w:r w:rsidR="00F32E7A">
        <w:rPr>
          <w:rFonts w:asciiTheme="majorHAnsi" w:hAnsiTheme="majorHAnsi"/>
          <w:sz w:val="22"/>
          <w:szCs w:val="22"/>
          <w:lang w:val="en-US"/>
        </w:rPr>
        <w:t xml:space="preserve"> rep</w:t>
      </w:r>
      <w:r w:rsidR="00676FC0">
        <w:rPr>
          <w:rFonts w:asciiTheme="majorHAnsi" w:hAnsiTheme="majorHAnsi"/>
          <w:sz w:val="22"/>
          <w:szCs w:val="22"/>
          <w:lang w:val="en-US"/>
        </w:rPr>
        <w:t xml:space="preserve">rodução. </w:t>
      </w:r>
      <w:r w:rsidR="00676FC0">
        <w:rPr>
          <w:rFonts w:asciiTheme="majorHAnsi" w:hAnsiTheme="majorHAnsi"/>
          <w:sz w:val="22"/>
          <w:szCs w:val="22"/>
          <w:lang w:val="en-US"/>
        </w:rPr>
        <w:t>Há, inclusive, definições de aptidão como o desempenho de um indivíduo (ou uma outra unidade replicante) em se reproduzir e sobreviver (</w:t>
      </w:r>
      <w:r w:rsidR="00676FC0" w:rsidRPr="003202C2">
        <w:rPr>
          <w:rFonts w:asciiTheme="majorHAnsi" w:hAnsiTheme="majorHAnsi"/>
          <w:sz w:val="22"/>
          <w:szCs w:val="22"/>
          <w:highlight w:val="red"/>
          <w:lang w:val="en-US"/>
        </w:rPr>
        <w:t>cap III.3, PGTEvo</w:t>
      </w:r>
      <w:r w:rsidR="00676FC0">
        <w:rPr>
          <w:rFonts w:asciiTheme="majorHAnsi" w:hAnsiTheme="majorHAnsi"/>
          <w:sz w:val="22"/>
          <w:szCs w:val="22"/>
          <w:lang w:val="en-US"/>
        </w:rPr>
        <w:t>).</w:t>
      </w:r>
    </w:p>
  </w:footnote>
  <w:footnote w:id="2">
    <w:p w14:paraId="1281E21D" w14:textId="13E56E3D" w:rsidR="00C84023" w:rsidRPr="00F4652D" w:rsidRDefault="00C84023"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colonizadores poderiam ser considerados bons competidores quando a ocupação rápida do espaço for importante para a persistência na comunidade.</w:t>
      </w:r>
    </w:p>
  </w:footnote>
  <w:footnote w:id="3">
    <w:p w14:paraId="1BCC396B" w14:textId="4368044A" w:rsidR="00C84023" w:rsidRPr="000D627E" w:rsidRDefault="00C84023"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 xml:space="preserve">Pode haver, ainda, correlações genéticas entre os atributos 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0D91BE3E" w:rsidR="00C84023" w:rsidRPr="00BE056C" w:rsidRDefault="00C84023"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modelos demográficos que incluíram explicitamente flutuações na sobrevivência ou na fecundidade dos indivíduos podem levar a resultados diferentes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544F9CE7" w14:textId="77777777" w:rsidR="00C84023" w:rsidRPr="005639F8" w:rsidRDefault="00C84023"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sidRPr="004D598A">
        <w:rPr>
          <w:rStyle w:val="s1"/>
          <w:rFonts w:ascii="Calibri Light" w:hAnsi="Calibri Light"/>
          <w:color w:val="000000" w:themeColor="text1"/>
          <w:sz w:val="22"/>
          <w:szCs w:val="22"/>
        </w:rPr>
        <w:t xml:space="preserve">A técnica do hipercubo latino consiste em uma amostragem sistemática das distribuições de probabilidade dos parâmetros de um modelo, dividindo-as em regiões equiprováveis e sorteando um valor de cada região </w:t>
      </w:r>
      <w:r w:rsidRPr="00BC0457">
        <w:rPr>
          <w:rStyle w:val="s1"/>
          <w:rFonts w:ascii="Calibri Light" w:hAnsi="Calibri Light"/>
          <w:color w:val="000000" w:themeColor="text1"/>
          <w:sz w:val="22"/>
          <w:szCs w:val="22"/>
          <w:highlight w:val="lightGray"/>
        </w:rPr>
        <w:t>(Chalom &amp; Prado, 2012)</w:t>
      </w:r>
      <w:r w:rsidRPr="004D598A">
        <w:rPr>
          <w:rStyle w:val="s1"/>
          <w:rFonts w:ascii="Calibri Light" w:hAnsi="Calibri Light"/>
          <w:color w:val="000000" w:themeColor="text1"/>
          <w:sz w:val="22"/>
          <w:szCs w:val="22"/>
        </w:rPr>
        <w:t>. Os valores sorteados são combinados entre si e utilizados como entrada no modelo (o conjunto com um valor de cada um dos parâmetros constitui uma amostra do espaço paramétrico).</w:t>
      </w:r>
    </w:p>
  </w:footnote>
  <w:footnote w:id="6">
    <w:p w14:paraId="0D433E49" w14:textId="77777777" w:rsidR="00C84023" w:rsidRPr="00592DA1" w:rsidRDefault="00C84023"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a diversidade total de estratégias e a heterogeneidade</w:t>
      </w:r>
      <w:r w:rsidRPr="008153C2">
        <w:rPr>
          <w:rFonts w:ascii="Calibri Light" w:hAnsi="Calibri Light"/>
          <w:sz w:val="22"/>
          <w:szCs w:val="22"/>
        </w:rPr>
        <w:t xml:space="preserve"> interespecífica da estratégia de vida </w:t>
      </w:r>
      <w:r w:rsidRPr="00592DA1">
        <w:rPr>
          <w:rFonts w:ascii="Calibri Light" w:hAnsi="Calibri Light"/>
          <w:color w:val="000000" w:themeColor="text1"/>
          <w:sz w:val="22"/>
          <w:szCs w:val="22"/>
        </w:rPr>
        <w:t xml:space="preserve">são variáveis contínuas, positivas e </w:t>
      </w:r>
      <w:r w:rsidRPr="00662E30">
        <w:rPr>
          <w:rFonts w:ascii="Calibri Light" w:hAnsi="Calibri Light"/>
          <w:color w:val="000000" w:themeColor="text1"/>
          <w:sz w:val="22"/>
          <w:szCs w:val="22"/>
          <w:highlight w:val="yellow"/>
        </w:rPr>
        <w:t>assimétricas</w:t>
      </w:r>
      <w:r w:rsidRPr="00592DA1">
        <w:rPr>
          <w:rFonts w:ascii="Calibri Light" w:hAnsi="Calibri Light"/>
          <w:color w:val="000000" w:themeColor="text1"/>
          <w:sz w:val="22"/>
          <w:szCs w:val="22"/>
        </w:rPr>
        <w:t xml:space="preserve">. </w:t>
      </w:r>
      <w:r w:rsidRPr="008D78F3">
        <w:rPr>
          <w:rFonts w:ascii="Calibri Light" w:hAnsi="Calibri Light"/>
          <w:color w:val="000000" w:themeColor="text1"/>
          <w:sz w:val="22"/>
          <w:szCs w:val="22"/>
          <w:highlight w:val="red"/>
        </w:rPr>
        <w:t>A variação intraespecífica no índice de estratégia de vida, como explicitado na seção 4.1, é dada a partir do sorteio de uma distribuição gaussiana, no momento de determinação do índice de estratégia dos indivíduos novos da comunidade.</w:t>
      </w:r>
      <w:r w:rsidRPr="00592DA1">
        <w:rPr>
          <w:rFonts w:ascii="Calibri Light" w:hAnsi="Calibri Light"/>
          <w:color w:val="000000" w:themeColor="text1"/>
          <w:sz w:val="22"/>
          <w:szCs w:val="22"/>
        </w:rPr>
        <w:t xml:space="preserve"> Considerando essas características, as distribuições de probabilidade mais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p>
  </w:footnote>
  <w:footnote w:id="7">
    <w:p w14:paraId="2F7A0946" w14:textId="6A70A9CC" w:rsidR="00C84023" w:rsidRPr="001C0ED8" w:rsidRDefault="00C84023"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sidR="000855B5">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sidR="00FE579B">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sidR="00FE579B">
        <w:rPr>
          <w:rFonts w:asciiTheme="majorHAnsi" w:hAnsiTheme="majorHAnsi"/>
          <w:color w:val="000000" w:themeColor="text1"/>
          <w:sz w:val="22"/>
          <w:szCs w:val="22"/>
        </w:rPr>
        <w:t xml:space="preserve">com maiores capacidades </w:t>
      </w:r>
      <w:r>
        <w:rPr>
          <w:rFonts w:asciiTheme="majorHAnsi" w:hAnsiTheme="majorHAnsi"/>
          <w:color w:val="000000" w:themeColor="text1"/>
          <w:sz w:val="22"/>
          <w:szCs w:val="22"/>
        </w:rPr>
        <w:t xml:space="preserve">de </w:t>
      </w:r>
      <w:r w:rsidRPr="007B1A80">
        <w:rPr>
          <w:rFonts w:asciiTheme="majorHAnsi" w:hAnsiTheme="majorHAnsi"/>
          <w:color w:val="000000" w:themeColor="text1"/>
          <w:sz w:val="22"/>
          <w:szCs w:val="22"/>
        </w:rPr>
        <w:t>sobrevivência é a mesma nos dois casos.</w:t>
      </w:r>
    </w:p>
  </w:footnote>
  <w:footnote w:id="8">
    <w:p w14:paraId="77C29BAB" w14:textId="77777777" w:rsidR="00C84023" w:rsidRDefault="00C84023"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C84023" w:rsidRPr="00A16239" w:rsidRDefault="00C84023"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060B"/>
    <w:rsid w:val="00021776"/>
    <w:rsid w:val="00024CF9"/>
    <w:rsid w:val="00033943"/>
    <w:rsid w:val="00043B37"/>
    <w:rsid w:val="0004440B"/>
    <w:rsid w:val="00050D46"/>
    <w:rsid w:val="000511F0"/>
    <w:rsid w:val="00060C6B"/>
    <w:rsid w:val="000739E8"/>
    <w:rsid w:val="00077AB1"/>
    <w:rsid w:val="000855B5"/>
    <w:rsid w:val="00085C73"/>
    <w:rsid w:val="00086AFC"/>
    <w:rsid w:val="00086CEC"/>
    <w:rsid w:val="0008729A"/>
    <w:rsid w:val="00092AC3"/>
    <w:rsid w:val="00097117"/>
    <w:rsid w:val="000A42FE"/>
    <w:rsid w:val="000A62F2"/>
    <w:rsid w:val="000A7B9A"/>
    <w:rsid w:val="000B0C99"/>
    <w:rsid w:val="000B0FFF"/>
    <w:rsid w:val="000B34C7"/>
    <w:rsid w:val="000B67B6"/>
    <w:rsid w:val="000C00DB"/>
    <w:rsid w:val="000C04BF"/>
    <w:rsid w:val="000C2B71"/>
    <w:rsid w:val="000D0E89"/>
    <w:rsid w:val="000D2C82"/>
    <w:rsid w:val="000D3571"/>
    <w:rsid w:val="000E6484"/>
    <w:rsid w:val="000F63F9"/>
    <w:rsid w:val="001019DE"/>
    <w:rsid w:val="00101FD3"/>
    <w:rsid w:val="00102275"/>
    <w:rsid w:val="00104769"/>
    <w:rsid w:val="001049EB"/>
    <w:rsid w:val="001050D7"/>
    <w:rsid w:val="001054C0"/>
    <w:rsid w:val="001074F6"/>
    <w:rsid w:val="0011031C"/>
    <w:rsid w:val="001110A8"/>
    <w:rsid w:val="00117284"/>
    <w:rsid w:val="001203B2"/>
    <w:rsid w:val="001259FA"/>
    <w:rsid w:val="00127E0F"/>
    <w:rsid w:val="001310AB"/>
    <w:rsid w:val="00131495"/>
    <w:rsid w:val="00131534"/>
    <w:rsid w:val="00131D0E"/>
    <w:rsid w:val="0013246F"/>
    <w:rsid w:val="00136972"/>
    <w:rsid w:val="00140EFD"/>
    <w:rsid w:val="001448E2"/>
    <w:rsid w:val="0015147C"/>
    <w:rsid w:val="0015276C"/>
    <w:rsid w:val="001758F8"/>
    <w:rsid w:val="00183018"/>
    <w:rsid w:val="00186FD5"/>
    <w:rsid w:val="00190794"/>
    <w:rsid w:val="00190D15"/>
    <w:rsid w:val="0019438B"/>
    <w:rsid w:val="001970F7"/>
    <w:rsid w:val="001A16E0"/>
    <w:rsid w:val="001A3338"/>
    <w:rsid w:val="001B121B"/>
    <w:rsid w:val="001B148B"/>
    <w:rsid w:val="001B3D57"/>
    <w:rsid w:val="001B4A89"/>
    <w:rsid w:val="001B65DB"/>
    <w:rsid w:val="001C24C4"/>
    <w:rsid w:val="001D0869"/>
    <w:rsid w:val="001D5D1F"/>
    <w:rsid w:val="001E3877"/>
    <w:rsid w:val="001E4399"/>
    <w:rsid w:val="001E5912"/>
    <w:rsid w:val="001E7161"/>
    <w:rsid w:val="001F4239"/>
    <w:rsid w:val="00204ADA"/>
    <w:rsid w:val="0021257E"/>
    <w:rsid w:val="00215838"/>
    <w:rsid w:val="00217170"/>
    <w:rsid w:val="002175DA"/>
    <w:rsid w:val="00217E34"/>
    <w:rsid w:val="00221FC9"/>
    <w:rsid w:val="00227A62"/>
    <w:rsid w:val="00233AB2"/>
    <w:rsid w:val="00237E00"/>
    <w:rsid w:val="00242A17"/>
    <w:rsid w:val="0024443A"/>
    <w:rsid w:val="00245514"/>
    <w:rsid w:val="00251327"/>
    <w:rsid w:val="00255AC9"/>
    <w:rsid w:val="00262BC6"/>
    <w:rsid w:val="00272690"/>
    <w:rsid w:val="00273BD8"/>
    <w:rsid w:val="002746AC"/>
    <w:rsid w:val="002812D5"/>
    <w:rsid w:val="00282D2A"/>
    <w:rsid w:val="00284545"/>
    <w:rsid w:val="0028471C"/>
    <w:rsid w:val="002934A1"/>
    <w:rsid w:val="00295F4C"/>
    <w:rsid w:val="00296FB3"/>
    <w:rsid w:val="002A791F"/>
    <w:rsid w:val="002B11B9"/>
    <w:rsid w:val="002B2033"/>
    <w:rsid w:val="002B3497"/>
    <w:rsid w:val="002B5FAA"/>
    <w:rsid w:val="002C00BA"/>
    <w:rsid w:val="002C2CEB"/>
    <w:rsid w:val="002C3EA2"/>
    <w:rsid w:val="002C79A5"/>
    <w:rsid w:val="002D26C6"/>
    <w:rsid w:val="002D4335"/>
    <w:rsid w:val="002D4F83"/>
    <w:rsid w:val="002E4585"/>
    <w:rsid w:val="002E6E76"/>
    <w:rsid w:val="002F092B"/>
    <w:rsid w:val="002F6813"/>
    <w:rsid w:val="00303442"/>
    <w:rsid w:val="003047E3"/>
    <w:rsid w:val="003063BD"/>
    <w:rsid w:val="003064FE"/>
    <w:rsid w:val="003075DA"/>
    <w:rsid w:val="00316175"/>
    <w:rsid w:val="003202C2"/>
    <w:rsid w:val="003329D8"/>
    <w:rsid w:val="0033725F"/>
    <w:rsid w:val="00340C9B"/>
    <w:rsid w:val="00341EAA"/>
    <w:rsid w:val="00342758"/>
    <w:rsid w:val="0034277C"/>
    <w:rsid w:val="00342D11"/>
    <w:rsid w:val="003444BE"/>
    <w:rsid w:val="00345619"/>
    <w:rsid w:val="00345E54"/>
    <w:rsid w:val="00353244"/>
    <w:rsid w:val="00355D8C"/>
    <w:rsid w:val="00356D58"/>
    <w:rsid w:val="00360ED4"/>
    <w:rsid w:val="003614B3"/>
    <w:rsid w:val="003675D3"/>
    <w:rsid w:val="00367B88"/>
    <w:rsid w:val="0037683A"/>
    <w:rsid w:val="00385C0F"/>
    <w:rsid w:val="00386730"/>
    <w:rsid w:val="00391C50"/>
    <w:rsid w:val="00392C6A"/>
    <w:rsid w:val="00395DEF"/>
    <w:rsid w:val="003B2211"/>
    <w:rsid w:val="003B4C83"/>
    <w:rsid w:val="003B5F06"/>
    <w:rsid w:val="003C2250"/>
    <w:rsid w:val="003C258D"/>
    <w:rsid w:val="003C2771"/>
    <w:rsid w:val="003D3ACB"/>
    <w:rsid w:val="003E64F1"/>
    <w:rsid w:val="004008A8"/>
    <w:rsid w:val="004061DE"/>
    <w:rsid w:val="00407EB7"/>
    <w:rsid w:val="004101F3"/>
    <w:rsid w:val="00410513"/>
    <w:rsid w:val="004113D7"/>
    <w:rsid w:val="00411550"/>
    <w:rsid w:val="00411E24"/>
    <w:rsid w:val="004155A9"/>
    <w:rsid w:val="00435373"/>
    <w:rsid w:val="004413EC"/>
    <w:rsid w:val="004425B8"/>
    <w:rsid w:val="00443509"/>
    <w:rsid w:val="00443FED"/>
    <w:rsid w:val="00453360"/>
    <w:rsid w:val="004551AD"/>
    <w:rsid w:val="004577C1"/>
    <w:rsid w:val="00463805"/>
    <w:rsid w:val="004764A1"/>
    <w:rsid w:val="00482BE0"/>
    <w:rsid w:val="00490367"/>
    <w:rsid w:val="00490755"/>
    <w:rsid w:val="00493403"/>
    <w:rsid w:val="00493ED3"/>
    <w:rsid w:val="00495093"/>
    <w:rsid w:val="00497960"/>
    <w:rsid w:val="004A5900"/>
    <w:rsid w:val="004B3553"/>
    <w:rsid w:val="004B4DAF"/>
    <w:rsid w:val="004C6929"/>
    <w:rsid w:val="004D10BF"/>
    <w:rsid w:val="004D33FD"/>
    <w:rsid w:val="004D3CED"/>
    <w:rsid w:val="004D5F0D"/>
    <w:rsid w:val="004F0A51"/>
    <w:rsid w:val="004F122A"/>
    <w:rsid w:val="004F31D8"/>
    <w:rsid w:val="005013AF"/>
    <w:rsid w:val="005103A1"/>
    <w:rsid w:val="005146FF"/>
    <w:rsid w:val="005215EE"/>
    <w:rsid w:val="00522D29"/>
    <w:rsid w:val="0052391B"/>
    <w:rsid w:val="005326EF"/>
    <w:rsid w:val="00533CF8"/>
    <w:rsid w:val="005401BD"/>
    <w:rsid w:val="00540B97"/>
    <w:rsid w:val="005434A3"/>
    <w:rsid w:val="005436E6"/>
    <w:rsid w:val="00553740"/>
    <w:rsid w:val="005608D5"/>
    <w:rsid w:val="0057257D"/>
    <w:rsid w:val="00572F73"/>
    <w:rsid w:val="00574723"/>
    <w:rsid w:val="00576013"/>
    <w:rsid w:val="0057687D"/>
    <w:rsid w:val="00582A11"/>
    <w:rsid w:val="00587C8B"/>
    <w:rsid w:val="0059123E"/>
    <w:rsid w:val="00595BC0"/>
    <w:rsid w:val="005A1B52"/>
    <w:rsid w:val="005A2447"/>
    <w:rsid w:val="005A45DD"/>
    <w:rsid w:val="005A535B"/>
    <w:rsid w:val="005A635F"/>
    <w:rsid w:val="005B2A8F"/>
    <w:rsid w:val="005B68A5"/>
    <w:rsid w:val="005B79FD"/>
    <w:rsid w:val="005C2211"/>
    <w:rsid w:val="005C471B"/>
    <w:rsid w:val="005C4819"/>
    <w:rsid w:val="005C4FF0"/>
    <w:rsid w:val="00612D86"/>
    <w:rsid w:val="0063004E"/>
    <w:rsid w:val="00632DCF"/>
    <w:rsid w:val="00633CB3"/>
    <w:rsid w:val="006426B2"/>
    <w:rsid w:val="00643413"/>
    <w:rsid w:val="006462DB"/>
    <w:rsid w:val="00647214"/>
    <w:rsid w:val="00647C9D"/>
    <w:rsid w:val="00650175"/>
    <w:rsid w:val="00654E37"/>
    <w:rsid w:val="00665372"/>
    <w:rsid w:val="00666FEF"/>
    <w:rsid w:val="00674395"/>
    <w:rsid w:val="00676FC0"/>
    <w:rsid w:val="006773B1"/>
    <w:rsid w:val="00677C77"/>
    <w:rsid w:val="00692FA1"/>
    <w:rsid w:val="006957E6"/>
    <w:rsid w:val="006A0F0C"/>
    <w:rsid w:val="006A4B96"/>
    <w:rsid w:val="006A69E2"/>
    <w:rsid w:val="006B0E89"/>
    <w:rsid w:val="006C5922"/>
    <w:rsid w:val="006C7C76"/>
    <w:rsid w:val="006D2756"/>
    <w:rsid w:val="006D5BC4"/>
    <w:rsid w:val="006E517B"/>
    <w:rsid w:val="006E5D79"/>
    <w:rsid w:val="006E6EFD"/>
    <w:rsid w:val="0070089E"/>
    <w:rsid w:val="00713750"/>
    <w:rsid w:val="00715BD0"/>
    <w:rsid w:val="007239FF"/>
    <w:rsid w:val="007247A2"/>
    <w:rsid w:val="00724E53"/>
    <w:rsid w:val="00731F1F"/>
    <w:rsid w:val="00750E42"/>
    <w:rsid w:val="00752B17"/>
    <w:rsid w:val="007531A2"/>
    <w:rsid w:val="007549FF"/>
    <w:rsid w:val="00756240"/>
    <w:rsid w:val="00757059"/>
    <w:rsid w:val="007577C2"/>
    <w:rsid w:val="007645CF"/>
    <w:rsid w:val="00774670"/>
    <w:rsid w:val="00775889"/>
    <w:rsid w:val="00776A86"/>
    <w:rsid w:val="0077771C"/>
    <w:rsid w:val="007877E3"/>
    <w:rsid w:val="0079313A"/>
    <w:rsid w:val="00793E3E"/>
    <w:rsid w:val="007944A2"/>
    <w:rsid w:val="00794B08"/>
    <w:rsid w:val="007A0A45"/>
    <w:rsid w:val="007A1C2D"/>
    <w:rsid w:val="007A2B79"/>
    <w:rsid w:val="007A64A0"/>
    <w:rsid w:val="007B1E36"/>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D6B"/>
    <w:rsid w:val="007F3404"/>
    <w:rsid w:val="007F5D0C"/>
    <w:rsid w:val="007F646D"/>
    <w:rsid w:val="007F6CE5"/>
    <w:rsid w:val="00803117"/>
    <w:rsid w:val="00804F81"/>
    <w:rsid w:val="00814374"/>
    <w:rsid w:val="0081692B"/>
    <w:rsid w:val="008249C1"/>
    <w:rsid w:val="00826AF4"/>
    <w:rsid w:val="00827183"/>
    <w:rsid w:val="00830E2A"/>
    <w:rsid w:val="00833E0F"/>
    <w:rsid w:val="00847014"/>
    <w:rsid w:val="00851806"/>
    <w:rsid w:val="00857AA0"/>
    <w:rsid w:val="00862D59"/>
    <w:rsid w:val="0086717B"/>
    <w:rsid w:val="008702FC"/>
    <w:rsid w:val="008712EF"/>
    <w:rsid w:val="008718DD"/>
    <w:rsid w:val="00885646"/>
    <w:rsid w:val="008920BC"/>
    <w:rsid w:val="0089217E"/>
    <w:rsid w:val="00894FBF"/>
    <w:rsid w:val="008B28C7"/>
    <w:rsid w:val="008B4504"/>
    <w:rsid w:val="008B7639"/>
    <w:rsid w:val="008B7F8A"/>
    <w:rsid w:val="008C02FC"/>
    <w:rsid w:val="008C1219"/>
    <w:rsid w:val="008C2712"/>
    <w:rsid w:val="008D3B73"/>
    <w:rsid w:val="008D788D"/>
    <w:rsid w:val="008E033A"/>
    <w:rsid w:val="008E1E7F"/>
    <w:rsid w:val="008E4A5D"/>
    <w:rsid w:val="008E5081"/>
    <w:rsid w:val="008E63BB"/>
    <w:rsid w:val="008F061A"/>
    <w:rsid w:val="008F1C53"/>
    <w:rsid w:val="008F32C3"/>
    <w:rsid w:val="008F584B"/>
    <w:rsid w:val="008F6C49"/>
    <w:rsid w:val="008F7A36"/>
    <w:rsid w:val="009005E7"/>
    <w:rsid w:val="00904100"/>
    <w:rsid w:val="009120DA"/>
    <w:rsid w:val="00913201"/>
    <w:rsid w:val="00913838"/>
    <w:rsid w:val="009171E6"/>
    <w:rsid w:val="0092052C"/>
    <w:rsid w:val="00932DB0"/>
    <w:rsid w:val="0094609C"/>
    <w:rsid w:val="00946D98"/>
    <w:rsid w:val="00955E6D"/>
    <w:rsid w:val="00956C3F"/>
    <w:rsid w:val="009642A6"/>
    <w:rsid w:val="009655F4"/>
    <w:rsid w:val="00971BFC"/>
    <w:rsid w:val="00972CB9"/>
    <w:rsid w:val="009763D2"/>
    <w:rsid w:val="00980F59"/>
    <w:rsid w:val="00982FBA"/>
    <w:rsid w:val="00994B99"/>
    <w:rsid w:val="009A103B"/>
    <w:rsid w:val="009A2B6B"/>
    <w:rsid w:val="009A56DA"/>
    <w:rsid w:val="009A7F04"/>
    <w:rsid w:val="009B28B4"/>
    <w:rsid w:val="009B303A"/>
    <w:rsid w:val="009B686A"/>
    <w:rsid w:val="009C139B"/>
    <w:rsid w:val="009C7C0A"/>
    <w:rsid w:val="009D4D35"/>
    <w:rsid w:val="009E081B"/>
    <w:rsid w:val="009E0E7D"/>
    <w:rsid w:val="009E2F30"/>
    <w:rsid w:val="009E31E9"/>
    <w:rsid w:val="009E3916"/>
    <w:rsid w:val="009E4037"/>
    <w:rsid w:val="009E4807"/>
    <w:rsid w:val="009F4D84"/>
    <w:rsid w:val="00A02035"/>
    <w:rsid w:val="00A03992"/>
    <w:rsid w:val="00A13127"/>
    <w:rsid w:val="00A139DD"/>
    <w:rsid w:val="00A15F1C"/>
    <w:rsid w:val="00A17EB2"/>
    <w:rsid w:val="00A3121B"/>
    <w:rsid w:val="00A32B91"/>
    <w:rsid w:val="00A34E9B"/>
    <w:rsid w:val="00A35D67"/>
    <w:rsid w:val="00A43916"/>
    <w:rsid w:val="00A500F6"/>
    <w:rsid w:val="00A507CB"/>
    <w:rsid w:val="00A50FC7"/>
    <w:rsid w:val="00A529DE"/>
    <w:rsid w:val="00A543DF"/>
    <w:rsid w:val="00A564CF"/>
    <w:rsid w:val="00A75375"/>
    <w:rsid w:val="00A84C36"/>
    <w:rsid w:val="00A9211D"/>
    <w:rsid w:val="00A939D9"/>
    <w:rsid w:val="00A9438A"/>
    <w:rsid w:val="00AA0EE9"/>
    <w:rsid w:val="00AA1826"/>
    <w:rsid w:val="00AA3EB9"/>
    <w:rsid w:val="00AA4591"/>
    <w:rsid w:val="00AA7B38"/>
    <w:rsid w:val="00AB2ACA"/>
    <w:rsid w:val="00AB32FA"/>
    <w:rsid w:val="00AC0C5F"/>
    <w:rsid w:val="00AD59C7"/>
    <w:rsid w:val="00AD5F22"/>
    <w:rsid w:val="00AD7590"/>
    <w:rsid w:val="00AE1859"/>
    <w:rsid w:val="00AF0EFD"/>
    <w:rsid w:val="00AF44B0"/>
    <w:rsid w:val="00AF4D7A"/>
    <w:rsid w:val="00AF6BE9"/>
    <w:rsid w:val="00B00529"/>
    <w:rsid w:val="00B00FDA"/>
    <w:rsid w:val="00B11CEB"/>
    <w:rsid w:val="00B20F7E"/>
    <w:rsid w:val="00B304BF"/>
    <w:rsid w:val="00B36898"/>
    <w:rsid w:val="00B36C92"/>
    <w:rsid w:val="00B36FF3"/>
    <w:rsid w:val="00B40C7D"/>
    <w:rsid w:val="00B42CF6"/>
    <w:rsid w:val="00B46071"/>
    <w:rsid w:val="00B47B7B"/>
    <w:rsid w:val="00B62663"/>
    <w:rsid w:val="00B6498B"/>
    <w:rsid w:val="00B665E8"/>
    <w:rsid w:val="00B67B79"/>
    <w:rsid w:val="00B7012D"/>
    <w:rsid w:val="00B87405"/>
    <w:rsid w:val="00B87C3D"/>
    <w:rsid w:val="00B914CF"/>
    <w:rsid w:val="00B91786"/>
    <w:rsid w:val="00B95ABD"/>
    <w:rsid w:val="00B966AC"/>
    <w:rsid w:val="00BA01C2"/>
    <w:rsid w:val="00BB2E49"/>
    <w:rsid w:val="00BB372F"/>
    <w:rsid w:val="00BB521F"/>
    <w:rsid w:val="00BC5EF9"/>
    <w:rsid w:val="00BD402C"/>
    <w:rsid w:val="00BF2EE3"/>
    <w:rsid w:val="00C0372E"/>
    <w:rsid w:val="00C11715"/>
    <w:rsid w:val="00C14160"/>
    <w:rsid w:val="00C170BE"/>
    <w:rsid w:val="00C2083B"/>
    <w:rsid w:val="00C22511"/>
    <w:rsid w:val="00C22A5D"/>
    <w:rsid w:val="00C236D1"/>
    <w:rsid w:val="00C32255"/>
    <w:rsid w:val="00C334EF"/>
    <w:rsid w:val="00C449C3"/>
    <w:rsid w:val="00C4684F"/>
    <w:rsid w:val="00C52A3B"/>
    <w:rsid w:val="00C569D9"/>
    <w:rsid w:val="00C57191"/>
    <w:rsid w:val="00C634B1"/>
    <w:rsid w:val="00C66712"/>
    <w:rsid w:val="00C70694"/>
    <w:rsid w:val="00C739D4"/>
    <w:rsid w:val="00C74968"/>
    <w:rsid w:val="00C84023"/>
    <w:rsid w:val="00C8545C"/>
    <w:rsid w:val="00C863E2"/>
    <w:rsid w:val="00C879E9"/>
    <w:rsid w:val="00C91278"/>
    <w:rsid w:val="00C93326"/>
    <w:rsid w:val="00C9546B"/>
    <w:rsid w:val="00CA3DA8"/>
    <w:rsid w:val="00CB0798"/>
    <w:rsid w:val="00CB18CB"/>
    <w:rsid w:val="00CB3D6F"/>
    <w:rsid w:val="00CB69EC"/>
    <w:rsid w:val="00CB7907"/>
    <w:rsid w:val="00CC4779"/>
    <w:rsid w:val="00CC6DDB"/>
    <w:rsid w:val="00CC7886"/>
    <w:rsid w:val="00CD1501"/>
    <w:rsid w:val="00CD2C4D"/>
    <w:rsid w:val="00CE0F6C"/>
    <w:rsid w:val="00CE2E45"/>
    <w:rsid w:val="00CE3256"/>
    <w:rsid w:val="00CE370F"/>
    <w:rsid w:val="00CE775D"/>
    <w:rsid w:val="00CE7B92"/>
    <w:rsid w:val="00CF0729"/>
    <w:rsid w:val="00CF555D"/>
    <w:rsid w:val="00D00C02"/>
    <w:rsid w:val="00D026EC"/>
    <w:rsid w:val="00D13F3C"/>
    <w:rsid w:val="00D21EAD"/>
    <w:rsid w:val="00D25037"/>
    <w:rsid w:val="00D343D7"/>
    <w:rsid w:val="00D362FB"/>
    <w:rsid w:val="00D372F5"/>
    <w:rsid w:val="00D42C6C"/>
    <w:rsid w:val="00D43336"/>
    <w:rsid w:val="00D4345F"/>
    <w:rsid w:val="00D44883"/>
    <w:rsid w:val="00D500DC"/>
    <w:rsid w:val="00D52777"/>
    <w:rsid w:val="00D561CC"/>
    <w:rsid w:val="00D6043D"/>
    <w:rsid w:val="00D720AC"/>
    <w:rsid w:val="00D728AB"/>
    <w:rsid w:val="00D74516"/>
    <w:rsid w:val="00D7759C"/>
    <w:rsid w:val="00D833E5"/>
    <w:rsid w:val="00D9036E"/>
    <w:rsid w:val="00D90535"/>
    <w:rsid w:val="00D95C2A"/>
    <w:rsid w:val="00D96044"/>
    <w:rsid w:val="00DA1F1C"/>
    <w:rsid w:val="00DA1F69"/>
    <w:rsid w:val="00DB7622"/>
    <w:rsid w:val="00DC043E"/>
    <w:rsid w:val="00DD0151"/>
    <w:rsid w:val="00DE00A1"/>
    <w:rsid w:val="00DE023B"/>
    <w:rsid w:val="00DE0EF7"/>
    <w:rsid w:val="00DE785A"/>
    <w:rsid w:val="00DF0315"/>
    <w:rsid w:val="00DF03A4"/>
    <w:rsid w:val="00DF14D3"/>
    <w:rsid w:val="00DF6FFA"/>
    <w:rsid w:val="00E0047B"/>
    <w:rsid w:val="00E01362"/>
    <w:rsid w:val="00E020E6"/>
    <w:rsid w:val="00E060B7"/>
    <w:rsid w:val="00E075B0"/>
    <w:rsid w:val="00E14E8A"/>
    <w:rsid w:val="00E21868"/>
    <w:rsid w:val="00E222DF"/>
    <w:rsid w:val="00E25784"/>
    <w:rsid w:val="00E375F1"/>
    <w:rsid w:val="00E433F6"/>
    <w:rsid w:val="00E44048"/>
    <w:rsid w:val="00E4426D"/>
    <w:rsid w:val="00E51A81"/>
    <w:rsid w:val="00E54C35"/>
    <w:rsid w:val="00E56727"/>
    <w:rsid w:val="00E632CA"/>
    <w:rsid w:val="00E63612"/>
    <w:rsid w:val="00E6367D"/>
    <w:rsid w:val="00E77290"/>
    <w:rsid w:val="00E8085F"/>
    <w:rsid w:val="00E811B1"/>
    <w:rsid w:val="00E95BDB"/>
    <w:rsid w:val="00E96CC3"/>
    <w:rsid w:val="00EA1F00"/>
    <w:rsid w:val="00EA5D20"/>
    <w:rsid w:val="00EA69F3"/>
    <w:rsid w:val="00EB22B4"/>
    <w:rsid w:val="00EB3948"/>
    <w:rsid w:val="00EB3C51"/>
    <w:rsid w:val="00EB467F"/>
    <w:rsid w:val="00EB5BD7"/>
    <w:rsid w:val="00ED2A09"/>
    <w:rsid w:val="00ED2F24"/>
    <w:rsid w:val="00EE5CDD"/>
    <w:rsid w:val="00EF3B71"/>
    <w:rsid w:val="00F06769"/>
    <w:rsid w:val="00F070E4"/>
    <w:rsid w:val="00F072FE"/>
    <w:rsid w:val="00F14EA6"/>
    <w:rsid w:val="00F16F73"/>
    <w:rsid w:val="00F227F3"/>
    <w:rsid w:val="00F25A9F"/>
    <w:rsid w:val="00F25FC4"/>
    <w:rsid w:val="00F2629D"/>
    <w:rsid w:val="00F326B5"/>
    <w:rsid w:val="00F32B45"/>
    <w:rsid w:val="00F32E7A"/>
    <w:rsid w:val="00F3480A"/>
    <w:rsid w:val="00F37518"/>
    <w:rsid w:val="00F43A1C"/>
    <w:rsid w:val="00F449E1"/>
    <w:rsid w:val="00F4652D"/>
    <w:rsid w:val="00F51552"/>
    <w:rsid w:val="00F53065"/>
    <w:rsid w:val="00F56D76"/>
    <w:rsid w:val="00F57531"/>
    <w:rsid w:val="00F73562"/>
    <w:rsid w:val="00F816DA"/>
    <w:rsid w:val="00F82604"/>
    <w:rsid w:val="00F8367D"/>
    <w:rsid w:val="00F90832"/>
    <w:rsid w:val="00F929D0"/>
    <w:rsid w:val="00F937CF"/>
    <w:rsid w:val="00F93A09"/>
    <w:rsid w:val="00F93A35"/>
    <w:rsid w:val="00FA3539"/>
    <w:rsid w:val="00FB1310"/>
    <w:rsid w:val="00FB3A08"/>
    <w:rsid w:val="00FB3E8E"/>
    <w:rsid w:val="00FC1C25"/>
    <w:rsid w:val="00FC5A7D"/>
    <w:rsid w:val="00FC700B"/>
    <w:rsid w:val="00FC7EB6"/>
    <w:rsid w:val="00FD4D2F"/>
    <w:rsid w:val="00FD53DA"/>
    <w:rsid w:val="00FD6321"/>
    <w:rsid w:val="00FD6548"/>
    <w:rsid w:val="00FD706E"/>
    <w:rsid w:val="00FE2BF3"/>
    <w:rsid w:val="00FE33FF"/>
    <w:rsid w:val="00FE39E4"/>
    <w:rsid w:val="00FE579B"/>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printerSettings" Target="printerSettings/printerSettings1.bin"/><Relationship Id="rId22" Type="http://schemas.openxmlformats.org/officeDocument/2006/relationships/image" Target="media/image12.emf"/><Relationship Id="rId23" Type="http://schemas.openxmlformats.org/officeDocument/2006/relationships/printerSettings" Target="printerSettings/printerSettings2.bin"/><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printerSettings" Target="printerSettings/printerSettings3.bin"/><Relationship Id="rId27" Type="http://schemas.openxmlformats.org/officeDocument/2006/relationships/printerSettings" Target="printerSettings/printerSettings4.bin"/><Relationship Id="rId28" Type="http://schemas.openxmlformats.org/officeDocument/2006/relationships/printerSettings" Target="printerSettings/printerSettings5.bin"/><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27B243C-A183-6446-8354-205323A00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53</Pages>
  <Words>53641</Words>
  <Characters>305756</Characters>
  <Application>Microsoft Macintosh Word</Application>
  <DocSecurity>0</DocSecurity>
  <Lines>2547</Lines>
  <Paragraphs>717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358680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245</cp:revision>
  <cp:lastPrinted>2017-07-11T05:33:00Z</cp:lastPrinted>
  <dcterms:created xsi:type="dcterms:W3CDTF">2017-07-11T05:33:00Z</dcterms:created>
  <dcterms:modified xsi:type="dcterms:W3CDTF">2017-07-12T05:08:00Z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