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  <w:t>CASOS DE USO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8"/>
      </w:tblGrid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Número: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Caso de uso: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Iniciar sesión</w:t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Actores: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Usuario</w:t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Descripción: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El usuario ingresa su nombre de usuario y contraseña, y dependiendo del tipo de usuario ser redirigido a otra página correspondiente a su rol.</w:t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Tipo: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8"/>
      </w:tblGrid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Número: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Caso de uso: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Crear pedido</w:t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Actores: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Usuario de tienda</w:t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Descripción: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El usuario de tienda ingresa los productos y</w:t>
            </w:r>
            <w:bookmarkStart w:id="0" w:name="_GoBack"/>
            <w:bookmarkEnd w:id="0"/>
            <w:r>
              <w:rPr>
                <w:position w:val="0"/>
                <w:sz w:val="20"/>
                <w:vertAlign w:val="baseline"/>
                <w:lang w:val="es-ES"/>
              </w:rPr>
              <w:t xml:space="preserve"> que se van a incluir en el pedido.</w:t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es-ES"/>
              </w:rPr>
              <w:t>Tipo:</w:t>
            </w:r>
          </w:p>
        </w:tc>
        <w:tc>
          <w:tcPr>
            <w:tcW w:w="61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lang w:val="es-ES"/>
        </w:rPr>
      </w:pPr>
      <w:r>
        <w:rPr/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9"/>
      </w:tblGrid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  <w:tc>
          <w:tcPr>
            <w:tcW w:w="619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  <w:tc>
          <w:tcPr>
            <w:tcW w:w="619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  <w:tc>
          <w:tcPr>
            <w:tcW w:w="619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  <w:tc>
          <w:tcPr>
            <w:tcW w:w="619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2323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  <w:tc>
          <w:tcPr>
            <w:tcW w:w="619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s-ES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G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69</Words>
  <Characters>349</Characters>
  <CharactersWithSpaces>397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2023-03-22T03:46:00Z</dcterms:created>
  <dc:creator>Luis</dc:creator>
  <dc:description/>
  <dc:language>es-GT</dc:language>
  <cp:lastModifiedBy/>
  <dcterms:modified xsi:type="dcterms:W3CDTF">2023-03-21T16:42:52Z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572D0260B5D84A389355DE3C4F090EAD</vt:lpwstr>
  </property>
  <property fmtid="{D5CDD505-2E9C-101B-9397-08002B2CF9AE}" pid="4" name="KSOProductBuildVer">
    <vt:lpwstr>3082-11.2.0.11516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