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/>
          <w:tblHeader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IMFBCF · Julio de 2026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Publicación 2026-10-05</w:t>
            </w:r>
          </w:p>
        </w:tc>
      </w:tr>
      <w:tr>
        <w:trPr>
          <w:cantSplit/>
        </w:trPr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Índice ajustado 110.5</w:t>
            </w:r>
          </w:p>
        </w:tc>
        <w:tc>
          <w:tcPr>
            <w:tcW w:type="dxa" w:w="4392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1.4% | Anual 6.0%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/>
          <w:color w:val="10312B"/>
          <w:sz w:val="22"/>
        </w:rPr>
        <w:t>Formación bruta de capital fijo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Índice 2018=100. Variaciones reales; edición del boletín, sujeta a revisión.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Resumen ejecutivo</w:t>
      </w:r>
    </w:p>
    <w:p>
      <w:pPr>
        <w:keepNext w:val="0"/>
        <w:spacing w:before="0" w:after="0" w:line="240" w:lineRule="auto"/>
        <w:jc w:val="both"/>
        <w:shd w:fill="F1F2F0"/>
      </w:pPr>
      <w:r>
        <w:rPr>
          <w:rFonts w:ascii="Noto Sans" w:hAnsi="Noto Sans"/>
          <w:b w:val="0"/>
          <w:color w:val="000000"/>
          <w:sz w:val="22"/>
        </w:rPr>
        <w:t>En julio de 2026, la inversión fija registró 1.4% mensual y 6.0% anual, en términos reales y con cifras desestacionalizadas.</w:t>
      </w:r>
    </w:p>
    <w:p>
      <w:pPr>
        <w:keepNext w:val="0"/>
        <w:spacing w:before="0" w:after="0" w:line="240" w:lineRule="auto"/>
        <w:jc w:val="both"/>
        <w:shd w:fill="F1F2F0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Maquinaria y equipo varió 4.5% mensual: el componente importado registró 6.0% y el nacional, 1.1%.</w:t>
      </w:r>
    </w:p>
    <w:p>
      <w:pPr>
        <w:keepNext w:val="0"/>
        <w:spacing w:before="0" w:after="0" w:line="240" w:lineRule="auto"/>
        <w:jc w:val="both"/>
        <w:shd w:fill="F1F2F0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Construcción varió -1.5% mensual; residencial, 0.7%, y no residencial, -3.9%.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Comparación mensual y anual ajustada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  <w:tblHeader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Mensual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Inversión fija total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1.4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6.0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Construcción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-1.5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6.9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Residencial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0.7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9.2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No residencial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-3.9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4.0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Maquinaria y equipo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4.5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4.9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Equipo nacional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1.1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-3.1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Equipo importado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6.0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9.9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1, p. 2. Ambas tasas desestacionalizadas. Las filas son agregados y desgloses, no sumandos de tasas.</w:t>
      </w:r>
    </w:p>
    <w:p>
      <w:r>
        <w:drawing>
          <wp:inline xmlns:a="http://schemas.openxmlformats.org/drawingml/2006/main" xmlns:pic="http://schemas.openxmlformats.org/drawingml/2006/picture">
            <wp:extent cx="5532120" cy="1587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58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Balance del año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En cifras originales, el total registró 6.6% anual y 1.7% en enero al mes de referencia respecto al mismo intervalo del año anterior.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El acumulado es una tasa publicada por el INEGI; no se obtiene promediando tasas mensuales. Las tasas originales y ajustadas pueden diferir.</w:t>
      </w:r>
    </w:p>
    <w:p>
      <w:r>
        <w:br w:type="page"/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Cifras originales y acumulado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  <w:tblHeader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original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Enero–mes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Inversión fija total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6.6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1.7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Construcción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7.1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4.1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Residencial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10.6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3.9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No residencial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3.5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4.3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Maquinaria y equipo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6.2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-1.0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Equipo nacional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-2.5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-8.0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Equipo importado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11.5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3.5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2, p. 3. Cifras preliminares; anual contra el mismo mes del año anterior y acumulado contra enero al mismo mes del año anterior.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Inversión por comprador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160"/>
        <w:gridCol w:w="2160"/>
      </w:tblGrid>
      <w:tr>
        <w:trPr>
          <w:cantSplit/>
          <w:tblHeader/>
        </w:trPr>
        <w:tc>
          <w:tcPr>
            <w:tcW w:type="dxa" w:w="4464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Comprador del total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Anual original (%)</w:t>
            </w:r>
          </w:p>
        </w:tc>
        <w:tc>
          <w:tcPr>
            <w:tcW w:type="dxa" w:w="2160"/>
            <w:shd w:fill="10312B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/>
                <w:color w:val="FFFFFF"/>
                <w:sz w:val="20"/>
              </w:rPr>
              <w:t>Enero–mes (%)</w:t>
            </w:r>
          </w:p>
        </w:tc>
      </w:tr>
      <w:tr>
        <w:trPr>
          <w:cantSplit/>
        </w:trPr>
        <w:tc>
          <w:tcPr>
            <w:tcW w:type="dxa" w:w="4464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Privado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6.7</w:t>
            </w:r>
          </w:p>
        </w:tc>
        <w:tc>
          <w:tcPr>
            <w:tcW w:type="dxa" w:w="2160"/>
            <w:shd w:fill="F4F4F2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0.4</w:t>
            </w:r>
          </w:p>
        </w:tc>
      </w:tr>
      <w:tr>
        <w:trPr>
          <w:cantSplit/>
        </w:trPr>
        <w:tc>
          <w:tcPr>
            <w:tcW w:type="dxa" w:w="4464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Público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6.2</w:t>
            </w:r>
          </w:p>
        </w:tc>
        <w:tc>
          <w:tcPr>
            <w:tcW w:type="dxa" w:w="2160"/>
            <w:shd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b w:val="0"/>
                <w:color w:val="000000"/>
                <w:sz w:val="20"/>
              </w:rPr>
              <w:t>10.2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cuadro 2, tipo de bien y comprador. Cifras originales preliminares. El comprador público o privado se identifica explícitamente en el boletín.</w:t>
      </w:r>
    </w:p>
    <w:p>
      <w:r>
        <w:drawing>
          <wp:inline xmlns:a="http://schemas.openxmlformats.org/drawingml/2006/main" xmlns:pic="http://schemas.openxmlformats.org/drawingml/2006/picture">
            <wp:extent cx="5532120" cy="1587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58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Verde: privado. Dorado: público. Fuente: cuadro 2. Tasas de cada agregado; no son participaciones ni contribuciones al total.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before="0" w:after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Notas metodológicas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El IMFBCF mide inversión en activos fijos utilizados continuamente durante más de un año. No representa IED, anuncios de inversión ni ejecución presupuestaria.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Equipo nacional e importado se refieren a maquinaria y equipo. Los agregados ajustados se calculan de manera independiente a sus componentes. Los cuadros originales también desglosan transporte y otra maquinaria; la evidencia conserva todas sus filas. No se atribuyen causas sin evidencia.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INEGI, boletín 615/26, publicado el 2026-10-05. Resultados y cuadros: pp. 1–3; metodología: p. 4. Cifras sujetas a revisión.</w:t>
      </w:r>
    </w:p>
    <w:p>
      <w:pPr>
        <w:keepNext w:val="0"/>
        <w:spacing w:before="0" w:after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https://www.inegi.org.mx/contenidos/saladeprensa/boletines/2026/ifb/imfbcf2026_10.pdf</w:t>
      </w:r>
    </w:p>
    <w:sectPr w:rsidR="00246E09" w:rsidRPr="00494C1B">
      <w:headerReference w:type="default" r:id="rId10"/>
      <w:footerReference w:type="even" r:id="rId11"/>
      <w:footerReference w:type="default" r:id="rId12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00B" w:rsidRDefault="001B300B" w:rsidP="00E32E74">
      <w:r>
        <w:separator/>
      </w:r>
    </w:p>
  </w:endnote>
  <w:endnote w:type="continuationSeparator" w:id="0">
    <w:p w:rsidR="001B300B" w:rsidRDefault="001B300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00B" w:rsidRDefault="001B300B" w:rsidP="00E32E74">
      <w:r>
        <w:separator/>
      </w:r>
    </w:p>
  </w:footnote>
  <w:footnote w:type="continuationSeparator" w:id="0">
    <w:p w:rsidR="001B300B" w:rsidRDefault="001B300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  <w:abstractNum w:abstractNumId="35">
    <w:lvl w:ilvl="0">
      <w:numFmt w:val="bullet"/>
      <w:lvlText w:val="•"/>
      <w:suff w:val="space"/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17EA"/>
    <w:rsid w:val="00136317"/>
    <w:rsid w:val="0013733B"/>
    <w:rsid w:val="001410AA"/>
    <w:rsid w:val="00147D41"/>
    <w:rsid w:val="00151B05"/>
    <w:rsid w:val="00153B11"/>
    <w:rsid w:val="00154DA5"/>
    <w:rsid w:val="00155DFB"/>
    <w:rsid w:val="00177001"/>
    <w:rsid w:val="0018050E"/>
    <w:rsid w:val="00193DC0"/>
    <w:rsid w:val="00197050"/>
    <w:rsid w:val="00197ADD"/>
    <w:rsid w:val="001A6402"/>
    <w:rsid w:val="001B2972"/>
    <w:rsid w:val="001B300B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B3D1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4C1B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6B57"/>
    <w:rsid w:val="00587300"/>
    <w:rsid w:val="00591184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97E86"/>
    <w:rsid w:val="008A56B9"/>
    <w:rsid w:val="008B36BF"/>
    <w:rsid w:val="008B5764"/>
    <w:rsid w:val="008D09CA"/>
    <w:rsid w:val="008E3CE4"/>
    <w:rsid w:val="008F0109"/>
    <w:rsid w:val="008F2DC2"/>
    <w:rsid w:val="008F54BD"/>
    <w:rsid w:val="009117FA"/>
    <w:rsid w:val="009208B2"/>
    <w:rsid w:val="00927F12"/>
    <w:rsid w:val="00930605"/>
    <w:rsid w:val="00954E52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1E98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245F"/>
    <w:rsid w:val="00B23CE9"/>
    <w:rsid w:val="00B273F4"/>
    <w:rsid w:val="00B449E9"/>
    <w:rsid w:val="00B50C16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67180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64C2"/>
    <w:rsid w:val="00DE76A7"/>
    <w:rsid w:val="00E0538C"/>
    <w:rsid w:val="00E1407E"/>
    <w:rsid w:val="00E32E74"/>
    <w:rsid w:val="00E413F0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Noto Sans" w:eastAsia="Times New Roman" w:hAnsi="Noto Sans" w:cs="Times New Roman"/>
      <w:sz w:val="22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 w:ascii="Noto Sans" w:hAnsi="Noto Sans"/>
      <w:b/>
      <w:color w:val="670E35"/>
      <w:sz w:val="22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 w:ascii="Noto Sans" w:hAnsi="Noto Sans"/>
      <w:b/>
      <w:color w:val="666666"/>
      <w:sz w:val="22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rFonts w:ascii="Noto Sans" w:hAnsi="Noto Sans"/>
      <w:b/>
      <w:color w:val="FFFFFF"/>
      <w:sz w:val="22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rFonts w:ascii="Noto Sans" w:hAnsi="Noto Sans"/>
      <w:b/>
      <w:sz w:val="22"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rFonts w:ascii="Noto Sans" w:hAnsi="Noto Sans"/>
      <w:b w:val="0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Noto Sans" w:hAnsi="Noto Sans"/>
      <w:b/>
      <w:sz w:val="22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Noto Sans" w:hAnsi="Noto Sans"/>
      <w:b/>
      <w:sz w:val="2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Noto Sans" w:eastAsia="Georgia" w:hAnsi="Noto Sans" w:cs="Georgia"/>
      <w:i/>
      <w:color w:val="666666"/>
      <w:sz w:val="22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rFonts w:ascii="Noto Sans" w:hAnsi="Noto Sans"/>
      <w:sz w:val="22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Noto Sans" w:hAnsi="Noto Sans" w:cs="Segoe UI"/>
      <w:sz w:val="22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rFonts w:ascii="Noto Sans" w:hAnsi="Noto Sans"/>
      <w:sz w:val="22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Noto Sans" w:hAnsi="Noto Sans" w:cs="Arial"/>
      <w:color w:val="800080"/>
      <w:sz w:val="22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rFonts w:ascii="Noto Sans" w:hAnsi="Noto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14" Type="http://schemas.openxmlformats.org/officeDocument/2006/relationships/theme" Target="theme/theme1.xml"/><Relationship Id="rId9" Type="http://schemas.openxmlformats.org/officeDocument/2006/relationships/image" Target="media/image1.png"/><Relationship Id="rId15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39060-3F28-D949-9895-241B815C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29</cp:revision>
  <cp:lastPrinted>2026-06-17T17:31:00Z</cp:lastPrinted>
  <dcterms:created xsi:type="dcterms:W3CDTF">2026-07-24T04:18:00Z</dcterms:created>
  <dcterms:modified xsi:type="dcterms:W3CDTF">2026-09-25T04:20:00Z</dcterms:modified>
  <dc:title>Formación bruta de capital fijo · Jul 26</dc:title>
  <dc:subject>Referencia visual aportada por el usuario — ENOE agosto 2026</dc:subject>
</cp:coreProperties>
</file>