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92"/>
        <w:gridCol w:w="4392"/>
      </w:tblGrid>
      <w:tr>
        <w:trPr>
          <w:cantSplit/>
          <w:tblHeader/>
        </w:trPr>
        <w:tc>
          <w:tcPr>
            <w:tcW w:type="dxa" w:w="4392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IMCP · Julio de 2026</w:t>
            </w:r>
          </w:p>
        </w:tc>
        <w:tc>
          <w:tcPr>
            <w:tcW w:type="dxa" w:w="4392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Publicación 2026-10-05</w:t>
            </w:r>
          </w:p>
        </w:tc>
      </w:tr>
      <w:tr>
        <w:trPr>
          <w:cantSplit/>
        </w:trPr>
        <w:tc>
          <w:tcPr>
            <w:tcW w:type="dxa" w:w="4392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Índice ajustado 113.2</w:t>
            </w:r>
          </w:p>
        </w:tc>
        <w:tc>
          <w:tcPr>
            <w:tcW w:type="dxa" w:w="4392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Mensual 0.0% | Anual 1.1%</w:t>
            </w:r>
          </w:p>
        </w:tc>
      </w:tr>
    </w:tbl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/>
          <w:color w:val="10312B"/>
          <w:sz w:val="22"/>
        </w:rPr>
        <w:t>Consumo privado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Índice 2018=100. Variaciones reales; edición del boletín, sujeta a revisión.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Resumen ejecutivo</w:t>
      </w:r>
    </w:p>
    <w:p>
      <w:pPr>
        <w:keepNext w:val="0"/>
        <w:spacing w:before="0" w:after="0" w:line="240" w:lineRule="auto"/>
        <w:jc w:val="both"/>
        <w:shd w:fill="F1F2F0"/>
      </w:pPr>
      <w:r>
        <w:rPr>
          <w:rFonts w:ascii="Noto Sans" w:hAnsi="Noto Sans"/>
          <w:b w:val="0"/>
          <w:color w:val="000000"/>
          <w:sz w:val="22"/>
        </w:rPr>
        <w:t>En julio de 2026, el consumo privado no cambió respecto al mes previo; en la comparación anual registró 1.1%, con cifras desestacionalizadas.</w:t>
      </w:r>
    </w:p>
    <w:p>
      <w:pPr>
        <w:keepNext w:val="0"/>
        <w:spacing w:before="0" w:after="0" w:line="240" w:lineRule="auto"/>
        <w:jc w:val="both"/>
        <w:shd w:fill="F1F2F0"/>
        <w:numPr>
          <w:ilvl w:val="0"/>
          <w:numId w:val="36"/>
        </w:numPr>
      </w:pPr>
      <w:r>
        <w:rPr>
          <w:rFonts w:ascii="Noto Sans" w:hAnsi="Noto Sans"/>
          <w:b w:val="0"/>
          <w:color w:val="000000"/>
          <w:sz w:val="22"/>
        </w:rPr>
        <w:t>Mayor variación mensual entre bienes nacionales, servicios nacionales y bienes importados: bienes importados, con 1.4%.</w:t>
      </w:r>
    </w:p>
    <w:p>
      <w:pPr>
        <w:keepNext w:val="0"/>
        <w:spacing w:before="0" w:after="0" w:line="240" w:lineRule="auto"/>
        <w:jc w:val="both"/>
        <w:shd w:fill="F1F2F0"/>
        <w:numPr>
          <w:ilvl w:val="0"/>
          <w:numId w:val="36"/>
        </w:numPr>
      </w:pPr>
      <w:r>
        <w:rPr>
          <w:rFonts w:ascii="Noto Sans" w:hAnsi="Noto Sans"/>
          <w:b w:val="0"/>
          <w:color w:val="000000"/>
          <w:sz w:val="22"/>
        </w:rPr>
        <w:t>Menor variación mensual en esos tres componentes: bienes nacionales, con -0.2%. El conjunto nacional varió -0.1%.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Comparación mensual y anual ajustada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2160"/>
        <w:gridCol w:w="2160"/>
      </w:tblGrid>
      <w:tr>
        <w:trPr>
          <w:cantSplit/>
          <w:tblHeader/>
        </w:trPr>
        <w:tc>
          <w:tcPr>
            <w:tcW w:type="dxa" w:w="4464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Mensual (%)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Anual (%)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Consumo privado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0.0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1.1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Nacional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-0.1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Bienes nacionales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-0.2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1.4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Servicios nacionales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0.2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0.6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Bienes importados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1.4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1.6</w:t>
            </w:r>
          </w:p>
        </w:tc>
      </w:tr>
    </w:tbl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Fuente: INEGI, cuadro 1, p. 2. Ambas tasas desestacionalizadas. Las filas son agregados y desgloses, no sumandos de tasas.</w:t>
      </w:r>
    </w:p>
    <w:p>
      <w:r>
        <w:drawing>
          <wp:inline xmlns:a="http://schemas.openxmlformats.org/drawingml/2006/main" xmlns:pic="http://schemas.openxmlformats.org/drawingml/2006/picture">
            <wp:extent cx="5532120" cy="1587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s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587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Balance del año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En cifras originales, el total registró 1.1% anual y 2.0% en enero al mes de referencia respecto al mismo intervalo del año anterior.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El acumulado es una tasa publicada por el INEGI; no se obtiene promediando tasas mensuales. Las tasas originales y ajustadas pueden diferir.</w:t>
      </w:r>
    </w:p>
    <w:p>
      <w:r>
        <w:br w:type="page"/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Cifras originales y acumulado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2160"/>
        <w:gridCol w:w="2160"/>
      </w:tblGrid>
      <w:tr>
        <w:trPr>
          <w:cantSplit/>
          <w:tblHeader/>
        </w:trPr>
        <w:tc>
          <w:tcPr>
            <w:tcW w:type="dxa" w:w="4464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Anual original (%)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Enero–mes (%)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Consumo privado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1.1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2.0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Nacional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1.0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0.3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Bienes nacionales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1.4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0.3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Duraderos nacionales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4.0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-4.0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Semiduraderos nacionales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-0.5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-2.8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No duraderos nacionales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1.4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1.6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Servicios nacionales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0.7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0.3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Bienes importados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0.1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8.1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Duraderos importados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8.4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12.9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Semiduraderos importados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-3.4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-2.1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No duraderos importados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-3.4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10.0</w:t>
            </w:r>
          </w:p>
        </w:tc>
      </w:tr>
    </w:tbl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Fuente: INEGI, cuadro 2, p. 3. Cifras preliminares; anual contra el mismo mes del año anterior y acumulado contra enero al mismo mes del año anterior.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Durabilidad y origen de los bienes</w:t>
      </w:r>
    </w:p>
    <w:p>
      <w:r>
        <w:drawing>
          <wp:inline xmlns:a="http://schemas.openxmlformats.org/drawingml/2006/main" xmlns:pic="http://schemas.openxmlformats.org/drawingml/2006/picture">
            <wp:extent cx="5532120" cy="15870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umul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587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Verde: nacionales. Dorado: importados. Fuente: cuadro 2. Las categorías de durabilidad desglosan bienes; no incluyen servicios.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Notas metodológicas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El IMCP mide el gasto de los hogares en bienes y servicios nacionales e importados. El consumo de bienes importados no equivale a producción nacional ni a ventas minoristas.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El total incluye compras netas de residentes y no residentes. En el cuadro original estas compras presentan NA: no aplica; no se sustituyen por cero. Los agregados ajustados se calculan de forma independiente a sus componentes. No se infieren causas ni cambios en bienestar.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INEGI, boletín 616/26, publicado el 2026-10-05. Resultados y cuadros: pp. 1–3; metodología: p. 4. Cifras sujetas a revisión.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https://www.inegi.org.mx/contenidos/saladeprensa/boletines/2026/imcp/imcpmi2026_10.pdf</w:t>
      </w:r>
    </w:p>
    <w:sectPr w:rsidR="00246E09" w:rsidRPr="00494C1B">
      <w:headerReference w:type="default" r:id="rId10"/>
      <w:footerReference w:type="even" r:id="rId11"/>
      <w:footerReference w:type="default" r:id="rId12"/>
      <w:pgSz w:w="12240" w:h="15840"/>
      <w:pgMar w:top="1134" w:right="1701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300B" w:rsidRDefault="001B300B" w:rsidP="00E32E74">
      <w:r>
        <w:separator/>
      </w:r>
    </w:p>
  </w:endnote>
  <w:endnote w:type="continuationSeparator" w:id="0">
    <w:p w:rsidR="001B300B" w:rsidRDefault="001B300B" w:rsidP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Montserrat Ligh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Univers (W1)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44527516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8544E1" w:rsidRDefault="008544E1" w:rsidP="00DA37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CE633D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8544E1" w:rsidRDefault="008544E1" w:rsidP="008544E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D60BF7" w:rsidP="008544E1">
    <w:pPr>
      <w:ind w:right="360"/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093B9EEA" wp14:editId="414DD1FB">
          <wp:simplePos x="0" y="0"/>
          <wp:positionH relativeFrom="page">
            <wp:posOffset>-121920</wp:posOffset>
          </wp:positionH>
          <wp:positionV relativeFrom="paragraph">
            <wp:posOffset>-45085</wp:posOffset>
          </wp:positionV>
          <wp:extent cx="7894873" cy="1293628"/>
          <wp:effectExtent l="0" t="0" r="5080" b="1905"/>
          <wp:wrapNone/>
          <wp:docPr id="441815502" name="Imagen 1" descr="Imagen que contiene Aplicación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Pr="00E7262E" w:rsidRDefault="00DB54A2" w:rsidP="00A27EAB">
    <w:pPr>
      <w:jc w:val="right"/>
    </w:pPr>
  </w:p>
  <w:p w:rsidR="00B62B90" w:rsidRDefault="00B62B90" w:rsidP="00E32E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300B" w:rsidRDefault="001B300B" w:rsidP="00E32E74">
      <w:r>
        <w:separator/>
      </w:r>
    </w:p>
  </w:footnote>
  <w:footnote w:type="continuationSeparator" w:id="0">
    <w:p w:rsidR="001B300B" w:rsidRDefault="001B300B" w:rsidP="00E3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EA49C5" w:rsidP="00E32E74">
    <w:r>
      <w:rPr>
        <w:noProof/>
      </w:rPr>
      <w:drawing>
        <wp:anchor distT="0" distB="0" distL="0" distR="0" simplePos="0" relativeHeight="251658240" behindDoc="1" locked="0" layoutInCell="1" hidden="0" allowOverlap="1" wp14:anchorId="3C194DD2" wp14:editId="09349DB6">
          <wp:simplePos x="0" y="0"/>
          <wp:positionH relativeFrom="page">
            <wp:posOffset>-12700</wp:posOffset>
          </wp:positionH>
          <wp:positionV relativeFrom="paragraph">
            <wp:posOffset>-436626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53939" cy="1257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Default="00DB54A2" w:rsidP="00E32E74"/>
  <w:p w:rsidR="00DB54A2" w:rsidRDefault="00DB54A2" w:rsidP="00E32E74"/>
  <w:p w:rsidR="00F859CD" w:rsidRDefault="00F859CD" w:rsidP="00E32E74"/>
  <w:p w:rsidR="00EA51AD" w:rsidRDefault="009966CB" w:rsidP="00FE6B8B">
    <w:pPr>
      <w:ind w:left="-426"/>
      <w:rPr>
        <w:rFonts w:ascii="Calibri" w:hAnsi="Calibri" w:cs="Calibri"/>
        <w:b/>
        <w:sz w:val="22"/>
      </w:rPr>
    </w:pPr>
    <w:r>
      <w:rPr>
        <w:rFonts w:ascii="Noto Sans" w:hAnsi="Noto Sans"/>
        <w:b/>
        <w:sz w:val="22"/>
      </w:rPr>
      <w:t>S</w:t>
    </w:r>
    <w:r w:rsidR="00F05BFD">
      <w:rPr>
        <w:rFonts w:ascii="Noto Sans" w:hAnsi="Noto Sans"/>
        <w:b/>
        <w:sz w:val="22"/>
      </w:rPr>
      <w:t>ubs</w:t>
    </w:r>
    <w:r>
      <w:rPr>
        <w:rFonts w:ascii="Noto Sans" w:hAnsi="Noto Sans"/>
        <w:b/>
        <w:sz w:val="22"/>
      </w:rPr>
      <w:t xml:space="preserve">ecretaría de </w:t>
    </w:r>
    <w:r w:rsidR="00F05BFD">
      <w:rPr>
        <w:rFonts w:ascii="Noto Sans" w:hAnsi="Noto Sans"/>
        <w:b/>
        <w:sz w:val="22"/>
      </w:rPr>
      <w:t>Industria y Comercio</w:t>
    </w:r>
  </w:p>
  <w:p w:rsidR="009966CB" w:rsidRPr="009966CB" w:rsidRDefault="009966CB" w:rsidP="00FE6B8B">
    <w:pPr>
      <w:ind w:left="-426"/>
      <w:rPr>
        <w:rFonts w:ascii="Calibri" w:hAnsi="Calibri" w:cs="Calibri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66058"/>
    <w:multiLevelType w:val="multilevel"/>
    <w:tmpl w:val="CF0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0E73"/>
    <w:multiLevelType w:val="multilevel"/>
    <w:tmpl w:val="F8E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74F6"/>
    <w:multiLevelType w:val="hybridMultilevel"/>
    <w:tmpl w:val="BD24C636"/>
    <w:lvl w:ilvl="0" w:tplc="04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09B5062C"/>
    <w:multiLevelType w:val="multilevel"/>
    <w:tmpl w:val="E0D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75AF"/>
    <w:multiLevelType w:val="multilevel"/>
    <w:tmpl w:val="F99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A051B"/>
    <w:multiLevelType w:val="multilevel"/>
    <w:tmpl w:val="F70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26045"/>
    <w:multiLevelType w:val="hybridMultilevel"/>
    <w:tmpl w:val="2886F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B1544"/>
    <w:multiLevelType w:val="multilevel"/>
    <w:tmpl w:val="1D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E7BD5"/>
    <w:multiLevelType w:val="multilevel"/>
    <w:tmpl w:val="E21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70303"/>
    <w:multiLevelType w:val="hybridMultilevel"/>
    <w:tmpl w:val="77764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13076"/>
    <w:multiLevelType w:val="multilevel"/>
    <w:tmpl w:val="D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37F62"/>
    <w:multiLevelType w:val="hybridMultilevel"/>
    <w:tmpl w:val="491E8574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72D51"/>
    <w:multiLevelType w:val="hybridMultilevel"/>
    <w:tmpl w:val="B27E3374"/>
    <w:lvl w:ilvl="0" w:tplc="3A18F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E7B97"/>
    <w:multiLevelType w:val="hybridMultilevel"/>
    <w:tmpl w:val="2A4A9C34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F28E7"/>
    <w:multiLevelType w:val="multilevel"/>
    <w:tmpl w:val="B01C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E56A7"/>
    <w:multiLevelType w:val="multilevel"/>
    <w:tmpl w:val="2B9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F13CCD"/>
    <w:multiLevelType w:val="multilevel"/>
    <w:tmpl w:val="AE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731D8"/>
    <w:multiLevelType w:val="hybridMultilevel"/>
    <w:tmpl w:val="E58CE21C"/>
    <w:lvl w:ilvl="0" w:tplc="0C348DAA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70ACC"/>
    <w:multiLevelType w:val="multilevel"/>
    <w:tmpl w:val="DD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F1DE7"/>
    <w:multiLevelType w:val="multilevel"/>
    <w:tmpl w:val="AF8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45AEF"/>
    <w:multiLevelType w:val="multilevel"/>
    <w:tmpl w:val="777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90047D"/>
    <w:multiLevelType w:val="hybridMultilevel"/>
    <w:tmpl w:val="A822CF98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2" w15:restartNumberingAfterBreak="0">
    <w:nsid w:val="62203C88"/>
    <w:multiLevelType w:val="multilevel"/>
    <w:tmpl w:val="CC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8072D"/>
    <w:multiLevelType w:val="hybridMultilevel"/>
    <w:tmpl w:val="05087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57499"/>
    <w:multiLevelType w:val="multilevel"/>
    <w:tmpl w:val="C58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6C00BF"/>
    <w:multiLevelType w:val="multilevel"/>
    <w:tmpl w:val="98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327C8"/>
    <w:multiLevelType w:val="hybridMultilevel"/>
    <w:tmpl w:val="4BBA9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A16731"/>
    <w:multiLevelType w:val="multilevel"/>
    <w:tmpl w:val="0A6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60062"/>
    <w:multiLevelType w:val="hybridMultilevel"/>
    <w:tmpl w:val="F4BA4BB8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60E2529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55585F"/>
    <w:multiLevelType w:val="multilevel"/>
    <w:tmpl w:val="EE7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F537A"/>
    <w:multiLevelType w:val="multilevel"/>
    <w:tmpl w:val="4F3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36124"/>
    <w:multiLevelType w:val="multilevel"/>
    <w:tmpl w:val="F65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B2C3D"/>
    <w:multiLevelType w:val="hybridMultilevel"/>
    <w:tmpl w:val="7A1B2C3E"/>
    <w:lvl w:ilvl="0" w:tplc="F266E762">
      <w:start w:val="1"/>
      <w:numFmt w:val="bullet"/>
      <w:lvlText w:val=""/>
      <w:lvlJc w:val="left"/>
      <w:pPr>
        <w:ind w:left="432" w:hanging="288"/>
      </w:pPr>
      <w:rPr>
        <w:rFonts w:ascii="Symbol" w:hAnsi="Symbol" w:hint="default"/>
      </w:rPr>
    </w:lvl>
    <w:lvl w:ilvl="1" w:tplc="1A44F988">
      <w:numFmt w:val="decimal"/>
      <w:lvlText w:val=""/>
      <w:lvlJc w:val="left"/>
    </w:lvl>
    <w:lvl w:ilvl="2" w:tplc="784A313A">
      <w:numFmt w:val="decimal"/>
      <w:lvlText w:val=""/>
      <w:lvlJc w:val="left"/>
    </w:lvl>
    <w:lvl w:ilvl="3" w:tplc="E940B9BA">
      <w:numFmt w:val="decimal"/>
      <w:lvlText w:val=""/>
      <w:lvlJc w:val="left"/>
    </w:lvl>
    <w:lvl w:ilvl="4" w:tplc="CE9E15B0">
      <w:numFmt w:val="decimal"/>
      <w:lvlText w:val=""/>
      <w:lvlJc w:val="left"/>
    </w:lvl>
    <w:lvl w:ilvl="5" w:tplc="803CE1A8">
      <w:numFmt w:val="decimal"/>
      <w:lvlText w:val=""/>
      <w:lvlJc w:val="left"/>
    </w:lvl>
    <w:lvl w:ilvl="6" w:tplc="7EBEE4BC">
      <w:numFmt w:val="decimal"/>
      <w:lvlText w:val=""/>
      <w:lvlJc w:val="left"/>
    </w:lvl>
    <w:lvl w:ilvl="7" w:tplc="AD3C62DA">
      <w:numFmt w:val="decimal"/>
      <w:lvlText w:val=""/>
      <w:lvlJc w:val="left"/>
    </w:lvl>
    <w:lvl w:ilvl="8" w:tplc="C35E76F4">
      <w:numFmt w:val="decimal"/>
      <w:lvlText w:val=""/>
      <w:lvlJc w:val="left"/>
    </w:lvl>
  </w:abstractNum>
  <w:abstractNum w:abstractNumId="33" w15:restartNumberingAfterBreak="0">
    <w:nsid w:val="7B7C15D2"/>
    <w:multiLevelType w:val="hybridMultilevel"/>
    <w:tmpl w:val="9E94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7C1AA1"/>
    <w:multiLevelType w:val="multilevel"/>
    <w:tmpl w:val="749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20"/>
  </w:num>
  <w:num w:numId="4">
    <w:abstractNumId w:val="34"/>
  </w:num>
  <w:num w:numId="5">
    <w:abstractNumId w:val="27"/>
  </w:num>
  <w:num w:numId="6">
    <w:abstractNumId w:val="10"/>
  </w:num>
  <w:num w:numId="7">
    <w:abstractNumId w:val="30"/>
  </w:num>
  <w:num w:numId="8">
    <w:abstractNumId w:val="8"/>
  </w:num>
  <w:num w:numId="9">
    <w:abstractNumId w:val="5"/>
  </w:num>
  <w:num w:numId="10">
    <w:abstractNumId w:val="16"/>
  </w:num>
  <w:num w:numId="11">
    <w:abstractNumId w:val="19"/>
  </w:num>
  <w:num w:numId="12">
    <w:abstractNumId w:val="18"/>
  </w:num>
  <w:num w:numId="13">
    <w:abstractNumId w:val="7"/>
  </w:num>
  <w:num w:numId="14">
    <w:abstractNumId w:val="14"/>
  </w:num>
  <w:num w:numId="15">
    <w:abstractNumId w:val="31"/>
  </w:num>
  <w:num w:numId="16">
    <w:abstractNumId w:val="0"/>
  </w:num>
  <w:num w:numId="17">
    <w:abstractNumId w:val="24"/>
  </w:num>
  <w:num w:numId="18">
    <w:abstractNumId w:val="15"/>
  </w:num>
  <w:num w:numId="19">
    <w:abstractNumId w:val="23"/>
  </w:num>
  <w:num w:numId="20">
    <w:abstractNumId w:val="26"/>
  </w:num>
  <w:num w:numId="21">
    <w:abstractNumId w:val="12"/>
  </w:num>
  <w:num w:numId="22">
    <w:abstractNumId w:val="1"/>
  </w:num>
  <w:num w:numId="23">
    <w:abstractNumId w:val="22"/>
  </w:num>
  <w:num w:numId="24">
    <w:abstractNumId w:val="25"/>
  </w:num>
  <w:num w:numId="25">
    <w:abstractNumId w:val="3"/>
  </w:num>
  <w:num w:numId="26">
    <w:abstractNumId w:val="4"/>
  </w:num>
  <w:num w:numId="27">
    <w:abstractNumId w:val="29"/>
  </w:num>
  <w:num w:numId="28">
    <w:abstractNumId w:val="9"/>
  </w:num>
  <w:num w:numId="29">
    <w:abstractNumId w:val="33"/>
  </w:num>
  <w:num w:numId="30">
    <w:abstractNumId w:val="32"/>
  </w:num>
  <w:num w:numId="31">
    <w:abstractNumId w:val="2"/>
  </w:num>
  <w:num w:numId="32">
    <w:abstractNumId w:val="21"/>
  </w:num>
  <w:num w:numId="33">
    <w:abstractNumId w:val="13"/>
  </w:num>
  <w:num w:numId="34">
    <w:abstractNumId w:val="11"/>
  </w:num>
  <w:num w:numId="35">
    <w:abstractNumId w:val="28"/>
  </w:num>
  <w:numIdMacAtCleanup w:val="1"/>
  <w:abstractNum w:abstractNumId="35">
    <w:lvl w:ilvl="0">
      <w:numFmt w:val="bullet"/>
      <w:lvlText w:val="•"/>
      <w:suff w:val="space"/>
    </w:lvl>
  </w:abstract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4C"/>
    <w:rsid w:val="00002027"/>
    <w:rsid w:val="00003EA0"/>
    <w:rsid w:val="0000545B"/>
    <w:rsid w:val="000258F9"/>
    <w:rsid w:val="00025A89"/>
    <w:rsid w:val="00030E8C"/>
    <w:rsid w:val="0003237D"/>
    <w:rsid w:val="000377A6"/>
    <w:rsid w:val="00041BD6"/>
    <w:rsid w:val="000438FF"/>
    <w:rsid w:val="00043F02"/>
    <w:rsid w:val="00046781"/>
    <w:rsid w:val="00050586"/>
    <w:rsid w:val="00054CA4"/>
    <w:rsid w:val="00054FB9"/>
    <w:rsid w:val="000571C6"/>
    <w:rsid w:val="0006003F"/>
    <w:rsid w:val="000A3591"/>
    <w:rsid w:val="000A46AA"/>
    <w:rsid w:val="000A71DD"/>
    <w:rsid w:val="000B3C45"/>
    <w:rsid w:val="000D126D"/>
    <w:rsid w:val="000D5B48"/>
    <w:rsid w:val="000D796F"/>
    <w:rsid w:val="000E1551"/>
    <w:rsid w:val="000E263D"/>
    <w:rsid w:val="001106F9"/>
    <w:rsid w:val="00113971"/>
    <w:rsid w:val="00113ADD"/>
    <w:rsid w:val="001259AE"/>
    <w:rsid w:val="001317EA"/>
    <w:rsid w:val="00136317"/>
    <w:rsid w:val="0013733B"/>
    <w:rsid w:val="001410AA"/>
    <w:rsid w:val="00147D41"/>
    <w:rsid w:val="00151B05"/>
    <w:rsid w:val="00153B11"/>
    <w:rsid w:val="00154DA5"/>
    <w:rsid w:val="00155DFB"/>
    <w:rsid w:val="00177001"/>
    <w:rsid w:val="0018050E"/>
    <w:rsid w:val="00193DC0"/>
    <w:rsid w:val="00197050"/>
    <w:rsid w:val="00197ADD"/>
    <w:rsid w:val="001A6402"/>
    <w:rsid w:val="001B2972"/>
    <w:rsid w:val="001B300B"/>
    <w:rsid w:val="001B64D3"/>
    <w:rsid w:val="001C2D90"/>
    <w:rsid w:val="001C5436"/>
    <w:rsid w:val="001D27D6"/>
    <w:rsid w:val="001D4DE9"/>
    <w:rsid w:val="001E072F"/>
    <w:rsid w:val="001F561B"/>
    <w:rsid w:val="00204B82"/>
    <w:rsid w:val="00220619"/>
    <w:rsid w:val="002360E8"/>
    <w:rsid w:val="00246E09"/>
    <w:rsid w:val="00254C67"/>
    <w:rsid w:val="00290C17"/>
    <w:rsid w:val="00294C95"/>
    <w:rsid w:val="002B3D15"/>
    <w:rsid w:val="002C459E"/>
    <w:rsid w:val="002E0889"/>
    <w:rsid w:val="002E131D"/>
    <w:rsid w:val="002E3C28"/>
    <w:rsid w:val="002F4E7A"/>
    <w:rsid w:val="00320CA1"/>
    <w:rsid w:val="00341FF9"/>
    <w:rsid w:val="00344789"/>
    <w:rsid w:val="00360F50"/>
    <w:rsid w:val="0036312B"/>
    <w:rsid w:val="003817DF"/>
    <w:rsid w:val="003919F7"/>
    <w:rsid w:val="003B7AF4"/>
    <w:rsid w:val="003E400C"/>
    <w:rsid w:val="003E7119"/>
    <w:rsid w:val="003F7434"/>
    <w:rsid w:val="004135C9"/>
    <w:rsid w:val="00424E7E"/>
    <w:rsid w:val="0042728A"/>
    <w:rsid w:val="00431758"/>
    <w:rsid w:val="004362C5"/>
    <w:rsid w:val="00437209"/>
    <w:rsid w:val="00465707"/>
    <w:rsid w:val="004676E4"/>
    <w:rsid w:val="00470257"/>
    <w:rsid w:val="0047264F"/>
    <w:rsid w:val="004869A7"/>
    <w:rsid w:val="00486FFD"/>
    <w:rsid w:val="00491EE7"/>
    <w:rsid w:val="0049299F"/>
    <w:rsid w:val="00494C1B"/>
    <w:rsid w:val="00495548"/>
    <w:rsid w:val="004A74A4"/>
    <w:rsid w:val="004A78F6"/>
    <w:rsid w:val="004B221D"/>
    <w:rsid w:val="004C2B18"/>
    <w:rsid w:val="004D104B"/>
    <w:rsid w:val="004D2236"/>
    <w:rsid w:val="004D5A8C"/>
    <w:rsid w:val="004E388B"/>
    <w:rsid w:val="004E776E"/>
    <w:rsid w:val="004F3817"/>
    <w:rsid w:val="004F590A"/>
    <w:rsid w:val="0050130F"/>
    <w:rsid w:val="00502F3D"/>
    <w:rsid w:val="005267AC"/>
    <w:rsid w:val="00527411"/>
    <w:rsid w:val="005279B6"/>
    <w:rsid w:val="00550647"/>
    <w:rsid w:val="00580B12"/>
    <w:rsid w:val="00586B57"/>
    <w:rsid w:val="00587300"/>
    <w:rsid w:val="00591184"/>
    <w:rsid w:val="00591B3A"/>
    <w:rsid w:val="00593514"/>
    <w:rsid w:val="00593D76"/>
    <w:rsid w:val="005A57CC"/>
    <w:rsid w:val="005A6B97"/>
    <w:rsid w:val="005C3EB9"/>
    <w:rsid w:val="005D105A"/>
    <w:rsid w:val="00625F36"/>
    <w:rsid w:val="00646C52"/>
    <w:rsid w:val="00655D4F"/>
    <w:rsid w:val="0065662B"/>
    <w:rsid w:val="00661ED1"/>
    <w:rsid w:val="006626AF"/>
    <w:rsid w:val="00662863"/>
    <w:rsid w:val="00667278"/>
    <w:rsid w:val="00671DD9"/>
    <w:rsid w:val="0068031A"/>
    <w:rsid w:val="006808CC"/>
    <w:rsid w:val="00697E37"/>
    <w:rsid w:val="006A0811"/>
    <w:rsid w:val="006A1F60"/>
    <w:rsid w:val="006A3BB6"/>
    <w:rsid w:val="006F4646"/>
    <w:rsid w:val="00705DC8"/>
    <w:rsid w:val="007462AF"/>
    <w:rsid w:val="007471F1"/>
    <w:rsid w:val="0075390E"/>
    <w:rsid w:val="007759A6"/>
    <w:rsid w:val="007816C7"/>
    <w:rsid w:val="0078392B"/>
    <w:rsid w:val="0079704D"/>
    <w:rsid w:val="007B7560"/>
    <w:rsid w:val="007C74E0"/>
    <w:rsid w:val="007D06F1"/>
    <w:rsid w:val="007D3385"/>
    <w:rsid w:val="007F60B5"/>
    <w:rsid w:val="00810EC6"/>
    <w:rsid w:val="00815835"/>
    <w:rsid w:val="0082026B"/>
    <w:rsid w:val="00830352"/>
    <w:rsid w:val="00832176"/>
    <w:rsid w:val="0083711C"/>
    <w:rsid w:val="008544E1"/>
    <w:rsid w:val="0086418A"/>
    <w:rsid w:val="00864D64"/>
    <w:rsid w:val="00887FBD"/>
    <w:rsid w:val="00897B8A"/>
    <w:rsid w:val="00897E86"/>
    <w:rsid w:val="008A56B9"/>
    <w:rsid w:val="008B36BF"/>
    <w:rsid w:val="008B5764"/>
    <w:rsid w:val="008D09CA"/>
    <w:rsid w:val="008E3CE4"/>
    <w:rsid w:val="008F0109"/>
    <w:rsid w:val="008F2DC2"/>
    <w:rsid w:val="008F54BD"/>
    <w:rsid w:val="009117FA"/>
    <w:rsid w:val="009208B2"/>
    <w:rsid w:val="00927F12"/>
    <w:rsid w:val="00930605"/>
    <w:rsid w:val="00954E52"/>
    <w:rsid w:val="00964ACF"/>
    <w:rsid w:val="009667A4"/>
    <w:rsid w:val="009716AD"/>
    <w:rsid w:val="009755F8"/>
    <w:rsid w:val="00981CAC"/>
    <w:rsid w:val="00994331"/>
    <w:rsid w:val="00995175"/>
    <w:rsid w:val="009966CB"/>
    <w:rsid w:val="00997820"/>
    <w:rsid w:val="009B2B04"/>
    <w:rsid w:val="009D1660"/>
    <w:rsid w:val="009D513B"/>
    <w:rsid w:val="009D662C"/>
    <w:rsid w:val="009E6351"/>
    <w:rsid w:val="00A03BBA"/>
    <w:rsid w:val="00A25E9B"/>
    <w:rsid w:val="00A27EAB"/>
    <w:rsid w:val="00A34818"/>
    <w:rsid w:val="00A503BD"/>
    <w:rsid w:val="00A71E98"/>
    <w:rsid w:val="00A73CF4"/>
    <w:rsid w:val="00A84A08"/>
    <w:rsid w:val="00A8694C"/>
    <w:rsid w:val="00A87331"/>
    <w:rsid w:val="00A91676"/>
    <w:rsid w:val="00AA572B"/>
    <w:rsid w:val="00AA5821"/>
    <w:rsid w:val="00AE45C4"/>
    <w:rsid w:val="00B00ACC"/>
    <w:rsid w:val="00B109F8"/>
    <w:rsid w:val="00B131F1"/>
    <w:rsid w:val="00B2245F"/>
    <w:rsid w:val="00B23CE9"/>
    <w:rsid w:val="00B273F4"/>
    <w:rsid w:val="00B449E9"/>
    <w:rsid w:val="00B50C16"/>
    <w:rsid w:val="00B62B90"/>
    <w:rsid w:val="00B64AE2"/>
    <w:rsid w:val="00B72087"/>
    <w:rsid w:val="00B93C35"/>
    <w:rsid w:val="00B94BFE"/>
    <w:rsid w:val="00B96CD0"/>
    <w:rsid w:val="00BA690B"/>
    <w:rsid w:val="00BA7AF6"/>
    <w:rsid w:val="00BB1DC9"/>
    <w:rsid w:val="00BB3B44"/>
    <w:rsid w:val="00BB4307"/>
    <w:rsid w:val="00BC0BB8"/>
    <w:rsid w:val="00BC0F57"/>
    <w:rsid w:val="00BC2D1D"/>
    <w:rsid w:val="00BD38B1"/>
    <w:rsid w:val="00BE2C85"/>
    <w:rsid w:val="00BF5F01"/>
    <w:rsid w:val="00C0087D"/>
    <w:rsid w:val="00C062EB"/>
    <w:rsid w:val="00C122A4"/>
    <w:rsid w:val="00C176D8"/>
    <w:rsid w:val="00C2663E"/>
    <w:rsid w:val="00C33446"/>
    <w:rsid w:val="00C42F66"/>
    <w:rsid w:val="00C43081"/>
    <w:rsid w:val="00C619F7"/>
    <w:rsid w:val="00C62995"/>
    <w:rsid w:val="00C639EA"/>
    <w:rsid w:val="00C63AAF"/>
    <w:rsid w:val="00C65A1B"/>
    <w:rsid w:val="00C66897"/>
    <w:rsid w:val="00C67180"/>
    <w:rsid w:val="00C821D5"/>
    <w:rsid w:val="00C9207B"/>
    <w:rsid w:val="00CA567C"/>
    <w:rsid w:val="00CB13F4"/>
    <w:rsid w:val="00CB38B3"/>
    <w:rsid w:val="00CB70C5"/>
    <w:rsid w:val="00CD4A23"/>
    <w:rsid w:val="00CD7369"/>
    <w:rsid w:val="00CE633D"/>
    <w:rsid w:val="00D10BEE"/>
    <w:rsid w:val="00D2057E"/>
    <w:rsid w:val="00D2376F"/>
    <w:rsid w:val="00D23B89"/>
    <w:rsid w:val="00D2506F"/>
    <w:rsid w:val="00D263C6"/>
    <w:rsid w:val="00D60BF7"/>
    <w:rsid w:val="00D70252"/>
    <w:rsid w:val="00D70D18"/>
    <w:rsid w:val="00D83A01"/>
    <w:rsid w:val="00D90AAA"/>
    <w:rsid w:val="00D92277"/>
    <w:rsid w:val="00D974FD"/>
    <w:rsid w:val="00DA0C65"/>
    <w:rsid w:val="00DA44B8"/>
    <w:rsid w:val="00DB54A2"/>
    <w:rsid w:val="00DD2599"/>
    <w:rsid w:val="00DD4B7F"/>
    <w:rsid w:val="00DD6CF3"/>
    <w:rsid w:val="00DE64C2"/>
    <w:rsid w:val="00DE76A7"/>
    <w:rsid w:val="00E0538C"/>
    <w:rsid w:val="00E1407E"/>
    <w:rsid w:val="00E32E74"/>
    <w:rsid w:val="00E413F0"/>
    <w:rsid w:val="00E56F00"/>
    <w:rsid w:val="00E61388"/>
    <w:rsid w:val="00E7262E"/>
    <w:rsid w:val="00E76409"/>
    <w:rsid w:val="00E94CD4"/>
    <w:rsid w:val="00EA2751"/>
    <w:rsid w:val="00EA49C5"/>
    <w:rsid w:val="00EA51AD"/>
    <w:rsid w:val="00EB1C36"/>
    <w:rsid w:val="00EB1FB8"/>
    <w:rsid w:val="00ED0B2E"/>
    <w:rsid w:val="00F0340D"/>
    <w:rsid w:val="00F05BFD"/>
    <w:rsid w:val="00F05F40"/>
    <w:rsid w:val="00F06026"/>
    <w:rsid w:val="00F16AAF"/>
    <w:rsid w:val="00F231FC"/>
    <w:rsid w:val="00F26202"/>
    <w:rsid w:val="00F3290F"/>
    <w:rsid w:val="00F367B6"/>
    <w:rsid w:val="00F37BF3"/>
    <w:rsid w:val="00F43BA1"/>
    <w:rsid w:val="00F45090"/>
    <w:rsid w:val="00F53CD8"/>
    <w:rsid w:val="00F715E8"/>
    <w:rsid w:val="00F73ED8"/>
    <w:rsid w:val="00F83769"/>
    <w:rsid w:val="00F859CD"/>
    <w:rsid w:val="00F95ABF"/>
    <w:rsid w:val="00F9737C"/>
    <w:rsid w:val="00FA6B54"/>
    <w:rsid w:val="00FB178F"/>
    <w:rsid w:val="00FD0DC2"/>
    <w:rsid w:val="00FE2C1E"/>
    <w:rsid w:val="00FE6B8B"/>
    <w:rsid w:val="00F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88DCC13-AF70-4DF6-8663-0D0C64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7434"/>
    <w:rPr>
      <w:rFonts w:ascii="Noto Sans" w:eastAsia="Times New Roman" w:hAnsi="Noto Sans" w:cs="Times New Roman"/>
      <w:sz w:val="22"/>
      <w:lang w:eastAsia="es-ES_tradnl"/>
    </w:rPr>
  </w:style>
  <w:style w:type="paragraph" w:styleId="Ttulo1">
    <w:name w:val="heading 1"/>
    <w:basedOn w:val="Normal"/>
    <w:next w:val="Normal"/>
    <w:uiPriority w:val="9"/>
    <w:qFormat/>
    <w:rsid w:val="00CD7369"/>
    <w:pPr>
      <w:jc w:val="center"/>
      <w:outlineLvl w:val="0"/>
    </w:pPr>
    <w:rPr>
      <w:rFonts w:eastAsia="Noto Sans" w:cs="Noto Sans" w:ascii="Noto Sans" w:hAnsi="Noto Sans"/>
      <w:b/>
      <w:color w:val="670E35"/>
      <w:sz w:val="22"/>
      <w:lang w:eastAsia="es-MX"/>
    </w:rPr>
  </w:style>
  <w:style w:type="paragraph" w:styleId="Ttulo2">
    <w:name w:val="heading 2"/>
    <w:basedOn w:val="Normal"/>
    <w:next w:val="Normal"/>
    <w:uiPriority w:val="9"/>
    <w:unhideWhenUsed/>
    <w:qFormat/>
    <w:rsid w:val="00D70252"/>
    <w:pPr>
      <w:jc w:val="center"/>
      <w:outlineLvl w:val="1"/>
    </w:pPr>
    <w:rPr>
      <w:rFonts w:eastAsia="Montserrat Light" w:cs="Montserrat Light" w:ascii="Noto Sans" w:hAnsi="Noto Sans"/>
      <w:b/>
      <w:color w:val="666666"/>
      <w:sz w:val="22"/>
      <w:lang w:eastAsia="es-MX"/>
    </w:rPr>
  </w:style>
  <w:style w:type="paragraph" w:styleId="Ttulo3">
    <w:name w:val="heading 3"/>
    <w:basedOn w:val="Normal"/>
    <w:next w:val="Normal"/>
    <w:uiPriority w:val="9"/>
    <w:unhideWhenUsed/>
    <w:qFormat/>
    <w:rsid w:val="00CD7369"/>
    <w:pPr>
      <w:shd w:val="clear" w:color="auto" w:fill="670E35"/>
      <w:outlineLvl w:val="2"/>
    </w:pPr>
    <w:rPr>
      <w:rFonts w:ascii="Noto Sans" w:hAnsi="Noto Sans"/>
      <w:b/>
      <w:color w:val="FFFFFF"/>
      <w:sz w:val="22"/>
      <w:lang w:eastAsia="es-MX"/>
    </w:rPr>
  </w:style>
  <w:style w:type="paragraph" w:styleId="Ttulo4">
    <w:name w:val="heading 4"/>
    <w:basedOn w:val="Normal"/>
    <w:next w:val="Normal"/>
    <w:uiPriority w:val="9"/>
    <w:unhideWhenUsed/>
    <w:qFormat/>
    <w:rsid w:val="00D70252"/>
    <w:pPr>
      <w:keepNext/>
      <w:keepLines/>
      <w:numPr>
        <w:numId w:val="1"/>
      </w:numPr>
      <w:spacing w:before="240" w:after="40"/>
      <w:ind w:left="709" w:hanging="709"/>
      <w:outlineLvl w:val="3"/>
    </w:pPr>
    <w:rPr>
      <w:rFonts w:ascii="Noto Sans" w:hAnsi="Noto Sans"/>
      <w:b/>
      <w:sz w:val="22"/>
      <w:lang w:eastAsia="es-MX"/>
    </w:rPr>
  </w:style>
  <w:style w:type="paragraph" w:styleId="Ttulo5">
    <w:name w:val="heading 5"/>
    <w:basedOn w:val="Ttulo2"/>
    <w:next w:val="Normal"/>
    <w:uiPriority w:val="9"/>
    <w:unhideWhenUsed/>
    <w:qFormat/>
    <w:rsid w:val="00D70252"/>
    <w:pPr>
      <w:jc w:val="right"/>
      <w:outlineLvl w:val="4"/>
    </w:pPr>
    <w:rPr>
      <w:rFonts w:ascii="Noto Sans" w:hAnsi="Noto Sans"/>
      <w:b w:val="0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rFonts w:ascii="Noto Sans" w:hAnsi="Noto Sans"/>
      <w:b/>
      <w:sz w:val="22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Noto Sans" w:hAnsi="Noto Sans"/>
      <w:b/>
      <w:sz w:val="22"/>
      <w:szCs w:val="72"/>
      <w:lang w:eastAsia="es-MX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  <w:rPr>
      <w:rFonts w:ascii="Noto Sans" w:hAnsi="Noto Sans"/>
      <w:sz w:val="22"/>
      <w:lang w:eastAsia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  <w:rPr>
      <w:rFonts w:ascii="Noto Sans" w:hAnsi="Noto Sans"/>
      <w:sz w:val="22"/>
      <w:lang w:eastAsia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Noto Sans" w:eastAsia="Georgia" w:hAnsi="Noto Sans" w:cs="Georgia"/>
      <w:i/>
      <w:color w:val="666666"/>
      <w:sz w:val="22"/>
      <w:szCs w:val="48"/>
      <w:lang w:eastAsia="es-MX"/>
    </w:rPr>
  </w:style>
  <w:style w:type="paragraph" w:styleId="NormalWeb">
    <w:name w:val="Normal (Web)"/>
    <w:basedOn w:val="Normal"/>
    <w:uiPriority w:val="99"/>
    <w:unhideWhenUsed/>
    <w:rsid w:val="00C84662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styleId="Prrafodelista">
    <w:name w:val="List Paragraph"/>
    <w:basedOn w:val="Normal"/>
    <w:uiPriority w:val="34"/>
    <w:qFormat/>
    <w:rsid w:val="001E119D"/>
    <w:pPr>
      <w:ind w:left="720"/>
      <w:contextualSpacing/>
    </w:pPr>
    <w:rPr>
      <w:rFonts w:ascii="Noto Sans" w:hAnsi="Noto Sans"/>
      <w:sz w:val="22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119D"/>
    <w:rPr>
      <w:rFonts w:ascii="Noto Sans" w:hAnsi="Noto Sans" w:cs="Segoe UI"/>
      <w:sz w:val="22"/>
      <w:szCs w:val="18"/>
      <w:lang w:eastAsia="es-MX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19D"/>
    <w:rPr>
      <w:rFonts w:ascii="Segoe UI" w:eastAsiaTheme="minorEastAsia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0219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09CA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09CA"/>
    <w:rPr>
      <w:rFonts w:ascii="Noto Sans" w:hAnsi="Noto Sans"/>
      <w:sz w:val="22"/>
      <w:szCs w:val="20"/>
      <w:lang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09CA"/>
    <w:rPr>
      <w:rFonts w:ascii="Montserrat" w:eastAsia="Montserrat" w:hAnsi="Montserrat" w:cs="Montserra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09CA"/>
    <w:rPr>
      <w:vertAlign w:val="superscript"/>
    </w:rPr>
  </w:style>
  <w:style w:type="table" w:styleId="Tablaconcuadrcula">
    <w:name w:val="Table Grid"/>
    <w:basedOn w:val="Tablanormal"/>
    <w:uiPriority w:val="39"/>
    <w:rsid w:val="00E76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176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10EC6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13733B"/>
    <w:rPr>
      <w:color w:val="605E5C"/>
      <w:shd w:val="clear" w:color="auto" w:fill="E1DFDD"/>
    </w:rPr>
  </w:style>
  <w:style w:type="paragraph" w:customStyle="1" w:styleId="n01">
    <w:name w:val="n01"/>
    <w:basedOn w:val="Normal"/>
    <w:rsid w:val="00431758"/>
    <w:pPr>
      <w:keepLines/>
      <w:spacing w:before="240"/>
      <w:ind w:left="720" w:hanging="720"/>
    </w:pPr>
    <w:rPr>
      <w:rFonts w:ascii="Noto Sans" w:hAnsi="Noto Sans" w:cs="Arial"/>
      <w:color w:val="800080"/>
      <w:sz w:val="22"/>
      <w:lang w:val="es-ES_tradnl" w:eastAsia="es-ES"/>
    </w:rPr>
  </w:style>
  <w:style w:type="table" w:styleId="Tablaconcuadrcula1clara-nfasis6">
    <w:name w:val="Grid Table 1 Light Accent 6"/>
    <w:basedOn w:val="Tablanormal"/>
    <w:uiPriority w:val="46"/>
    <w:rsid w:val="00054FB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054FB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8544E1"/>
  </w:style>
  <w:style w:type="character" w:styleId="Hipervnculovisitado">
    <w:name w:val="FollowedHyperlink"/>
    <w:basedOn w:val="Fuentedeprrafopredeter"/>
    <w:uiPriority w:val="99"/>
    <w:semiHidden/>
    <w:unhideWhenUsed/>
    <w:rsid w:val="00502F3D"/>
    <w:rPr>
      <w:color w:val="96607D"/>
      <w:u w:val="single"/>
    </w:rPr>
  </w:style>
  <w:style w:type="paragraph" w:customStyle="1" w:styleId="msonormal0">
    <w:name w:val="msonormal"/>
    <w:basedOn w:val="Normal"/>
    <w:rsid w:val="00502F3D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customStyle="1" w:styleId="xl65">
    <w:name w:val="xl65"/>
    <w:basedOn w:val="Normal"/>
    <w:rsid w:val="00502F3D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customStyle="1" w:styleId="xl66">
    <w:name w:val="xl66"/>
    <w:basedOn w:val="Normal"/>
    <w:rsid w:val="00502F3D"/>
    <w:pPr>
      <w:spacing w:before="100" w:beforeAutospacing="1" w:after="100" w:afterAutospacing="1"/>
    </w:pPr>
    <w:rPr>
      <w:rFonts w:ascii="Noto Sans" w:hAnsi="Noto Sans" w:cs="Calibri"/>
      <w:color w:val="000000"/>
      <w:sz w:val="22"/>
      <w:lang w:eastAsia="es-MX"/>
    </w:rPr>
  </w:style>
  <w:style w:type="table" w:styleId="Tablaconcuadrcula4-nfasis6">
    <w:name w:val="Grid Table 4 Accent 6"/>
    <w:basedOn w:val="Tablanormal"/>
    <w:uiPriority w:val="49"/>
    <w:rsid w:val="00502F3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xl67">
    <w:name w:val="xl67"/>
    <w:basedOn w:val="Normal"/>
    <w:rsid w:val="00E94CD4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customStyle="1" w:styleId="xl68">
    <w:name w:val="xl68"/>
    <w:basedOn w:val="Normal"/>
    <w:rsid w:val="00E94CD4"/>
    <w:pPr>
      <w:spacing w:before="100" w:beforeAutospacing="1" w:after="100" w:afterAutospacing="1"/>
    </w:pPr>
    <w:rPr>
      <w:rFonts w:ascii="Noto Sans" w:hAnsi="Noto Sans" w:cs="Calibri"/>
      <w:color w:val="000000"/>
      <w:sz w:val="22"/>
      <w:lang w:eastAsia="es-MX"/>
    </w:rPr>
  </w:style>
  <w:style w:type="paragraph" w:customStyle="1" w:styleId="pdq2pgselectionanchorcontainer">
    <w:name w:val="pdq2pg_selectionanchorcontainer"/>
    <w:basedOn w:val="Normal"/>
    <w:rsid w:val="00360F50"/>
    <w:pPr>
      <w:spacing w:before="100" w:beforeAutospacing="1" w:after="100" w:afterAutospacing="1"/>
    </w:pPr>
    <w:rPr>
      <w:rFonts w:ascii="Noto Sans" w:hAnsi="Noto San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0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6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7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9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14" Type="http://schemas.openxmlformats.org/officeDocument/2006/relationships/theme" Target="theme/theme1.xml"/><Relationship Id="rId9" Type="http://schemas.openxmlformats.org/officeDocument/2006/relationships/image" Target="media/image1.png"/><Relationship Id="rId15" Type="http://schemas.openxmlformats.org/officeDocument/2006/relationships/image" Target="media/image4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pWPCfcsQFbrBypFpD4BWtRFLg==">CgMxLjA4AHIhMWpKWC1ZV1ZyUWxfelVTd2oxcUhWdVVqaW9sTHRWRGpD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6339060-3F28-D949-9895-241B815C1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Escobedo Juárez</dc:creator>
  <cp:lastModifiedBy>Luis Enrique Buendía</cp:lastModifiedBy>
  <cp:revision>29</cp:revision>
  <cp:lastPrinted>2026-06-17T17:31:00Z</cp:lastPrinted>
  <dcterms:created xsi:type="dcterms:W3CDTF">2026-07-24T04:18:00Z</dcterms:created>
  <dcterms:modified xsi:type="dcterms:W3CDTF">2026-09-25T04:20:00Z</dcterms:modified>
  <dc:title>Consumo privado · Jul 26</dc:title>
  <dc:subject>Referencia visual aportada por el usuario — ENOE agosto 2026</dc:subject>
</cp:coreProperties>
</file>