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/>
          <w:tblHeader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INPC · Septiembre de 2026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Publicación 2026-10-08</w:t>
            </w:r>
          </w:p>
        </w:tc>
      </w:tr>
      <w:tr>
        <w:trPr>
          <w:cantSplit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Índice 146.075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0.42% | Anual 3.45%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/>
          <w:color w:val="10312B"/>
          <w:sz w:val="22"/>
        </w:rPr>
        <w:t>Precios al consumidor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Base: Segunda quincena de julio de 2018=100. Variaciones de precios publicadas en el boletín; no son variaciones reales de producción.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Resumen ejecutivo</w:t>
      </w:r>
    </w:p>
    <w:p>
      <w:pPr>
        <w:keepNext w:val="0"/>
        <w:spacing w:before="0" w:after="0" w:line="240" w:lineRule="auto"/>
        <w:jc w:val="both"/>
        <w:shd w:fill="F1F2F0"/>
      </w:pPr>
      <w:r>
        <w:rPr>
          <w:rFonts w:ascii="Noto Sans" w:hAnsi="Noto Sans"/>
          <w:b w:val="0"/>
          <w:color w:val="000000"/>
          <w:sz w:val="22"/>
        </w:rPr>
        <w:t>En septiembre de 2026, la variación anual del INPC fue 3.45%, frente a 3.76% en el mismo mes del año anterior: una diferencia de -0.31 puntos porcentuales.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La inflación subyacente registró 3.75% anual y la no subyacente, 2.45%. Sus incidencias mensuales fueron 0.156 y 0.266 puntos porcentuales.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El nivel general de precios aumentó 0.42% en el mes. Una reducción de la inflación anual no implica una caída del nivel de precios.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Variaciones por componente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General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0.42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3.45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Subyacente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0.20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3.75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Mercancías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0.14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3.21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Servicios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0.26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4.27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No subyacente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1.20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2.45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Agropecuarios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2.21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0.79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Energéticos y tarifas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0.41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3.81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1, p. 2. Comparaciones mensuales y anuales del mismo mes; no se mezclan quincenas ni se suman tasas de componentes.</w:t>
      </w:r>
    </w:p>
    <w:p>
      <w:r>
        <w:drawing>
          <wp:inline xmlns:a="http://schemas.openxmlformats.org/drawingml/2006/main" xmlns:pic="http://schemas.openxmlformats.org/drawingml/2006/picture">
            <wp:extent cx="5532120" cy="149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49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Lectura del indicador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INPC resume precios de una canasta representativa del consumo de los hogares. Las diferencias entre rubros muestran comportamientos distintos; no equivalen al cambio de precios experimentado por cada hogar.</w:t>
      </w:r>
    </w:p>
    <w:p>
      <w:r>
        <w:br w:type="page"/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Productos con incidencia al alza y a la baja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Producto genérico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Incidencia (pp)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Jitomate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30.25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0.133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Cebolla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23.00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0.070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Gas doméstico LP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3.14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0.042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Papa y otros tubérculos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-13.92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-0.056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Servicios profesionales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-16.44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-0.042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Paquetes de internet, telefonía y televisión de paga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-2.06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-0.022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Selección: tres mayores incidencias positivas y tres negativas entre los genéricos destacados por el INEGI. No es un listado exhaustivo de toda la canasta. Incidencia mensual en puntos porcentuales (pp).</w:t>
      </w:r>
    </w:p>
    <w:p>
      <w:r>
        <w:drawing>
          <wp:inline xmlns:a="http://schemas.openxmlformats.org/drawingml/2006/main" xmlns:pic="http://schemas.openxmlformats.org/drawingml/2006/picture">
            <wp:extent cx="5532120" cy="1677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c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67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cuadro 2, p. 4. Las barras usan incidencias oficiales; no se derivan multiplicando tasas por ponderaciones supuestas.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Interpretación de las incidencias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La variación porcentual describe el cambio del precio de cada producto. La incidencia mide su contribución al movimiento del índice general: una variación mayor no implica necesariamente una mayor incidencia. Esta selección no reconstruye la variación total.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Notas metodológicas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La comparación anual anterior corresponde al mismo mes de un año antes; no al mes inmediato anterior. Las incidencias pueden presentar diferencias de redondeo respecto al total. El boletín contiene niveles quincenales, finalidades del consumo y aperturas territoriales; esta nota utiliza la lectura mensual nacional.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INEGI, boletín 619/26, publicado el 2026-10-08. Lectura completa de 6 páginas; metodología en la última página. Variaciones e incidencias de la misma edición.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https://www.inegi.org.mx/contenidos/saladeprensa/boletines/2026/inpc/inpc_2q2026_10.pdf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numFmt w:val="bullet"/>
      <w:lvlText w:val="•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 w:ascii="Noto Sans" w:hAnsi="Noto Sans"/>
      <w:b/>
      <w:color w:val="666666"/>
      <w:sz w:val="22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rFonts w:ascii="Noto Sans" w:hAnsi="Noto Sans"/>
      <w:b/>
      <w:color w:val="FFFFFF"/>
      <w:sz w:val="22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rFonts w:ascii="Noto Sans" w:hAnsi="Noto Sans"/>
      <w:b/>
      <w:sz w:val="22"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rFonts w:ascii="Noto Sans" w:hAnsi="Noto Sans"/>
      <w:b w:val="0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Noto Sans" w:hAnsi="Noto Sans"/>
      <w:b/>
      <w:sz w:val="22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Noto Sans" w:eastAsia="Georgia" w:hAnsi="Noto Sans" w:cs="Georgia"/>
      <w:i/>
      <w:color w:val="666666"/>
      <w:sz w:val="22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rFonts w:ascii="Noto Sans" w:hAnsi="Noto Sans"/>
      <w:sz w:val="22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Noto Sans" w:hAnsi="Noto Sans" w:cs="Segoe UI"/>
      <w:sz w:val="22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rFonts w:ascii="Noto Sans" w:hAnsi="Noto Sans"/>
      <w:sz w:val="22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Noto Sans" w:hAnsi="Noto Sans" w:cs="Arial"/>
      <w:color w:val="800080"/>
      <w:sz w:val="22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Precios al consumidor · Sep 26</dc:title>
  <dc:subject>Referencia visual aportada por el usuario — ENOE agosto 2026</dc:subject>
</cp:coreProperties>
</file>