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92"/>
        <w:gridCol w:w="4392"/>
      </w:tblGrid>
      <w:tr>
        <w:trPr>
          <w:cantSplit/>
          <w:tblHeader/>
        </w:trPr>
        <w:tc>
          <w:tcPr>
            <w:tcW w:type="dxa" w:w="4392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INPP · Septiembre de 2026</w:t>
            </w:r>
          </w:p>
        </w:tc>
        <w:tc>
          <w:tcPr>
            <w:tcW w:type="dxa" w:w="4392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Publicación 2026-10-08</w:t>
            </w:r>
          </w:p>
        </w:tc>
      </w:tr>
      <w:tr>
        <w:trPr>
          <w:cantSplit/>
        </w:trPr>
        <w:tc>
          <w:tcPr>
            <w:tcW w:type="dxa" w:w="4392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Total incluido petróleo</w:t>
            </w:r>
          </w:p>
        </w:tc>
        <w:tc>
          <w:tcPr>
            <w:tcW w:type="dxa" w:w="4392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Mensual 1.37% | Anual 4.05%</w:t>
            </w:r>
          </w:p>
        </w:tc>
      </w:tr>
    </w:tbl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/>
          <w:color w:val="10312B"/>
          <w:sz w:val="22"/>
        </w:rPr>
        <w:t>Precios al productor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Base: Julio de 2019=100. Variaciones de precios publicadas en el boletín; no son variaciones reales de producción.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Resumen ejecutivo</w:t>
      </w:r>
    </w:p>
    <w:p>
      <w:pPr>
        <w:keepNext w:val="0"/>
        <w:spacing w:before="0" w:after="0" w:line="240" w:lineRule="auto"/>
        <w:jc w:val="both"/>
        <w:shd w:fill="F1F2F0"/>
      </w:pPr>
      <w:r>
        <w:rPr>
          <w:rFonts w:ascii="Noto Sans" w:hAnsi="Noto Sans"/>
          <w:b w:val="0"/>
          <w:color w:val="000000"/>
          <w:sz w:val="22"/>
        </w:rPr>
        <w:t>En septiembre de 2026, la variación anual del INPP fue 4.05%, frente a 3.06% en el mismo mes del año anterior: una diferencia de 0.99 puntos porcentuales.</w:t>
      </w:r>
    </w:p>
    <w:p>
      <w:pPr>
        <w:keepNext w:val="0"/>
        <w:spacing w:before="0" w:after="0" w:line="240" w:lineRule="auto"/>
        <w:jc w:val="both"/>
        <w:shd w:fill="F1F2F0"/>
        <w:numPr>
          <w:ilvl w:val="0"/>
          <w:numId w:val="36"/>
        </w:numPr>
      </w:pPr>
      <w:r>
        <w:rPr>
          <w:rFonts w:ascii="Noto Sans" w:hAnsi="Noto Sans"/>
          <w:b w:val="0"/>
          <w:color w:val="000000"/>
          <w:sz w:val="22"/>
        </w:rPr>
        <w:t>Los precios de uso intermedio variaron 1.94% mensual y 4.25% anual; los finales, 1.14% y 3.97%, respectivamente. Incluyen petróleo.</w:t>
      </w:r>
    </w:p>
    <w:p>
      <w:pPr>
        <w:keepNext w:val="0"/>
        <w:spacing w:before="0" w:after="0" w:line="240" w:lineRule="auto"/>
        <w:jc w:val="both"/>
        <w:shd w:fill="F1F2F0"/>
        <w:numPr>
          <w:ilvl w:val="0"/>
          <w:numId w:val="36"/>
        </w:numPr>
      </w:pPr>
      <w:r>
        <w:rPr>
          <w:rFonts w:ascii="Noto Sans" w:hAnsi="Noto Sans"/>
          <w:b w:val="0"/>
          <w:color w:val="000000"/>
          <w:sz w:val="22"/>
        </w:rPr>
        <w:t>El componente de energía eléctrica, agua y gas registró -6.08% anual. Este resultado sectorial no representa el comportamiento de todos los costos productivos.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Variaciones por componente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2160"/>
        <w:gridCol w:w="2160"/>
      </w:tblGrid>
      <w:tr>
        <w:trPr>
          <w:cantSplit/>
          <w:tblHeader/>
        </w:trPr>
        <w:tc>
          <w:tcPr>
            <w:tcW w:type="dxa" w:w="4464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160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Mensual (%)</w:t>
            </w:r>
          </w:p>
        </w:tc>
        <w:tc>
          <w:tcPr>
            <w:tcW w:type="dxa" w:w="2160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Anual (%)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Total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1.37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4.05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Primarias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4.45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0.86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Secundarias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1.50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4.01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Minería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13.27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23.84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Energía, agua y gas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0.02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-6.08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Construcción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0.17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5.71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Manufacturas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0.70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2.48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Terciarias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0.76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4.52</w:t>
            </w:r>
          </w:p>
        </w:tc>
      </w:tr>
    </w:tbl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Fuente: INEGI, cuadro 1, p. 2. Comparaciones mensuales y anuales del mismo mes; no se mezclan quincenas ni se suman tasas de componentes.</w:t>
      </w:r>
    </w:p>
    <w:p>
      <w:r>
        <w:drawing>
          <wp:inline xmlns:a="http://schemas.openxmlformats.org/drawingml/2006/main" xmlns:pic="http://schemas.openxmlformats.org/drawingml/2006/picture">
            <wp:extent cx="5532120" cy="1496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49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Lectura del indicador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22"/>
        </w:rPr>
        <w:t>El INPP cubre precios de la producción nacional para consumo interno y exportación. Su variación no mide volumen de producción ni anticipa un traslado automático o inmediato a los precios al consumidor.</w:t>
      </w:r>
    </w:p>
    <w:p>
      <w:r>
        <w:br w:type="page"/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Productos con incidencia al alza y a la baja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2160"/>
        <w:gridCol w:w="2160"/>
      </w:tblGrid>
      <w:tr>
        <w:trPr>
          <w:cantSplit/>
          <w:tblHeader/>
        </w:trPr>
        <w:tc>
          <w:tcPr>
            <w:tcW w:type="dxa" w:w="4464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Producto genérico</w:t>
            </w:r>
          </w:p>
        </w:tc>
        <w:tc>
          <w:tcPr>
            <w:tcW w:type="dxa" w:w="2160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Mensual (%)</w:t>
            </w:r>
          </w:p>
        </w:tc>
        <w:tc>
          <w:tcPr>
            <w:tcW w:type="dxa" w:w="2160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Incidencia (pp)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Petróleo crudo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34.04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0.587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Gasolina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7.54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0.144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Aves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27.99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0.100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Aguacate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-12.92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-0.026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Oro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-1.84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-0.021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Papa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-17.18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-0.012</w:t>
            </w:r>
          </w:p>
        </w:tc>
      </w:tr>
    </w:tbl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Selección: tres mayores incidencias positivas y tres negativas entre los genéricos destacados por el INEGI. No es un listado exhaustivo de toda la canasta. Incidencia mensual en puntos porcentuales (pp).</w:t>
      </w:r>
    </w:p>
    <w:p>
      <w:r>
        <w:drawing>
          <wp:inline xmlns:a="http://schemas.openxmlformats.org/drawingml/2006/main" xmlns:pic="http://schemas.openxmlformats.org/drawingml/2006/picture">
            <wp:extent cx="5532120" cy="16777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ci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677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Fuente: cuadro 3, p. 5. Las barras usan incidencias oficiales; no se derivan multiplicando tasas por ponderaciones supuestas.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Interpretación de las incidencias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22"/>
        </w:rPr>
        <w:t>La variación porcentual describe el cambio del precio de cada producto. La incidencia mide su contribución al movimiento del índice general: una variación mayor no implica necesariamente una mayor incidencia. Esta selección no reconstruye la variación total.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22"/>
        </w:rPr>
        <w:t>Por destino, los precios de bienes y servicios finales de demanda interna registraron 4.29% anual, y los de exportación, 3.12%. Son variaciones de precios, no de valores o volúmenes exportados.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Notas metodológicas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Todas las cifras de esta nota corresponden a la cobertura incluida petróleo. No se equiparan con la serie sin petróleo. Los resultados del INPP son preliminares y susceptibles de actualización hasta cinco meses después de su publicación, conforme a la metodología de esta edición. No se atribuye causalidad sin evidencia.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INEGI, boletín 620/26, publicado el 2026-10-08. Lectura completa de 8 páginas; metodología en la última página. Variaciones e incidencias de la misma edición.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https://www.inegi.org.mx/contenidos/saladeprensa/boletines/2026/inpp/inpp2026_10.pdf</w:t>
      </w:r>
    </w:p>
    <w:sectPr w:rsidR="00246E09" w:rsidRPr="00494C1B">
      <w:headerReference w:type="default" r:id="rId10"/>
      <w:footerReference w:type="even" r:id="rId11"/>
      <w:footerReference w:type="default" r:id="rId12"/>
      <w:pgSz w:w="12240" w:h="15840"/>
      <w:pgMar w:top="1134" w:right="1701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300B" w:rsidRDefault="001B300B" w:rsidP="00E32E74">
      <w:r>
        <w:separator/>
      </w:r>
    </w:p>
  </w:endnote>
  <w:endnote w:type="continuationSeparator" w:id="0">
    <w:p w:rsidR="001B300B" w:rsidRDefault="001B300B" w:rsidP="00E3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Montserrat Ligh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Univers (W1)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144527516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8544E1" w:rsidRDefault="008544E1" w:rsidP="00DA379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CE633D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:rsidR="008544E1" w:rsidRDefault="008544E1" w:rsidP="008544E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D60BF7" w:rsidP="008544E1">
    <w:pPr>
      <w:ind w:right="360"/>
    </w:pPr>
    <w:r>
      <w:rPr>
        <w:noProof/>
        <w:color w:val="000000"/>
      </w:rPr>
      <w:drawing>
        <wp:anchor distT="0" distB="0" distL="114300" distR="114300" simplePos="0" relativeHeight="251660288" behindDoc="1" locked="0" layoutInCell="1" allowOverlap="1" wp14:anchorId="093B9EEA" wp14:editId="414DD1FB">
          <wp:simplePos x="0" y="0"/>
          <wp:positionH relativeFrom="page">
            <wp:posOffset>-121920</wp:posOffset>
          </wp:positionH>
          <wp:positionV relativeFrom="paragraph">
            <wp:posOffset>-45085</wp:posOffset>
          </wp:positionV>
          <wp:extent cx="7894873" cy="1293628"/>
          <wp:effectExtent l="0" t="0" r="5080" b="1905"/>
          <wp:wrapNone/>
          <wp:docPr id="441815502" name="Imagen 1" descr="Imagen que contiene Aplicación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835576" name="Imagen 1" descr="Imagen que contiene Aplicación  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39"/>
                  <a:stretch>
                    <a:fillRect/>
                  </a:stretch>
                </pic:blipFill>
                <pic:spPr bwMode="auto">
                  <a:xfrm>
                    <a:off x="0" y="0"/>
                    <a:ext cx="7894873" cy="12936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Pr="00E7262E" w:rsidRDefault="00DB54A2" w:rsidP="00A27EAB">
    <w:pPr>
      <w:jc w:val="right"/>
    </w:pPr>
  </w:p>
  <w:p w:rsidR="00B62B90" w:rsidRDefault="00B62B90" w:rsidP="00E32E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300B" w:rsidRDefault="001B300B" w:rsidP="00E32E74">
      <w:r>
        <w:separator/>
      </w:r>
    </w:p>
  </w:footnote>
  <w:footnote w:type="continuationSeparator" w:id="0">
    <w:p w:rsidR="001B300B" w:rsidRDefault="001B300B" w:rsidP="00E32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EA49C5" w:rsidP="00E32E74">
    <w:r>
      <w:rPr>
        <w:noProof/>
      </w:rPr>
      <w:drawing>
        <wp:anchor distT="0" distB="0" distL="0" distR="0" simplePos="0" relativeHeight="251658240" behindDoc="1" locked="0" layoutInCell="1" hidden="0" allowOverlap="1" wp14:anchorId="3C194DD2" wp14:editId="09349DB6">
          <wp:simplePos x="0" y="0"/>
          <wp:positionH relativeFrom="page">
            <wp:posOffset>-12700</wp:posOffset>
          </wp:positionH>
          <wp:positionV relativeFrom="paragraph">
            <wp:posOffset>-436626</wp:posOffset>
          </wp:positionV>
          <wp:extent cx="7753939" cy="1257300"/>
          <wp:effectExtent l="0" t="0" r="6350" b="0"/>
          <wp:wrapNone/>
          <wp:docPr id="94974367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6596"/>
                  <a:stretch>
                    <a:fillRect/>
                  </a:stretch>
                </pic:blipFill>
                <pic:spPr>
                  <a:xfrm>
                    <a:off x="0" y="0"/>
                    <a:ext cx="7753939" cy="1257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Default="00DB54A2" w:rsidP="00E32E74"/>
  <w:p w:rsidR="00DB54A2" w:rsidRDefault="00DB54A2" w:rsidP="00E32E74"/>
  <w:p w:rsidR="00F859CD" w:rsidRDefault="00F859CD" w:rsidP="00E32E74"/>
  <w:p w:rsidR="00EA51AD" w:rsidRDefault="009966CB" w:rsidP="00FE6B8B">
    <w:pPr>
      <w:ind w:left="-426"/>
      <w:rPr>
        <w:rFonts w:ascii="Calibri" w:hAnsi="Calibri" w:cs="Calibri"/>
        <w:b/>
        <w:sz w:val="22"/>
      </w:rPr>
    </w:pPr>
    <w:r>
      <w:rPr>
        <w:rFonts w:ascii="Noto Sans" w:hAnsi="Noto Sans"/>
        <w:b/>
        <w:sz w:val="22"/>
      </w:rPr>
      <w:t>S</w:t>
    </w:r>
    <w:r w:rsidR="00F05BFD">
      <w:rPr>
        <w:rFonts w:ascii="Noto Sans" w:hAnsi="Noto Sans"/>
        <w:b/>
        <w:sz w:val="22"/>
      </w:rPr>
      <w:t>ubs</w:t>
    </w:r>
    <w:r>
      <w:rPr>
        <w:rFonts w:ascii="Noto Sans" w:hAnsi="Noto Sans"/>
        <w:b/>
        <w:sz w:val="22"/>
      </w:rPr>
      <w:t xml:space="preserve">ecretaría de </w:t>
    </w:r>
    <w:r w:rsidR="00F05BFD">
      <w:rPr>
        <w:rFonts w:ascii="Noto Sans" w:hAnsi="Noto Sans"/>
        <w:b/>
        <w:sz w:val="22"/>
      </w:rPr>
      <w:t>Industria y Comercio</w:t>
    </w:r>
  </w:p>
  <w:p w:rsidR="009966CB" w:rsidRPr="009966CB" w:rsidRDefault="009966CB" w:rsidP="00FE6B8B">
    <w:pPr>
      <w:ind w:left="-426"/>
      <w:rPr>
        <w:rFonts w:ascii="Calibri" w:hAnsi="Calibri" w:cs="Calibri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66058"/>
    <w:multiLevelType w:val="multilevel"/>
    <w:tmpl w:val="CF0E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0E73"/>
    <w:multiLevelType w:val="multilevel"/>
    <w:tmpl w:val="F8E6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74F6"/>
    <w:multiLevelType w:val="hybridMultilevel"/>
    <w:tmpl w:val="BD24C636"/>
    <w:lvl w:ilvl="0" w:tplc="040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09B5062C"/>
    <w:multiLevelType w:val="multilevel"/>
    <w:tmpl w:val="E0D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B75AF"/>
    <w:multiLevelType w:val="multilevel"/>
    <w:tmpl w:val="F99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A051B"/>
    <w:multiLevelType w:val="multilevel"/>
    <w:tmpl w:val="F70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26045"/>
    <w:multiLevelType w:val="hybridMultilevel"/>
    <w:tmpl w:val="2886F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B1544"/>
    <w:multiLevelType w:val="multilevel"/>
    <w:tmpl w:val="1DC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E7BD5"/>
    <w:multiLevelType w:val="multilevel"/>
    <w:tmpl w:val="E21E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70303"/>
    <w:multiLevelType w:val="hybridMultilevel"/>
    <w:tmpl w:val="77764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13076"/>
    <w:multiLevelType w:val="multilevel"/>
    <w:tmpl w:val="DC6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37F62"/>
    <w:multiLevelType w:val="hybridMultilevel"/>
    <w:tmpl w:val="491E8574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D72D51"/>
    <w:multiLevelType w:val="hybridMultilevel"/>
    <w:tmpl w:val="B27E3374"/>
    <w:lvl w:ilvl="0" w:tplc="3A18FC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E7B97"/>
    <w:multiLevelType w:val="hybridMultilevel"/>
    <w:tmpl w:val="2A4A9C34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F28E7"/>
    <w:multiLevelType w:val="multilevel"/>
    <w:tmpl w:val="B01C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0E56A7"/>
    <w:multiLevelType w:val="multilevel"/>
    <w:tmpl w:val="2B9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F13CCD"/>
    <w:multiLevelType w:val="multilevel"/>
    <w:tmpl w:val="AEE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731D8"/>
    <w:multiLevelType w:val="hybridMultilevel"/>
    <w:tmpl w:val="E58CE21C"/>
    <w:lvl w:ilvl="0" w:tplc="0C348DAA">
      <w:start w:val="1"/>
      <w:numFmt w:val="upperRoman"/>
      <w:pStyle w:val="Ttulo4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270ACC"/>
    <w:multiLevelType w:val="multilevel"/>
    <w:tmpl w:val="DDD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F1DE7"/>
    <w:multiLevelType w:val="multilevel"/>
    <w:tmpl w:val="AF8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45AEF"/>
    <w:multiLevelType w:val="multilevel"/>
    <w:tmpl w:val="7770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90047D"/>
    <w:multiLevelType w:val="hybridMultilevel"/>
    <w:tmpl w:val="A822CF98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2" w15:restartNumberingAfterBreak="0">
    <w:nsid w:val="62203C88"/>
    <w:multiLevelType w:val="multilevel"/>
    <w:tmpl w:val="CC1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8072D"/>
    <w:multiLevelType w:val="hybridMultilevel"/>
    <w:tmpl w:val="05087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157499"/>
    <w:multiLevelType w:val="multilevel"/>
    <w:tmpl w:val="C58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6C00BF"/>
    <w:multiLevelType w:val="multilevel"/>
    <w:tmpl w:val="981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327C8"/>
    <w:multiLevelType w:val="hybridMultilevel"/>
    <w:tmpl w:val="4BBA90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A16731"/>
    <w:multiLevelType w:val="multilevel"/>
    <w:tmpl w:val="0A6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60062"/>
    <w:multiLevelType w:val="hybridMultilevel"/>
    <w:tmpl w:val="F4BA4BB8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60E2529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55585F"/>
    <w:multiLevelType w:val="multilevel"/>
    <w:tmpl w:val="EE7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F537A"/>
    <w:multiLevelType w:val="multilevel"/>
    <w:tmpl w:val="4F3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36124"/>
    <w:multiLevelType w:val="multilevel"/>
    <w:tmpl w:val="F65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1B2C3D"/>
    <w:multiLevelType w:val="hybridMultilevel"/>
    <w:tmpl w:val="7A1B2C3E"/>
    <w:lvl w:ilvl="0" w:tplc="F266E762">
      <w:start w:val="1"/>
      <w:numFmt w:val="bullet"/>
      <w:lvlText w:val=""/>
      <w:lvlJc w:val="left"/>
      <w:pPr>
        <w:ind w:left="432" w:hanging="288"/>
      </w:pPr>
      <w:rPr>
        <w:rFonts w:ascii="Symbol" w:hAnsi="Symbol" w:hint="default"/>
      </w:rPr>
    </w:lvl>
    <w:lvl w:ilvl="1" w:tplc="1A44F988">
      <w:numFmt w:val="decimal"/>
      <w:lvlText w:val=""/>
      <w:lvlJc w:val="left"/>
    </w:lvl>
    <w:lvl w:ilvl="2" w:tplc="784A313A">
      <w:numFmt w:val="decimal"/>
      <w:lvlText w:val=""/>
      <w:lvlJc w:val="left"/>
    </w:lvl>
    <w:lvl w:ilvl="3" w:tplc="E940B9BA">
      <w:numFmt w:val="decimal"/>
      <w:lvlText w:val=""/>
      <w:lvlJc w:val="left"/>
    </w:lvl>
    <w:lvl w:ilvl="4" w:tplc="CE9E15B0">
      <w:numFmt w:val="decimal"/>
      <w:lvlText w:val=""/>
      <w:lvlJc w:val="left"/>
    </w:lvl>
    <w:lvl w:ilvl="5" w:tplc="803CE1A8">
      <w:numFmt w:val="decimal"/>
      <w:lvlText w:val=""/>
      <w:lvlJc w:val="left"/>
    </w:lvl>
    <w:lvl w:ilvl="6" w:tplc="7EBEE4BC">
      <w:numFmt w:val="decimal"/>
      <w:lvlText w:val=""/>
      <w:lvlJc w:val="left"/>
    </w:lvl>
    <w:lvl w:ilvl="7" w:tplc="AD3C62DA">
      <w:numFmt w:val="decimal"/>
      <w:lvlText w:val=""/>
      <w:lvlJc w:val="left"/>
    </w:lvl>
    <w:lvl w:ilvl="8" w:tplc="C35E76F4">
      <w:numFmt w:val="decimal"/>
      <w:lvlText w:val=""/>
      <w:lvlJc w:val="left"/>
    </w:lvl>
  </w:abstractNum>
  <w:abstractNum w:abstractNumId="33" w15:restartNumberingAfterBreak="0">
    <w:nsid w:val="7B7C15D2"/>
    <w:multiLevelType w:val="hybridMultilevel"/>
    <w:tmpl w:val="9E94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7C1AA1"/>
    <w:multiLevelType w:val="multilevel"/>
    <w:tmpl w:val="749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6"/>
  </w:num>
  <w:num w:numId="3">
    <w:abstractNumId w:val="20"/>
  </w:num>
  <w:num w:numId="4">
    <w:abstractNumId w:val="34"/>
  </w:num>
  <w:num w:numId="5">
    <w:abstractNumId w:val="27"/>
  </w:num>
  <w:num w:numId="6">
    <w:abstractNumId w:val="10"/>
  </w:num>
  <w:num w:numId="7">
    <w:abstractNumId w:val="30"/>
  </w:num>
  <w:num w:numId="8">
    <w:abstractNumId w:val="8"/>
  </w:num>
  <w:num w:numId="9">
    <w:abstractNumId w:val="5"/>
  </w:num>
  <w:num w:numId="10">
    <w:abstractNumId w:val="16"/>
  </w:num>
  <w:num w:numId="11">
    <w:abstractNumId w:val="19"/>
  </w:num>
  <w:num w:numId="12">
    <w:abstractNumId w:val="18"/>
  </w:num>
  <w:num w:numId="13">
    <w:abstractNumId w:val="7"/>
  </w:num>
  <w:num w:numId="14">
    <w:abstractNumId w:val="14"/>
  </w:num>
  <w:num w:numId="15">
    <w:abstractNumId w:val="31"/>
  </w:num>
  <w:num w:numId="16">
    <w:abstractNumId w:val="0"/>
  </w:num>
  <w:num w:numId="17">
    <w:abstractNumId w:val="24"/>
  </w:num>
  <w:num w:numId="18">
    <w:abstractNumId w:val="15"/>
  </w:num>
  <w:num w:numId="19">
    <w:abstractNumId w:val="23"/>
  </w:num>
  <w:num w:numId="20">
    <w:abstractNumId w:val="26"/>
  </w:num>
  <w:num w:numId="21">
    <w:abstractNumId w:val="12"/>
  </w:num>
  <w:num w:numId="22">
    <w:abstractNumId w:val="1"/>
  </w:num>
  <w:num w:numId="23">
    <w:abstractNumId w:val="22"/>
  </w:num>
  <w:num w:numId="24">
    <w:abstractNumId w:val="25"/>
  </w:num>
  <w:num w:numId="25">
    <w:abstractNumId w:val="3"/>
  </w:num>
  <w:num w:numId="26">
    <w:abstractNumId w:val="4"/>
  </w:num>
  <w:num w:numId="27">
    <w:abstractNumId w:val="29"/>
  </w:num>
  <w:num w:numId="28">
    <w:abstractNumId w:val="9"/>
  </w:num>
  <w:num w:numId="29">
    <w:abstractNumId w:val="33"/>
  </w:num>
  <w:num w:numId="30">
    <w:abstractNumId w:val="32"/>
  </w:num>
  <w:num w:numId="31">
    <w:abstractNumId w:val="2"/>
  </w:num>
  <w:num w:numId="32">
    <w:abstractNumId w:val="21"/>
  </w:num>
  <w:num w:numId="33">
    <w:abstractNumId w:val="13"/>
  </w:num>
  <w:num w:numId="34">
    <w:abstractNumId w:val="11"/>
  </w:num>
  <w:num w:numId="35">
    <w:abstractNumId w:val="28"/>
  </w:num>
  <w:numIdMacAtCleanup w:val="1"/>
  <w:abstractNum w:abstractNumId="35">
    <w:lvl w:ilvl="0">
      <w:numFmt w:val="bullet"/>
      <w:lvlText w:val="•"/>
      <w:suff w:val="space"/>
    </w:lvl>
  </w:abstract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4C"/>
    <w:rsid w:val="00002027"/>
    <w:rsid w:val="00003EA0"/>
    <w:rsid w:val="0000545B"/>
    <w:rsid w:val="000258F9"/>
    <w:rsid w:val="00025A89"/>
    <w:rsid w:val="00030E8C"/>
    <w:rsid w:val="0003237D"/>
    <w:rsid w:val="000377A6"/>
    <w:rsid w:val="00041BD6"/>
    <w:rsid w:val="000438FF"/>
    <w:rsid w:val="00043F02"/>
    <w:rsid w:val="00046781"/>
    <w:rsid w:val="00050586"/>
    <w:rsid w:val="00054CA4"/>
    <w:rsid w:val="00054FB9"/>
    <w:rsid w:val="000571C6"/>
    <w:rsid w:val="0006003F"/>
    <w:rsid w:val="000A3591"/>
    <w:rsid w:val="000A46AA"/>
    <w:rsid w:val="000A71DD"/>
    <w:rsid w:val="000B3C45"/>
    <w:rsid w:val="000D126D"/>
    <w:rsid w:val="000D5B48"/>
    <w:rsid w:val="000D796F"/>
    <w:rsid w:val="000E1551"/>
    <w:rsid w:val="000E263D"/>
    <w:rsid w:val="001106F9"/>
    <w:rsid w:val="00113971"/>
    <w:rsid w:val="00113ADD"/>
    <w:rsid w:val="001259AE"/>
    <w:rsid w:val="001317EA"/>
    <w:rsid w:val="00136317"/>
    <w:rsid w:val="0013733B"/>
    <w:rsid w:val="001410AA"/>
    <w:rsid w:val="00147D41"/>
    <w:rsid w:val="00151B05"/>
    <w:rsid w:val="00153B11"/>
    <w:rsid w:val="00154DA5"/>
    <w:rsid w:val="00155DFB"/>
    <w:rsid w:val="00177001"/>
    <w:rsid w:val="0018050E"/>
    <w:rsid w:val="00193DC0"/>
    <w:rsid w:val="00197050"/>
    <w:rsid w:val="00197ADD"/>
    <w:rsid w:val="001A6402"/>
    <w:rsid w:val="001B2972"/>
    <w:rsid w:val="001B300B"/>
    <w:rsid w:val="001B64D3"/>
    <w:rsid w:val="001C2D90"/>
    <w:rsid w:val="001C5436"/>
    <w:rsid w:val="001D27D6"/>
    <w:rsid w:val="001D4DE9"/>
    <w:rsid w:val="001E072F"/>
    <w:rsid w:val="001F561B"/>
    <w:rsid w:val="00204B82"/>
    <w:rsid w:val="00220619"/>
    <w:rsid w:val="002360E8"/>
    <w:rsid w:val="00246E09"/>
    <w:rsid w:val="00254C67"/>
    <w:rsid w:val="00290C17"/>
    <w:rsid w:val="00294C95"/>
    <w:rsid w:val="002B3D15"/>
    <w:rsid w:val="002C459E"/>
    <w:rsid w:val="002E0889"/>
    <w:rsid w:val="002E131D"/>
    <w:rsid w:val="002E3C28"/>
    <w:rsid w:val="002F4E7A"/>
    <w:rsid w:val="00320CA1"/>
    <w:rsid w:val="00341FF9"/>
    <w:rsid w:val="00344789"/>
    <w:rsid w:val="00360F50"/>
    <w:rsid w:val="0036312B"/>
    <w:rsid w:val="003817DF"/>
    <w:rsid w:val="003919F7"/>
    <w:rsid w:val="003B7AF4"/>
    <w:rsid w:val="003E400C"/>
    <w:rsid w:val="003E7119"/>
    <w:rsid w:val="003F7434"/>
    <w:rsid w:val="004135C9"/>
    <w:rsid w:val="00424E7E"/>
    <w:rsid w:val="0042728A"/>
    <w:rsid w:val="00431758"/>
    <w:rsid w:val="004362C5"/>
    <w:rsid w:val="00437209"/>
    <w:rsid w:val="00465707"/>
    <w:rsid w:val="004676E4"/>
    <w:rsid w:val="00470257"/>
    <w:rsid w:val="0047264F"/>
    <w:rsid w:val="004869A7"/>
    <w:rsid w:val="00486FFD"/>
    <w:rsid w:val="00491EE7"/>
    <w:rsid w:val="0049299F"/>
    <w:rsid w:val="00494C1B"/>
    <w:rsid w:val="00495548"/>
    <w:rsid w:val="004A74A4"/>
    <w:rsid w:val="004A78F6"/>
    <w:rsid w:val="004B221D"/>
    <w:rsid w:val="004C2B18"/>
    <w:rsid w:val="004D104B"/>
    <w:rsid w:val="004D2236"/>
    <w:rsid w:val="004D5A8C"/>
    <w:rsid w:val="004E388B"/>
    <w:rsid w:val="004E776E"/>
    <w:rsid w:val="004F3817"/>
    <w:rsid w:val="004F590A"/>
    <w:rsid w:val="0050130F"/>
    <w:rsid w:val="00502F3D"/>
    <w:rsid w:val="005267AC"/>
    <w:rsid w:val="00527411"/>
    <w:rsid w:val="005279B6"/>
    <w:rsid w:val="00550647"/>
    <w:rsid w:val="00580B12"/>
    <w:rsid w:val="00586B57"/>
    <w:rsid w:val="00587300"/>
    <w:rsid w:val="00591184"/>
    <w:rsid w:val="00591B3A"/>
    <w:rsid w:val="00593514"/>
    <w:rsid w:val="00593D76"/>
    <w:rsid w:val="005A57CC"/>
    <w:rsid w:val="005A6B97"/>
    <w:rsid w:val="005C3EB9"/>
    <w:rsid w:val="005D105A"/>
    <w:rsid w:val="00625F36"/>
    <w:rsid w:val="00646C52"/>
    <w:rsid w:val="00655D4F"/>
    <w:rsid w:val="0065662B"/>
    <w:rsid w:val="00661ED1"/>
    <w:rsid w:val="006626AF"/>
    <w:rsid w:val="00662863"/>
    <w:rsid w:val="00667278"/>
    <w:rsid w:val="00671DD9"/>
    <w:rsid w:val="0068031A"/>
    <w:rsid w:val="006808CC"/>
    <w:rsid w:val="00697E37"/>
    <w:rsid w:val="006A0811"/>
    <w:rsid w:val="006A1F60"/>
    <w:rsid w:val="006A3BB6"/>
    <w:rsid w:val="006F4646"/>
    <w:rsid w:val="00705DC8"/>
    <w:rsid w:val="007462AF"/>
    <w:rsid w:val="007471F1"/>
    <w:rsid w:val="0075390E"/>
    <w:rsid w:val="007759A6"/>
    <w:rsid w:val="007816C7"/>
    <w:rsid w:val="0078392B"/>
    <w:rsid w:val="0079704D"/>
    <w:rsid w:val="007B7560"/>
    <w:rsid w:val="007C74E0"/>
    <w:rsid w:val="007D06F1"/>
    <w:rsid w:val="007D3385"/>
    <w:rsid w:val="007F60B5"/>
    <w:rsid w:val="00810EC6"/>
    <w:rsid w:val="00815835"/>
    <w:rsid w:val="0082026B"/>
    <w:rsid w:val="00830352"/>
    <w:rsid w:val="00832176"/>
    <w:rsid w:val="0083711C"/>
    <w:rsid w:val="008544E1"/>
    <w:rsid w:val="0086418A"/>
    <w:rsid w:val="00864D64"/>
    <w:rsid w:val="00887FBD"/>
    <w:rsid w:val="00897B8A"/>
    <w:rsid w:val="00897E86"/>
    <w:rsid w:val="008A56B9"/>
    <w:rsid w:val="008B36BF"/>
    <w:rsid w:val="008B5764"/>
    <w:rsid w:val="008D09CA"/>
    <w:rsid w:val="008E3CE4"/>
    <w:rsid w:val="008F0109"/>
    <w:rsid w:val="008F2DC2"/>
    <w:rsid w:val="008F54BD"/>
    <w:rsid w:val="009117FA"/>
    <w:rsid w:val="009208B2"/>
    <w:rsid w:val="00927F12"/>
    <w:rsid w:val="00930605"/>
    <w:rsid w:val="00954E52"/>
    <w:rsid w:val="00964ACF"/>
    <w:rsid w:val="009667A4"/>
    <w:rsid w:val="009716AD"/>
    <w:rsid w:val="009755F8"/>
    <w:rsid w:val="00981CAC"/>
    <w:rsid w:val="00994331"/>
    <w:rsid w:val="00995175"/>
    <w:rsid w:val="009966CB"/>
    <w:rsid w:val="00997820"/>
    <w:rsid w:val="009B2B04"/>
    <w:rsid w:val="009D1660"/>
    <w:rsid w:val="009D513B"/>
    <w:rsid w:val="009D662C"/>
    <w:rsid w:val="009E6351"/>
    <w:rsid w:val="00A03BBA"/>
    <w:rsid w:val="00A25E9B"/>
    <w:rsid w:val="00A27EAB"/>
    <w:rsid w:val="00A34818"/>
    <w:rsid w:val="00A503BD"/>
    <w:rsid w:val="00A71E98"/>
    <w:rsid w:val="00A73CF4"/>
    <w:rsid w:val="00A84A08"/>
    <w:rsid w:val="00A8694C"/>
    <w:rsid w:val="00A87331"/>
    <w:rsid w:val="00A91676"/>
    <w:rsid w:val="00AA572B"/>
    <w:rsid w:val="00AA5821"/>
    <w:rsid w:val="00AE45C4"/>
    <w:rsid w:val="00B00ACC"/>
    <w:rsid w:val="00B109F8"/>
    <w:rsid w:val="00B131F1"/>
    <w:rsid w:val="00B2245F"/>
    <w:rsid w:val="00B23CE9"/>
    <w:rsid w:val="00B273F4"/>
    <w:rsid w:val="00B449E9"/>
    <w:rsid w:val="00B50C16"/>
    <w:rsid w:val="00B62B90"/>
    <w:rsid w:val="00B64AE2"/>
    <w:rsid w:val="00B72087"/>
    <w:rsid w:val="00B93C35"/>
    <w:rsid w:val="00B94BFE"/>
    <w:rsid w:val="00B96CD0"/>
    <w:rsid w:val="00BA690B"/>
    <w:rsid w:val="00BA7AF6"/>
    <w:rsid w:val="00BB1DC9"/>
    <w:rsid w:val="00BB3B44"/>
    <w:rsid w:val="00BB4307"/>
    <w:rsid w:val="00BC0BB8"/>
    <w:rsid w:val="00BC0F57"/>
    <w:rsid w:val="00BC2D1D"/>
    <w:rsid w:val="00BD38B1"/>
    <w:rsid w:val="00BE2C85"/>
    <w:rsid w:val="00BF5F01"/>
    <w:rsid w:val="00C0087D"/>
    <w:rsid w:val="00C062EB"/>
    <w:rsid w:val="00C122A4"/>
    <w:rsid w:val="00C176D8"/>
    <w:rsid w:val="00C2663E"/>
    <w:rsid w:val="00C33446"/>
    <w:rsid w:val="00C42F66"/>
    <w:rsid w:val="00C43081"/>
    <w:rsid w:val="00C619F7"/>
    <w:rsid w:val="00C62995"/>
    <w:rsid w:val="00C639EA"/>
    <w:rsid w:val="00C63AAF"/>
    <w:rsid w:val="00C65A1B"/>
    <w:rsid w:val="00C66897"/>
    <w:rsid w:val="00C67180"/>
    <w:rsid w:val="00C821D5"/>
    <w:rsid w:val="00C9207B"/>
    <w:rsid w:val="00CA567C"/>
    <w:rsid w:val="00CB13F4"/>
    <w:rsid w:val="00CB38B3"/>
    <w:rsid w:val="00CB70C5"/>
    <w:rsid w:val="00CD4A23"/>
    <w:rsid w:val="00CD7369"/>
    <w:rsid w:val="00CE633D"/>
    <w:rsid w:val="00D10BEE"/>
    <w:rsid w:val="00D2057E"/>
    <w:rsid w:val="00D2376F"/>
    <w:rsid w:val="00D23B89"/>
    <w:rsid w:val="00D2506F"/>
    <w:rsid w:val="00D263C6"/>
    <w:rsid w:val="00D60BF7"/>
    <w:rsid w:val="00D70252"/>
    <w:rsid w:val="00D70D18"/>
    <w:rsid w:val="00D83A01"/>
    <w:rsid w:val="00D90AAA"/>
    <w:rsid w:val="00D92277"/>
    <w:rsid w:val="00D974FD"/>
    <w:rsid w:val="00DA0C65"/>
    <w:rsid w:val="00DA44B8"/>
    <w:rsid w:val="00DB54A2"/>
    <w:rsid w:val="00DD2599"/>
    <w:rsid w:val="00DD4B7F"/>
    <w:rsid w:val="00DD6CF3"/>
    <w:rsid w:val="00DE64C2"/>
    <w:rsid w:val="00DE76A7"/>
    <w:rsid w:val="00E0538C"/>
    <w:rsid w:val="00E1407E"/>
    <w:rsid w:val="00E32E74"/>
    <w:rsid w:val="00E413F0"/>
    <w:rsid w:val="00E56F00"/>
    <w:rsid w:val="00E61388"/>
    <w:rsid w:val="00E7262E"/>
    <w:rsid w:val="00E76409"/>
    <w:rsid w:val="00E94CD4"/>
    <w:rsid w:val="00EA2751"/>
    <w:rsid w:val="00EA49C5"/>
    <w:rsid w:val="00EA51AD"/>
    <w:rsid w:val="00EB1C36"/>
    <w:rsid w:val="00EB1FB8"/>
    <w:rsid w:val="00ED0B2E"/>
    <w:rsid w:val="00F0340D"/>
    <w:rsid w:val="00F05BFD"/>
    <w:rsid w:val="00F05F40"/>
    <w:rsid w:val="00F06026"/>
    <w:rsid w:val="00F16AAF"/>
    <w:rsid w:val="00F231FC"/>
    <w:rsid w:val="00F26202"/>
    <w:rsid w:val="00F3290F"/>
    <w:rsid w:val="00F367B6"/>
    <w:rsid w:val="00F37BF3"/>
    <w:rsid w:val="00F43BA1"/>
    <w:rsid w:val="00F45090"/>
    <w:rsid w:val="00F53CD8"/>
    <w:rsid w:val="00F715E8"/>
    <w:rsid w:val="00F73ED8"/>
    <w:rsid w:val="00F83769"/>
    <w:rsid w:val="00F859CD"/>
    <w:rsid w:val="00F95ABF"/>
    <w:rsid w:val="00F9737C"/>
    <w:rsid w:val="00FA6B54"/>
    <w:rsid w:val="00FB178F"/>
    <w:rsid w:val="00FD0DC2"/>
    <w:rsid w:val="00FE2C1E"/>
    <w:rsid w:val="00FE6B8B"/>
    <w:rsid w:val="00FF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88DCC13-AF70-4DF6-8663-0D0C6439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7434"/>
    <w:rPr>
      <w:rFonts w:ascii="Noto Sans" w:eastAsia="Times New Roman" w:hAnsi="Noto Sans" w:cs="Times New Roman"/>
      <w:sz w:val="22"/>
      <w:lang w:eastAsia="es-ES_tradnl"/>
    </w:rPr>
  </w:style>
  <w:style w:type="paragraph" w:styleId="Ttulo1">
    <w:name w:val="heading 1"/>
    <w:basedOn w:val="Normal"/>
    <w:next w:val="Normal"/>
    <w:uiPriority w:val="9"/>
    <w:qFormat/>
    <w:rsid w:val="00CD7369"/>
    <w:pPr>
      <w:jc w:val="center"/>
      <w:outlineLvl w:val="0"/>
    </w:pPr>
    <w:rPr>
      <w:rFonts w:eastAsia="Noto Sans" w:cs="Noto Sans" w:ascii="Noto Sans" w:hAnsi="Noto Sans"/>
      <w:b/>
      <w:color w:val="670E35"/>
      <w:sz w:val="22"/>
      <w:lang w:eastAsia="es-MX"/>
    </w:rPr>
  </w:style>
  <w:style w:type="paragraph" w:styleId="Ttulo2">
    <w:name w:val="heading 2"/>
    <w:basedOn w:val="Normal"/>
    <w:next w:val="Normal"/>
    <w:uiPriority w:val="9"/>
    <w:unhideWhenUsed/>
    <w:qFormat/>
    <w:rsid w:val="00D70252"/>
    <w:pPr>
      <w:jc w:val="center"/>
      <w:outlineLvl w:val="1"/>
    </w:pPr>
    <w:rPr>
      <w:rFonts w:eastAsia="Montserrat Light" w:cs="Montserrat Light" w:ascii="Noto Sans" w:hAnsi="Noto Sans"/>
      <w:b/>
      <w:color w:val="666666"/>
      <w:sz w:val="22"/>
      <w:lang w:eastAsia="es-MX"/>
    </w:rPr>
  </w:style>
  <w:style w:type="paragraph" w:styleId="Ttulo3">
    <w:name w:val="heading 3"/>
    <w:basedOn w:val="Normal"/>
    <w:next w:val="Normal"/>
    <w:uiPriority w:val="9"/>
    <w:unhideWhenUsed/>
    <w:qFormat/>
    <w:rsid w:val="00CD7369"/>
    <w:pPr>
      <w:shd w:val="clear" w:color="auto" w:fill="670E35"/>
      <w:outlineLvl w:val="2"/>
    </w:pPr>
    <w:rPr>
      <w:rFonts w:ascii="Noto Sans" w:hAnsi="Noto Sans"/>
      <w:b/>
      <w:color w:val="FFFFFF"/>
      <w:sz w:val="22"/>
      <w:lang w:eastAsia="es-MX"/>
    </w:rPr>
  </w:style>
  <w:style w:type="paragraph" w:styleId="Ttulo4">
    <w:name w:val="heading 4"/>
    <w:basedOn w:val="Normal"/>
    <w:next w:val="Normal"/>
    <w:uiPriority w:val="9"/>
    <w:unhideWhenUsed/>
    <w:qFormat/>
    <w:rsid w:val="00D70252"/>
    <w:pPr>
      <w:keepNext/>
      <w:keepLines/>
      <w:numPr>
        <w:numId w:val="1"/>
      </w:numPr>
      <w:spacing w:before="240" w:after="40"/>
      <w:ind w:left="709" w:hanging="709"/>
      <w:outlineLvl w:val="3"/>
    </w:pPr>
    <w:rPr>
      <w:rFonts w:ascii="Noto Sans" w:hAnsi="Noto Sans"/>
      <w:b/>
      <w:sz w:val="22"/>
      <w:lang w:eastAsia="es-MX"/>
    </w:rPr>
  </w:style>
  <w:style w:type="paragraph" w:styleId="Ttulo5">
    <w:name w:val="heading 5"/>
    <w:basedOn w:val="Ttulo2"/>
    <w:next w:val="Normal"/>
    <w:uiPriority w:val="9"/>
    <w:unhideWhenUsed/>
    <w:qFormat/>
    <w:rsid w:val="00D70252"/>
    <w:pPr>
      <w:jc w:val="right"/>
      <w:outlineLvl w:val="4"/>
    </w:pPr>
    <w:rPr>
      <w:rFonts w:ascii="Noto Sans" w:hAnsi="Noto Sans"/>
      <w:b w:val="0"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rFonts w:ascii="Noto Sans" w:hAnsi="Noto Sans"/>
      <w:b/>
      <w:sz w:val="22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Noto Sans" w:hAnsi="Noto Sans"/>
      <w:b/>
      <w:sz w:val="22"/>
      <w:szCs w:val="72"/>
      <w:lang w:eastAsia="es-MX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  <w:rPr>
      <w:rFonts w:ascii="Noto Sans" w:hAnsi="Noto Sans"/>
      <w:sz w:val="22"/>
      <w:lang w:eastAsia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  <w:rPr>
      <w:rFonts w:ascii="Noto Sans" w:hAnsi="Noto Sans"/>
      <w:sz w:val="22"/>
      <w:lang w:eastAsia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Noto Sans" w:eastAsia="Georgia" w:hAnsi="Noto Sans" w:cs="Georgia"/>
      <w:i/>
      <w:color w:val="666666"/>
      <w:sz w:val="22"/>
      <w:szCs w:val="48"/>
      <w:lang w:eastAsia="es-MX"/>
    </w:rPr>
  </w:style>
  <w:style w:type="paragraph" w:styleId="NormalWeb">
    <w:name w:val="Normal (Web)"/>
    <w:basedOn w:val="Normal"/>
    <w:uiPriority w:val="99"/>
    <w:unhideWhenUsed/>
    <w:rsid w:val="00C84662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styleId="Prrafodelista">
    <w:name w:val="List Paragraph"/>
    <w:basedOn w:val="Normal"/>
    <w:uiPriority w:val="34"/>
    <w:qFormat/>
    <w:rsid w:val="001E119D"/>
    <w:pPr>
      <w:ind w:left="720"/>
      <w:contextualSpacing/>
    </w:pPr>
    <w:rPr>
      <w:rFonts w:ascii="Noto Sans" w:hAnsi="Noto Sans"/>
      <w:sz w:val="22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119D"/>
    <w:rPr>
      <w:rFonts w:ascii="Noto Sans" w:hAnsi="Noto Sans" w:cs="Segoe UI"/>
      <w:sz w:val="22"/>
      <w:szCs w:val="18"/>
      <w:lang w:eastAsia="es-MX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119D"/>
    <w:rPr>
      <w:rFonts w:ascii="Segoe UI" w:eastAsiaTheme="minorEastAsia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02198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D09CA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D09CA"/>
    <w:rPr>
      <w:rFonts w:ascii="Noto Sans" w:hAnsi="Noto Sans"/>
      <w:sz w:val="22"/>
      <w:szCs w:val="20"/>
      <w:lang w:eastAsia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D09CA"/>
    <w:rPr>
      <w:rFonts w:ascii="Montserrat" w:eastAsia="Montserrat" w:hAnsi="Montserrat" w:cs="Montserra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D09CA"/>
    <w:rPr>
      <w:vertAlign w:val="superscript"/>
    </w:rPr>
  </w:style>
  <w:style w:type="table" w:styleId="Tablaconcuadrcula">
    <w:name w:val="Table Grid"/>
    <w:basedOn w:val="Tablanormal"/>
    <w:uiPriority w:val="39"/>
    <w:rsid w:val="00E76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C176D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10EC6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13733B"/>
    <w:rPr>
      <w:color w:val="605E5C"/>
      <w:shd w:val="clear" w:color="auto" w:fill="E1DFDD"/>
    </w:rPr>
  </w:style>
  <w:style w:type="paragraph" w:customStyle="1" w:styleId="n01">
    <w:name w:val="n01"/>
    <w:basedOn w:val="Normal"/>
    <w:rsid w:val="00431758"/>
    <w:pPr>
      <w:keepLines/>
      <w:spacing w:before="240"/>
      <w:ind w:left="720" w:hanging="720"/>
    </w:pPr>
    <w:rPr>
      <w:rFonts w:ascii="Noto Sans" w:hAnsi="Noto Sans" w:cs="Arial"/>
      <w:color w:val="800080"/>
      <w:sz w:val="22"/>
      <w:lang w:val="es-ES_tradnl" w:eastAsia="es-ES"/>
    </w:rPr>
  </w:style>
  <w:style w:type="table" w:styleId="Tablaconcuadrcula1clara-nfasis6">
    <w:name w:val="Grid Table 1 Light Accent 6"/>
    <w:basedOn w:val="Tablanormal"/>
    <w:uiPriority w:val="46"/>
    <w:rsid w:val="00054FB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054FB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8544E1"/>
  </w:style>
  <w:style w:type="character" w:styleId="Hipervnculovisitado">
    <w:name w:val="FollowedHyperlink"/>
    <w:basedOn w:val="Fuentedeprrafopredeter"/>
    <w:uiPriority w:val="99"/>
    <w:semiHidden/>
    <w:unhideWhenUsed/>
    <w:rsid w:val="00502F3D"/>
    <w:rPr>
      <w:color w:val="96607D"/>
      <w:u w:val="single"/>
    </w:rPr>
  </w:style>
  <w:style w:type="paragraph" w:customStyle="1" w:styleId="msonormal0">
    <w:name w:val="msonormal"/>
    <w:basedOn w:val="Normal"/>
    <w:rsid w:val="00502F3D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customStyle="1" w:styleId="xl65">
    <w:name w:val="xl65"/>
    <w:basedOn w:val="Normal"/>
    <w:rsid w:val="00502F3D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customStyle="1" w:styleId="xl66">
    <w:name w:val="xl66"/>
    <w:basedOn w:val="Normal"/>
    <w:rsid w:val="00502F3D"/>
    <w:pPr>
      <w:spacing w:before="100" w:beforeAutospacing="1" w:after="100" w:afterAutospacing="1"/>
    </w:pPr>
    <w:rPr>
      <w:rFonts w:ascii="Noto Sans" w:hAnsi="Noto Sans" w:cs="Calibri"/>
      <w:color w:val="000000"/>
      <w:sz w:val="22"/>
      <w:lang w:eastAsia="es-MX"/>
    </w:rPr>
  </w:style>
  <w:style w:type="table" w:styleId="Tablaconcuadrcula4-nfasis6">
    <w:name w:val="Grid Table 4 Accent 6"/>
    <w:basedOn w:val="Tablanormal"/>
    <w:uiPriority w:val="49"/>
    <w:rsid w:val="00502F3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xl67">
    <w:name w:val="xl67"/>
    <w:basedOn w:val="Normal"/>
    <w:rsid w:val="00E94CD4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customStyle="1" w:styleId="xl68">
    <w:name w:val="xl68"/>
    <w:basedOn w:val="Normal"/>
    <w:rsid w:val="00E94CD4"/>
    <w:pPr>
      <w:spacing w:before="100" w:beforeAutospacing="1" w:after="100" w:afterAutospacing="1"/>
    </w:pPr>
    <w:rPr>
      <w:rFonts w:ascii="Noto Sans" w:hAnsi="Noto Sans" w:cs="Calibri"/>
      <w:color w:val="000000"/>
      <w:sz w:val="22"/>
      <w:lang w:eastAsia="es-MX"/>
    </w:rPr>
  </w:style>
  <w:style w:type="paragraph" w:customStyle="1" w:styleId="pdq2pgselectionanchorcontainer">
    <w:name w:val="pdq2pg_selectionanchorcontainer"/>
    <w:basedOn w:val="Normal"/>
    <w:rsid w:val="00360F50"/>
    <w:pPr>
      <w:spacing w:before="100" w:beforeAutospacing="1" w:after="100" w:afterAutospacing="1"/>
    </w:pPr>
    <w:rPr>
      <w:rFonts w:ascii="Noto Sans" w:hAnsi="Noto San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4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0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6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7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7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9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2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5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14" Type="http://schemas.openxmlformats.org/officeDocument/2006/relationships/theme" Target="theme/theme1.xml"/><Relationship Id="rId9" Type="http://schemas.openxmlformats.org/officeDocument/2006/relationships/image" Target="media/image1.png"/><Relationship Id="rId15" Type="http://schemas.openxmlformats.org/officeDocument/2006/relationships/image" Target="media/image4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FpWPCfcsQFbrBypFpD4BWtRFLg==">CgMxLjA4AHIhMWpKWC1ZV1ZyUWxfelVTd2oxcUhWdVVqaW9sTHRWRGpD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6339060-3F28-D949-9895-241B815C1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209</Words>
  <Characters>1151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Ximena Escobedo Juárez</dc:creator>
  <cp:lastModifiedBy>Luis Enrique Buendía</cp:lastModifiedBy>
  <cp:revision>29</cp:revision>
  <cp:lastPrinted>2026-06-17T17:31:00Z</cp:lastPrinted>
  <dcterms:created xsi:type="dcterms:W3CDTF">2026-07-24T04:18:00Z</dcterms:created>
  <dcterms:modified xsi:type="dcterms:W3CDTF">2026-09-25T04:20:00Z</dcterms:modified>
  <dc:title>Precios al productor · Sep 26</dc:title>
  <dc:subject>Referencia visual aportada por el usuario — ENOE agosto 2026</dc:subject>
</cp:coreProperties>
</file>