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14"/>
        <w:gridCol w:w="4414"/>
      </w:tblGrid>
      <w:tr>
        <w:trPr>
          <w:cantSplit/>
        </w:trPr>
        <w:tc>
          <w:tcPr>
            <w:tcW w:type="dxa" w:w="8838"/>
            <w:gridSpan w:val="2"/>
            <w:shd w:fill="10312B"/>
            <w:vAlign w:val="center"/>
          </w:tcPr>
          <w:p>
            <w:pPr>
              <w:keepNext w:val="0"/>
              <w:widowControl/>
              <w:spacing w:before="0" w:after="0" w:line="240" w:lineRule="auto"/>
              <w:jc w:val="center"/>
            </w:pPr>
            <w:r/>
            <w:r>
              <w:rPr>
                <w:rFonts w:ascii="Noto Sans" w:hAnsi="Noto Sans"/>
                <w:b/>
                <w:i w:val="0"/>
                <w:color w:val="FFFFFF"/>
                <w:sz w:val="20"/>
              </w:rPr>
              <w:t>Boletín del 28 de octubre de 2026 | INEGI</w:t>
            </w:r>
          </w:p>
        </w:tc>
      </w:tr>
      <w:tr>
        <w:trPr>
          <w:cantSplit/>
        </w:trPr>
        <w:tc>
          <w:tcPr>
            <w:tcW w:type="dxa" w:w="8838"/>
            <w:gridSpan w:val="2"/>
            <w:shd w:fill="235B4C"/>
            <w:vAlign w:val="center"/>
          </w:tcPr>
          <w:p>
            <w:pPr>
              <w:keepNext w:val="0"/>
              <w:widowControl/>
              <w:spacing w:before="0" w:after="0" w:line="240" w:lineRule="auto"/>
              <w:jc w:val="center"/>
            </w:pPr>
            <w:r/>
            <w:r>
              <w:rPr>
                <w:rFonts w:ascii="Noto Sans" w:hAnsi="Noto Sans"/>
                <w:b w:val="0"/>
                <w:i w:val="0"/>
                <w:color w:val="FFFFFF"/>
                <w:sz w:val="22"/>
              </w:rPr>
              <w:t>Indicador Mensual Oportuno de la Actividad Manufacturera</w:t>
            </w:r>
          </w:p>
          <w:p>
            <w:pPr>
              <w:keepNext w:val="0"/>
              <w:widowControl/>
              <w:spacing w:before="0" w:after="0" w:line="240" w:lineRule="auto"/>
              <w:jc w:val="center"/>
            </w:pPr>
            <w:r>
              <w:rPr>
                <w:rFonts w:ascii="Noto Sans" w:hAnsi="Noto Sans"/>
                <w:b/>
                <w:i w:val="0"/>
                <w:color w:val="FFFFFF"/>
                <w:sz w:val="40"/>
              </w:rPr>
              <w:t>IMOAM · Septiembre 2026</w:t>
            </w:r>
          </w:p>
        </w:tc>
      </w:tr>
      <w:tr>
        <w:trPr>
          <w:cantSplit/>
        </w:trPr>
        <w:tc>
          <w:tcPr>
            <w:tcW w:type="dxa" w:w="4419"/>
            <w:shd w:fill="538135"/>
            <w:vAlign w:val="center"/>
          </w:tcPr>
          <w:p>
            <w:pPr>
              <w:keepNext w:val="0"/>
              <w:widowControl/>
              <w:spacing w:before="0" w:after="0" w:line="240" w:lineRule="auto"/>
              <w:jc w:val="center"/>
            </w:pPr>
            <w:r/>
            <w:r>
              <w:rPr>
                <w:rFonts w:ascii="Noto Sans" w:hAnsi="Noto Sans"/>
                <w:b/>
                <w:i w:val="0"/>
                <w:color w:val="FFFFFF"/>
                <w:sz w:val="19"/>
              </w:rPr>
              <w:t>ÍNDICE ESTIMADO</w:t>
            </w:r>
          </w:p>
          <w:p>
            <w:pPr>
              <w:keepNext w:val="0"/>
              <w:widowControl/>
              <w:spacing w:before="0" w:after="0" w:line="240" w:lineRule="auto"/>
              <w:jc w:val="center"/>
            </w:pPr>
            <w:r>
              <w:rPr>
                <w:rFonts w:ascii="Noto Sans" w:hAnsi="Noto Sans"/>
                <w:b/>
                <w:i w:val="0"/>
                <w:color w:val="FFFFFF"/>
                <w:sz w:val="52"/>
              </w:rPr>
              <w:t>108.0</w:t>
            </w:r>
          </w:p>
          <w:p>
            <w:pPr>
              <w:keepNext w:val="0"/>
              <w:widowControl/>
              <w:spacing w:before="0" w:after="0" w:line="240" w:lineRule="auto"/>
              <w:jc w:val="center"/>
            </w:pPr>
            <w:r>
              <w:rPr>
                <w:rFonts w:ascii="Noto Sans" w:hAnsi="Noto Sans"/>
                <w:b w:val="0"/>
                <w:i w:val="0"/>
                <w:color w:val="FFFFFF"/>
                <w:sz w:val="17"/>
              </w:rPr>
              <w:t>Puntos · cifras originales</w:t>
            </w:r>
          </w:p>
        </w:tc>
        <w:tc>
          <w:tcPr>
            <w:tcW w:type="dxa" w:w="4419"/>
            <w:shd w:fill="538135"/>
            <w:vAlign w:val="center"/>
          </w:tcPr>
          <w:p>
            <w:pPr>
              <w:keepNext w:val="0"/>
              <w:widowControl/>
              <w:spacing w:before="0" w:after="0" w:line="240" w:lineRule="auto"/>
              <w:jc w:val="center"/>
            </w:pPr>
            <w:r/>
            <w:r>
              <w:rPr>
                <w:rFonts w:ascii="Noto Sans" w:hAnsi="Noto Sans"/>
                <w:b/>
                <w:i w:val="0"/>
                <w:color w:val="FFFFFF"/>
                <w:sz w:val="19"/>
              </w:rPr>
              <w:t>VARIACIÓN ANUAL ESTIMADA</w:t>
            </w:r>
          </w:p>
          <w:p>
            <w:pPr>
              <w:keepNext w:val="0"/>
              <w:widowControl/>
              <w:spacing w:before="0" w:after="0" w:line="240" w:lineRule="auto"/>
              <w:jc w:val="center"/>
            </w:pPr>
            <w:r>
              <w:rPr>
                <w:rFonts w:ascii="Noto Sans" w:hAnsi="Noto Sans"/>
                <w:b/>
                <w:i w:val="0"/>
                <w:color w:val="FFFFFF"/>
                <w:sz w:val="52"/>
              </w:rPr>
              <w:t>1.9%</w:t>
            </w:r>
          </w:p>
          <w:p>
            <w:pPr>
              <w:keepNext w:val="0"/>
              <w:widowControl/>
              <w:spacing w:before="0" w:after="0" w:line="240" w:lineRule="auto"/>
              <w:jc w:val="center"/>
            </w:pPr>
            <w:r>
              <w:rPr>
                <w:rFonts w:ascii="Noto Sans" w:hAnsi="Noto Sans"/>
                <w:b w:val="0"/>
                <w:i w:val="0"/>
                <w:color w:val="FFFFFF"/>
                <w:sz w:val="17"/>
              </w:rPr>
              <w:t>Respecto al mismo mes del año anterior</w:t>
            </w:r>
          </w:p>
        </w:tc>
      </w:tr>
    </w:tbl>
    <w:p>
      <w:pPr>
        <w:keepNext w:val="0"/>
        <w:widowControl/>
        <w:spacing w:before="0" w:after="0" w:line="240" w:lineRule="auto"/>
        <w:jc w:val="both"/>
      </w:pPr>
      <w:r>
        <w:rPr>
          <w:rFonts w:ascii="Noto Sans" w:hAnsi="Noto Sans"/>
          <w:b w:val="0"/>
          <w:i/>
          <w:color w:val="666666"/>
          <w:sz w:val="16"/>
        </w:rPr>
        <w:t>Nota: estadística experimental. El IMOAM anticipa el IMAI manufacturero; no representa un dato observado definitivo.</w:t>
      </w:r>
    </w:p>
    <w:p>
      <w:pPr>
        <w:keepNext w:val="0"/>
        <w:widowControl/>
        <w:spacing w:before="0" w:after="0" w:line="240" w:lineRule="auto"/>
        <w:jc w:val="both"/>
      </w:pPr>
      <w:r>
        <w:rPr>
          <w:rFonts w:ascii="Noto Sans" w:hAnsi="Noto Sans"/>
          <w:b w:val="0"/>
          <w:i w:val="0"/>
          <w:color w:val="000000"/>
          <w:sz w:val="13"/>
        </w:rPr>
      </w:r>
    </w:p>
    <w:p>
      <w:pPr>
        <w:keepNext/>
        <w:widowControl/>
        <w:spacing w:before="0" w:after="0" w:line="240" w:lineRule="auto"/>
        <w:jc w:val="both"/>
      </w:pPr>
      <w:r>
        <w:rPr>
          <w:rFonts w:ascii="Noto Sans" w:hAnsi="Noto Sans"/>
          <w:b/>
          <w:i w:val="0"/>
          <w:color w:val="235B4C"/>
          <w:sz w:val="22"/>
        </w:rPr>
        <w:t>Resumen ejecutivo</w:t>
      </w:r>
    </w:p>
    <w:p>
      <w:pPr>
        <w:keepNext w:val="0"/>
        <w:widowControl/>
        <w:spacing w:before="0" w:after="0" w:line="240" w:lineRule="auto"/>
        <w:jc w:val="both"/>
      </w:pPr>
      <w:r>
        <w:rPr>
          <w:rFonts w:ascii="Noto Sans" w:hAnsi="Noto Sans"/>
          <w:b w:val="0"/>
          <w:i w:val="0"/>
          <w:color w:val="000000"/>
          <w:sz w:val="22"/>
        </w:rPr>
        <w:t>La estimación puntual apunta a un aumento de la actividad manufacturera en su comparación anual. La lectura debe considerar los intervalos de confianza y el carácter oportuno del indicador.</w:t>
      </w:r>
    </w:p>
    <w:p>
      <w:pPr>
        <w:pStyle w:val="ListBullet"/>
        <w:keepNext w:val="0"/>
        <w:widowControl/>
        <w:spacing w:before="0" w:after="0" w:line="240" w:lineRule="auto"/>
        <w:ind w:left="202" w:hanging="144"/>
        <w:jc w:val="both"/>
        <w:numPr>
          <w:ilvl w:val="0"/>
          <w:numId w:val="36"/>
        </w:numPr>
      </w:pPr>
      <w:r>
        <w:rPr>
          <w:rFonts w:ascii="Noto Sans" w:hAnsi="Noto Sans"/>
          <w:b w:val="0"/>
          <w:i w:val="0"/>
          <w:color w:val="000000"/>
          <w:sz w:val="22"/>
        </w:rPr>
        <w:t>El intervalo anual incluye cero y valores negativos: la señal puntual positiva no implica certeza de crecimiento.</w:t>
      </w:r>
    </w:p>
    <w:p>
      <w:pPr>
        <w:pStyle w:val="ListBullet"/>
        <w:keepNext w:val="0"/>
        <w:widowControl/>
        <w:spacing w:before="0" w:after="0" w:line="240" w:lineRule="auto"/>
        <w:ind w:left="202" w:hanging="144"/>
        <w:jc w:val="both"/>
        <w:numPr>
          <w:ilvl w:val="0"/>
          <w:numId w:val="36"/>
        </w:numPr>
      </w:pPr>
      <w:r>
        <w:rPr>
          <w:rFonts w:ascii="Noto Sans" w:hAnsi="Noto Sans"/>
          <w:b w:val="0"/>
          <w:i w:val="0"/>
          <w:color w:val="000000"/>
          <w:sz w:val="22"/>
        </w:rPr>
        <w:t>La amplitud del intervalo anual es de 5.6 puntos porcentuales; la del índice es de 6.0 puntos.</w:t>
      </w:r>
    </w:p>
    <w:p>
      <w:pPr>
        <w:pStyle w:val="ListBullet"/>
        <w:keepNext w:val="0"/>
        <w:widowControl/>
        <w:spacing w:before="0" w:after="0" w:line="240" w:lineRule="auto"/>
        <w:ind w:left="202" w:hanging="144"/>
        <w:jc w:val="both"/>
        <w:numPr>
          <w:ilvl w:val="0"/>
          <w:numId w:val="36"/>
        </w:numPr>
      </w:pPr>
      <w:r>
        <w:rPr>
          <w:rFonts w:ascii="Noto Sans" w:hAnsi="Noto Sans"/>
          <w:b w:val="0"/>
          <w:i w:val="0"/>
          <w:color w:val="000000"/>
          <w:sz w:val="22"/>
        </w:rPr>
        <w:t>La publicación aporta una lectura anticipada: se difunde alrededor de 18 días antes del IMAI manufacturero, según la ficha metodológica.</w:t>
      </w:r>
    </w:p>
    <w:p>
      <w:pPr>
        <w:keepNext w:val="0"/>
        <w:widowControl/>
        <w:spacing w:before="0" w:after="0" w:line="240" w:lineRule="auto"/>
        <w:jc w:val="both"/>
      </w:pPr>
      <w:r>
        <w:rPr>
          <w:rFonts w:ascii="Noto Sans" w:hAnsi="Noto Sans"/>
          <w:b w:val="0"/>
          <w:i w:val="0"/>
          <w:color w:val="000000"/>
          <w:sz w:val="13"/>
        </w:rPr>
      </w:r>
    </w:p>
    <w:p>
      <w:pPr>
        <w:keepNext/>
        <w:widowControl/>
        <w:spacing w:before="0" w:after="0" w:line="240" w:lineRule="auto"/>
        <w:jc w:val="both"/>
      </w:pPr>
      <w:r>
        <w:rPr>
          <w:rFonts w:ascii="Noto Sans" w:hAnsi="Noto Sans"/>
          <w:b/>
          <w:i w:val="0"/>
          <w:color w:val="235B4C"/>
          <w:sz w:val="22"/>
        </w:rPr>
        <w:t>Estimación puntual e intervalos de confianza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1814"/>
        <w:gridCol w:w="1814"/>
        <w:gridCol w:w="1814"/>
      </w:tblGrid>
      <w:tr>
        <w:trPr>
          <w:cantSplit/>
          <w:tblHeader/>
        </w:trPr>
        <w:tc>
          <w:tcPr>
            <w:tcW w:type="dxa" w:w="3384"/>
            <w:shd w:fill="10312B"/>
            <w:vAlign w:val="center"/>
          </w:tcPr>
          <w:p>
            <w:pPr>
              <w:keepNext w:val="0"/>
              <w:widowControl/>
              <w:spacing w:before="0" w:after="0" w:line="240" w:lineRule="auto"/>
              <w:jc w:val="left"/>
            </w:pPr>
            <w:r/>
            <w:r>
              <w:rPr>
                <w:rFonts w:ascii="Noto Sans" w:hAnsi="Noto Sans"/>
                <w:b/>
                <w:i w:val="0"/>
                <w:color w:val="FFFFFF"/>
                <w:sz w:val="21"/>
              </w:rPr>
              <w:t>Variable</w:t>
            </w:r>
          </w:p>
        </w:tc>
        <w:tc>
          <w:tcPr>
            <w:tcW w:type="dxa" w:w="1814"/>
            <w:shd w:fill="10312B"/>
            <w:vAlign w:val="center"/>
          </w:tcPr>
          <w:p>
            <w:pPr>
              <w:keepNext w:val="0"/>
              <w:widowControl/>
              <w:spacing w:before="0" w:after="0" w:line="240" w:lineRule="auto"/>
              <w:jc w:val="center"/>
            </w:pPr>
            <w:r/>
            <w:r>
              <w:rPr>
                <w:rFonts w:ascii="Noto Sans" w:hAnsi="Noto Sans"/>
                <w:b/>
                <w:i w:val="0"/>
                <w:color w:val="FFFFFF"/>
                <w:sz w:val="21"/>
              </w:rPr>
              <w:t>Estimación</w:t>
            </w:r>
          </w:p>
        </w:tc>
        <w:tc>
          <w:tcPr>
            <w:tcW w:type="dxa" w:w="1814"/>
            <w:shd w:fill="10312B"/>
            <w:vAlign w:val="center"/>
          </w:tcPr>
          <w:p>
            <w:pPr>
              <w:keepNext w:val="0"/>
              <w:widowControl/>
              <w:spacing w:before="0" w:after="0" w:line="240" w:lineRule="auto"/>
              <w:jc w:val="center"/>
            </w:pPr>
            <w:r/>
            <w:r>
              <w:rPr>
                <w:rFonts w:ascii="Noto Sans" w:hAnsi="Noto Sans"/>
                <w:b/>
                <w:i w:val="0"/>
                <w:color w:val="FFFFFF"/>
                <w:sz w:val="21"/>
              </w:rPr>
              <w:t>Límite inferior</w:t>
            </w:r>
          </w:p>
        </w:tc>
        <w:tc>
          <w:tcPr>
            <w:tcW w:type="dxa" w:w="1814"/>
            <w:shd w:fill="10312B"/>
            <w:vAlign w:val="center"/>
          </w:tcPr>
          <w:p>
            <w:pPr>
              <w:keepNext w:val="0"/>
              <w:widowControl/>
              <w:spacing w:before="0" w:after="0" w:line="240" w:lineRule="auto"/>
              <w:jc w:val="center"/>
            </w:pPr>
            <w:r/>
            <w:r>
              <w:rPr>
                <w:rFonts w:ascii="Noto Sans" w:hAnsi="Noto Sans"/>
                <w:b/>
                <w:i w:val="0"/>
                <w:color w:val="FFFFFF"/>
                <w:sz w:val="21"/>
              </w:rPr>
              <w:t>Límite superior</w:t>
            </w:r>
          </w:p>
        </w:tc>
      </w:tr>
      <w:tr>
        <w:trPr>
          <w:cantSplit/>
        </w:trPr>
        <w:tc>
          <w:tcPr>
            <w:tcW w:type="dxa" w:w="3384"/>
            <w:shd w:fill="F4F4F2"/>
            <w:vAlign w:val="center"/>
          </w:tcPr>
          <w:p>
            <w:pPr>
              <w:keepNext w:val="0"/>
              <w:widowControl/>
              <w:spacing w:before="0" w:after="0" w:line="240" w:lineRule="auto"/>
              <w:jc w:val="left"/>
            </w:pPr>
            <w:r/>
            <w:r>
              <w:rPr>
                <w:rFonts w:ascii="Noto Sans" w:hAnsi="Noto Sans"/>
                <w:b/>
                <w:i w:val="0"/>
                <w:color w:val="000000"/>
                <w:sz w:val="21"/>
              </w:rPr>
              <w:t>Índice (puntos)</w:t>
            </w:r>
          </w:p>
        </w:tc>
        <w:tc>
          <w:tcPr>
            <w:tcW w:type="dxa" w:w="1814"/>
            <w:shd w:fill="F4F4F2"/>
            <w:vAlign w:val="center"/>
          </w:tcPr>
          <w:p>
            <w:pPr>
              <w:keepNext w:val="0"/>
              <w:widowControl/>
              <w:spacing w:before="0" w:after="0" w:line="240" w:lineRule="auto"/>
              <w:jc w:val="center"/>
            </w:pPr>
            <w:r/>
            <w:r>
              <w:rPr>
                <w:rFonts w:ascii="Noto Sans" w:hAnsi="Noto Sans"/>
                <w:b w:val="0"/>
                <w:i w:val="0"/>
                <w:color w:val="000000"/>
                <w:sz w:val="21"/>
              </w:rPr>
              <w:t>108.0</w:t>
            </w:r>
          </w:p>
        </w:tc>
        <w:tc>
          <w:tcPr>
            <w:tcW w:type="dxa" w:w="1814"/>
            <w:shd w:fill="F4F4F2"/>
            <w:vAlign w:val="center"/>
          </w:tcPr>
          <w:p>
            <w:pPr>
              <w:keepNext w:val="0"/>
              <w:widowControl/>
              <w:spacing w:before="0" w:after="0" w:line="240" w:lineRule="auto"/>
              <w:jc w:val="center"/>
            </w:pPr>
            <w:r/>
            <w:r>
              <w:rPr>
                <w:rFonts w:ascii="Noto Sans" w:hAnsi="Noto Sans"/>
                <w:b w:val="0"/>
                <w:i w:val="0"/>
                <w:color w:val="000000"/>
                <w:sz w:val="21"/>
              </w:rPr>
              <w:t>105.1</w:t>
            </w:r>
          </w:p>
        </w:tc>
        <w:tc>
          <w:tcPr>
            <w:tcW w:type="dxa" w:w="1814"/>
            <w:shd w:fill="F4F4F2"/>
            <w:vAlign w:val="center"/>
          </w:tcPr>
          <w:p>
            <w:pPr>
              <w:keepNext w:val="0"/>
              <w:widowControl/>
              <w:spacing w:before="0" w:after="0" w:line="240" w:lineRule="auto"/>
              <w:jc w:val="center"/>
            </w:pPr>
            <w:r/>
            <w:r>
              <w:rPr>
                <w:rFonts w:ascii="Noto Sans" w:hAnsi="Noto Sans"/>
                <w:b w:val="0"/>
                <w:i w:val="0"/>
                <w:color w:val="000000"/>
                <w:sz w:val="21"/>
              </w:rPr>
              <w:t>111.1</w:t>
            </w:r>
          </w:p>
        </w:tc>
      </w:tr>
      <w:tr>
        <w:trPr>
          <w:cantSplit/>
        </w:trPr>
        <w:tc>
          <w:tcPr>
            <w:tcW w:type="dxa" w:w="3384"/>
            <w:shd w:fill="FFFFFF"/>
            <w:vAlign w:val="center"/>
          </w:tcPr>
          <w:p>
            <w:pPr>
              <w:keepNext w:val="0"/>
              <w:widowControl/>
              <w:spacing w:before="0" w:after="0" w:line="240" w:lineRule="auto"/>
              <w:jc w:val="left"/>
            </w:pPr>
            <w:r/>
            <w:r>
              <w:rPr>
                <w:rFonts w:ascii="Noto Sans" w:hAnsi="Noto Sans"/>
                <w:b/>
                <w:i w:val="0"/>
                <w:color w:val="000000"/>
                <w:sz w:val="21"/>
              </w:rPr>
              <w:t>Variación anual (%)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keepNext w:val="0"/>
              <w:widowControl/>
              <w:spacing w:before="0" w:after="0" w:line="240" w:lineRule="auto"/>
              <w:jc w:val="center"/>
            </w:pPr>
            <w:r/>
            <w:r>
              <w:rPr>
                <w:rFonts w:ascii="Noto Sans" w:hAnsi="Noto Sans"/>
                <w:b w:val="0"/>
                <w:i w:val="0"/>
                <w:color w:val="000000"/>
                <w:sz w:val="21"/>
              </w:rPr>
              <w:t>1.9%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keepNext w:val="0"/>
              <w:widowControl/>
              <w:spacing w:before="0" w:after="0" w:line="240" w:lineRule="auto"/>
              <w:jc w:val="center"/>
            </w:pPr>
            <w:r/>
            <w:r>
              <w:rPr>
                <w:rFonts w:ascii="Noto Sans" w:hAnsi="Noto Sans"/>
                <w:b w:val="0"/>
                <w:i w:val="0"/>
                <w:color w:val="000000"/>
                <w:sz w:val="21"/>
              </w:rPr>
              <w:t>-0.9%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keepNext w:val="0"/>
              <w:widowControl/>
              <w:spacing w:before="0" w:after="0" w:line="240" w:lineRule="auto"/>
              <w:jc w:val="center"/>
            </w:pPr>
            <w:r/>
            <w:r>
              <w:rPr>
                <w:rFonts w:ascii="Noto Sans" w:hAnsi="Noto Sans"/>
                <w:b w:val="0"/>
                <w:i w:val="0"/>
                <w:color w:val="000000"/>
                <w:sz w:val="21"/>
              </w:rPr>
              <w:t>4.7%</w:t>
            </w:r>
          </w:p>
        </w:tc>
      </w:tr>
    </w:tbl>
    <w:p>
      <w:pPr>
        <w:keepNext w:val="0"/>
        <w:widowControl/>
        <w:spacing w:before="0" w:after="0" w:line="240" w:lineRule="auto"/>
        <w:jc w:val="both"/>
      </w:pPr>
      <w:r>
        <w:rPr>
          <w:rFonts w:ascii="Noto Sans" w:hAnsi="Noto Sans"/>
          <w:b w:val="0"/>
          <w:i/>
          <w:color w:val="666666"/>
          <w:sz w:val="16"/>
        </w:rPr>
        <w:t>IC al 95%. Fuente: INEGI, cuadro 1, página 1. Amplitud = límite superior − límite inferior; cálculo a partir de las cifras publicadas.</w:t>
      </w:r>
    </w:p>
    <w:p>
      <w:pPr>
        <w:keepNext w:val="0"/>
        <w:widowControl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32120" cy="1496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val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1496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0" w:after="0" w:line="240" w:lineRule="auto"/>
        <w:jc w:val="both"/>
      </w:pPr>
      <w:r>
        <w:rPr>
          <w:rFonts w:ascii="Noto Sans" w:hAnsi="Noto Sans"/>
          <w:b w:val="0"/>
          <w:i/>
          <w:color w:val="666666"/>
          <w:sz w:val="16"/>
        </w:rPr>
        <w:t>Fuente: INEGI, IMOAM. El punto indica la estimación; el segmento muestra el intervalo al 95%.</w:t>
      </w:r>
    </w:p>
    <w:p>
      <w:pPr>
        <w:keepNext w:val="0"/>
        <w:widowControl/>
        <w:spacing w:before="0" w:after="0" w:line="240" w:lineRule="auto"/>
        <w:jc w:val="both"/>
      </w:pPr>
      <w:r>
        <w:rPr>
          <w:rFonts w:ascii="Noto Sans" w:hAnsi="Noto Sans"/>
          <w:b w:val="0"/>
          <w:i w:val="0"/>
          <w:color w:val="000000"/>
          <w:sz w:val="13"/>
        </w:rPr>
      </w:r>
    </w:p>
    <w:p>
      <w:pPr>
        <w:keepNext/>
        <w:widowControl/>
        <w:spacing w:before="0" w:after="0" w:line="240" w:lineRule="auto"/>
        <w:jc w:val="both"/>
      </w:pPr>
      <w:r>
        <w:rPr>
          <w:rFonts w:ascii="Noto Sans" w:hAnsi="Noto Sans"/>
          <w:b/>
          <w:i w:val="0"/>
          <w:color w:val="235B4C"/>
          <w:sz w:val="22"/>
        </w:rPr>
        <w:t>Evaluación histórica y oportunidad de publicación</w:t>
      </w:r>
    </w:p>
    <w:p>
      <w:pPr>
        <w:keepNext w:val="0"/>
        <w:widowControl/>
        <w:spacing w:before="0" w:after="0" w:line="240" w:lineRule="auto"/>
        <w:jc w:val="both"/>
      </w:pPr>
      <w:r>
        <w:rPr>
          <w:rFonts w:ascii="Noto Sans" w:hAnsi="Noto Sans"/>
          <w:b w:val="0"/>
          <w:i w:val="0"/>
          <w:color w:val="000000"/>
          <w:sz w:val="22"/>
        </w:rPr>
        <w:t>INEGI reporta que el IMAI manufacturero quedó dentro del intervalo de confianza del IMOAM en 90% de las ocasiones. La comparación presentada en esta edición abarca de enero de 2019 a agosto de 2026.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6"/>
        <w:gridCol w:w="5011"/>
      </w:tblGrid>
      <w:tr>
        <w:trPr>
          <w:cantSplit/>
          <w:tblHeader/>
        </w:trPr>
        <w:tc>
          <w:tcPr>
            <w:tcW w:type="dxa" w:w="3816"/>
            <w:shd w:fill="10312B"/>
            <w:vAlign w:val="center"/>
          </w:tcPr>
          <w:p>
            <w:pPr>
              <w:keepNext w:val="0"/>
              <w:widowControl/>
              <w:spacing w:before="0" w:after="0" w:line="240" w:lineRule="auto"/>
              <w:jc w:val="left"/>
            </w:pPr>
            <w:r/>
            <w:r>
              <w:rPr>
                <w:rFonts w:ascii="Noto Sans" w:hAnsi="Noto Sans"/>
                <w:b/>
                <w:i w:val="0"/>
                <w:color w:val="FFFFFF"/>
                <w:sz w:val="21"/>
              </w:rPr>
              <w:t>Dato de evaluación</w:t>
            </w:r>
          </w:p>
        </w:tc>
        <w:tc>
          <w:tcPr>
            <w:tcW w:type="dxa" w:w="5011"/>
            <w:shd w:fill="10312B"/>
            <w:vAlign w:val="center"/>
          </w:tcPr>
          <w:p>
            <w:pPr>
              <w:keepNext w:val="0"/>
              <w:widowControl/>
              <w:spacing w:before="0" w:after="0" w:line="240" w:lineRule="auto"/>
              <w:jc w:val="center"/>
            </w:pPr>
            <w:r/>
            <w:r>
              <w:rPr>
                <w:rFonts w:ascii="Noto Sans" w:hAnsi="Noto Sans"/>
                <w:b/>
                <w:i w:val="0"/>
                <w:color w:val="FFFFFF"/>
                <w:sz w:val="21"/>
              </w:rPr>
              <w:t>Resultado reportado</w:t>
            </w:r>
          </w:p>
        </w:tc>
      </w:tr>
      <w:tr>
        <w:trPr>
          <w:cantSplit/>
        </w:trPr>
        <w:tc>
          <w:tcPr>
            <w:tcW w:type="dxa" w:w="3816"/>
            <w:shd w:fill="F4F4F2"/>
            <w:vAlign w:val="center"/>
          </w:tcPr>
          <w:p>
            <w:pPr>
              <w:keepNext w:val="0"/>
              <w:widowControl/>
              <w:spacing w:before="0" w:after="0" w:line="240" w:lineRule="auto"/>
              <w:jc w:val="left"/>
            </w:pPr>
            <w:r/>
            <w:r>
              <w:rPr>
                <w:rFonts w:ascii="Noto Sans" w:hAnsi="Noto Sans"/>
                <w:b/>
                <w:i w:val="0"/>
                <w:color w:val="000000"/>
                <w:sz w:val="21"/>
              </w:rPr>
              <w:t>Cobertura histórica del intervalo</w:t>
            </w:r>
          </w:p>
        </w:tc>
        <w:tc>
          <w:tcPr>
            <w:tcW w:type="dxa" w:w="5011"/>
            <w:shd w:fill="F4F4F2"/>
            <w:vAlign w:val="center"/>
          </w:tcPr>
          <w:p>
            <w:pPr>
              <w:keepNext w:val="0"/>
              <w:widowControl/>
              <w:spacing w:before="0" w:after="0" w:line="240" w:lineRule="auto"/>
              <w:jc w:val="center"/>
            </w:pPr>
            <w:r/>
            <w:r>
              <w:rPr>
                <w:rFonts w:ascii="Noto Sans" w:hAnsi="Noto Sans"/>
                <w:b w:val="0"/>
                <w:i w:val="0"/>
                <w:color w:val="000000"/>
                <w:sz w:val="21"/>
              </w:rPr>
              <w:t>90% de las ocasiones</w:t>
            </w:r>
          </w:p>
        </w:tc>
      </w:tr>
      <w:tr>
        <w:trPr>
          <w:cantSplit/>
        </w:trPr>
        <w:tc>
          <w:tcPr>
            <w:tcW w:type="dxa" w:w="3816"/>
            <w:shd w:fill="FFFFFF"/>
            <w:vAlign w:val="center"/>
          </w:tcPr>
          <w:p>
            <w:pPr>
              <w:keepNext w:val="0"/>
              <w:widowControl/>
              <w:spacing w:before="0" w:after="0" w:line="240" w:lineRule="auto"/>
              <w:jc w:val="left"/>
            </w:pPr>
            <w:r/>
            <w:r>
              <w:rPr>
                <w:rFonts w:ascii="Noto Sans" w:hAnsi="Noto Sans"/>
                <w:b/>
                <w:i w:val="0"/>
                <w:color w:val="000000"/>
                <w:sz w:val="21"/>
              </w:rPr>
              <w:t>Inicio del cálculo del IMOAM</w:t>
            </w:r>
          </w:p>
        </w:tc>
        <w:tc>
          <w:tcPr>
            <w:tcW w:type="dxa" w:w="5011"/>
            <w:shd w:fill="FFFFFF"/>
            <w:vAlign w:val="center"/>
          </w:tcPr>
          <w:p>
            <w:pPr>
              <w:keepNext w:val="0"/>
              <w:widowControl/>
              <w:spacing w:before="0" w:after="0" w:line="240" w:lineRule="auto"/>
              <w:jc w:val="center"/>
            </w:pPr>
            <w:r/>
            <w:r>
              <w:rPr>
                <w:rFonts w:ascii="Noto Sans" w:hAnsi="Noto Sans"/>
                <w:b w:val="0"/>
                <w:i w:val="0"/>
                <w:color w:val="000000"/>
                <w:sz w:val="21"/>
              </w:rPr>
              <w:t>Agosto de 2015</w:t>
            </w:r>
          </w:p>
        </w:tc>
      </w:tr>
      <w:tr>
        <w:trPr>
          <w:cantSplit/>
        </w:trPr>
        <w:tc>
          <w:tcPr>
            <w:tcW w:type="dxa" w:w="3816"/>
            <w:shd w:fill="F4F4F2"/>
            <w:vAlign w:val="center"/>
          </w:tcPr>
          <w:p>
            <w:pPr>
              <w:keepNext w:val="0"/>
              <w:widowControl/>
              <w:spacing w:before="0" w:after="0" w:line="240" w:lineRule="auto"/>
              <w:jc w:val="left"/>
            </w:pPr>
            <w:r/>
            <w:r>
              <w:rPr>
                <w:rFonts w:ascii="Noto Sans" w:hAnsi="Noto Sans"/>
                <w:b/>
                <w:i w:val="0"/>
                <w:color w:val="000000"/>
                <w:sz w:val="21"/>
              </w:rPr>
              <w:t>Comparación de referencia</w:t>
            </w:r>
          </w:p>
        </w:tc>
        <w:tc>
          <w:tcPr>
            <w:tcW w:type="dxa" w:w="5011"/>
            <w:shd w:fill="F4F4F2"/>
            <w:vAlign w:val="center"/>
          </w:tcPr>
          <w:p>
            <w:pPr>
              <w:keepNext w:val="0"/>
              <w:widowControl/>
              <w:spacing w:before="0" w:after="0" w:line="240" w:lineRule="auto"/>
              <w:jc w:val="center"/>
            </w:pPr>
            <w:r/>
            <w:r>
              <w:rPr>
                <w:rFonts w:ascii="Noto Sans" w:hAnsi="Noto Sans"/>
                <w:b w:val="0"/>
                <w:i w:val="0"/>
                <w:color w:val="000000"/>
                <w:sz w:val="21"/>
              </w:rPr>
              <w:t>IMOAM frente al IMAI del sector manufacturero</w:t>
            </w:r>
          </w:p>
        </w:tc>
      </w:tr>
      <w:tr>
        <w:trPr>
          <w:cantSplit/>
        </w:trPr>
        <w:tc>
          <w:tcPr>
            <w:tcW w:type="dxa" w:w="3816"/>
            <w:shd w:fill="FFFFFF"/>
            <w:vAlign w:val="center"/>
          </w:tcPr>
          <w:p>
            <w:pPr>
              <w:keepNext w:val="0"/>
              <w:widowControl/>
              <w:spacing w:before="0" w:after="0" w:line="240" w:lineRule="auto"/>
              <w:jc w:val="left"/>
            </w:pPr>
            <w:r/>
            <w:r>
              <w:rPr>
                <w:rFonts w:ascii="Noto Sans" w:hAnsi="Noto Sans"/>
                <w:b/>
                <w:i w:val="0"/>
                <w:color w:val="000000"/>
                <w:sz w:val="21"/>
              </w:rPr>
              <w:t>Nivel nominal del intervalo</w:t>
            </w:r>
          </w:p>
        </w:tc>
        <w:tc>
          <w:tcPr>
            <w:tcW w:type="dxa" w:w="5011"/>
            <w:shd w:fill="FFFFFF"/>
            <w:vAlign w:val="center"/>
          </w:tcPr>
          <w:p>
            <w:pPr>
              <w:keepNext w:val="0"/>
              <w:widowControl/>
              <w:spacing w:before="0" w:after="0" w:line="240" w:lineRule="auto"/>
              <w:jc w:val="center"/>
            </w:pPr>
            <w:r/>
            <w:r>
              <w:rPr>
                <w:rFonts w:ascii="Noto Sans" w:hAnsi="Noto Sans"/>
                <w:b w:val="0"/>
                <w:i w:val="0"/>
                <w:color w:val="000000"/>
                <w:sz w:val="21"/>
              </w:rPr>
              <w:t>95% de confianza</w:t>
            </w:r>
          </w:p>
        </w:tc>
      </w:tr>
    </w:tbl>
    <w:p>
      <w:pPr>
        <w:keepNext w:val="0"/>
        <w:widowControl/>
        <w:spacing w:before="0" w:after="0" w:line="240" w:lineRule="auto"/>
        <w:jc w:val="both"/>
      </w:pPr>
      <w:r>
        <w:rPr>
          <w:rFonts w:ascii="Noto Sans" w:hAnsi="Noto Sans"/>
          <w:b w:val="0"/>
          <w:i/>
          <w:color w:val="666666"/>
          <w:sz w:val="16"/>
        </w:rPr>
        <w:t>Fuente: INEGI, evaluación histórica, página 3. La cobertura observada describe desempeño pasado; no es la probabilidad de que la estimación de este mes resulte correcta.</w:t>
      </w:r>
    </w:p>
    <w:p>
      <w:pPr>
        <w:keepNext w:val="0"/>
        <w:widowControl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32120" cy="14057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ortunid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1405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0" w:after="0" w:line="240" w:lineRule="auto"/>
        <w:jc w:val="both"/>
      </w:pPr>
      <w:r>
        <w:rPr>
          <w:rFonts w:ascii="Noto Sans" w:hAnsi="Noto Sans"/>
          <w:b w:val="0"/>
          <w:i/>
          <w:color w:val="666666"/>
          <w:sz w:val="16"/>
        </w:rPr>
        <w:t>Fuente: INEGI, ficha metodológica, página 4. Esquema de difusión sin escala temporal exacta; los plazos son aproximados.</w:t>
      </w:r>
    </w:p>
    <w:p>
      <w:pPr>
        <w:keepNext w:val="0"/>
        <w:widowControl/>
        <w:spacing w:before="0" w:after="0" w:line="240" w:lineRule="auto"/>
        <w:jc w:val="both"/>
      </w:pPr>
      <w:r>
        <w:rPr>
          <w:rFonts w:ascii="Noto Sans" w:hAnsi="Noto Sans"/>
          <w:b w:val="0"/>
          <w:i w:val="0"/>
          <w:color w:val="000000"/>
          <w:sz w:val="13"/>
        </w:rPr>
      </w:r>
    </w:p>
    <w:p>
      <w:pPr>
        <w:keepNext/>
        <w:widowControl/>
        <w:spacing w:before="0" w:after="0" w:line="240" w:lineRule="auto"/>
        <w:jc w:val="both"/>
      </w:pPr>
      <w:r>
        <w:rPr>
          <w:rFonts w:ascii="Noto Sans" w:hAnsi="Noto Sans"/>
          <w:b/>
          <w:i w:val="0"/>
          <w:color w:val="235B4C"/>
          <w:sz w:val="22"/>
        </w:rPr>
        <w:t>Cobertura y construcción del indicador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5875"/>
      </w:tblGrid>
      <w:tr>
        <w:trPr>
          <w:cantSplit/>
          <w:tblHeader/>
        </w:trPr>
        <w:tc>
          <w:tcPr>
            <w:tcW w:type="dxa" w:w="2952"/>
            <w:shd w:fill="10312B"/>
            <w:vAlign w:val="center"/>
          </w:tcPr>
          <w:p>
            <w:pPr>
              <w:keepNext w:val="0"/>
              <w:widowControl/>
              <w:spacing w:before="0" w:after="0" w:line="240" w:lineRule="auto"/>
              <w:jc w:val="left"/>
            </w:pPr>
            <w:r/>
            <w:r>
              <w:rPr>
                <w:rFonts w:ascii="Noto Sans" w:hAnsi="Noto Sans"/>
                <w:b/>
                <w:i w:val="0"/>
                <w:color w:val="FFFFFF"/>
                <w:sz w:val="21"/>
              </w:rPr>
              <w:t>Elemento</w:t>
            </w:r>
          </w:p>
        </w:tc>
        <w:tc>
          <w:tcPr>
            <w:tcW w:type="dxa" w:w="5875"/>
            <w:shd w:fill="10312B"/>
            <w:vAlign w:val="center"/>
          </w:tcPr>
          <w:p>
            <w:pPr>
              <w:keepNext w:val="0"/>
              <w:widowControl/>
              <w:spacing w:before="0" w:after="0" w:line="240" w:lineRule="auto"/>
              <w:jc w:val="center"/>
            </w:pPr>
            <w:r/>
            <w:r>
              <w:rPr>
                <w:rFonts w:ascii="Noto Sans" w:hAnsi="Noto Sans"/>
                <w:b/>
                <w:i w:val="0"/>
                <w:color w:val="FFFFFF"/>
                <w:sz w:val="21"/>
              </w:rPr>
              <w:t>Alcance de la edición</w:t>
            </w:r>
          </w:p>
        </w:tc>
      </w:tr>
      <w:tr>
        <w:trPr>
          <w:cantSplit/>
        </w:trPr>
        <w:tc>
          <w:tcPr>
            <w:tcW w:type="dxa" w:w="2952"/>
            <w:shd w:fill="F4F4F2"/>
            <w:vAlign w:val="center"/>
          </w:tcPr>
          <w:p>
            <w:pPr>
              <w:keepNext w:val="0"/>
              <w:widowControl/>
              <w:spacing w:before="0" w:after="0" w:line="240" w:lineRule="auto"/>
              <w:jc w:val="left"/>
            </w:pPr>
            <w:r/>
            <w:r>
              <w:rPr>
                <w:rFonts w:ascii="Noto Sans" w:hAnsi="Noto Sans"/>
                <w:b/>
                <w:i w:val="0"/>
                <w:color w:val="000000"/>
                <w:sz w:val="21"/>
              </w:rPr>
              <w:t>Unidad de observación</w:t>
            </w:r>
          </w:p>
        </w:tc>
        <w:tc>
          <w:tcPr>
            <w:tcW w:type="dxa" w:w="5875"/>
            <w:shd w:fill="F4F4F2"/>
            <w:vAlign w:val="center"/>
          </w:tcPr>
          <w:p>
            <w:pPr>
              <w:keepNext w:val="0"/>
              <w:widowControl/>
              <w:spacing w:before="0" w:after="0" w:line="240" w:lineRule="auto"/>
              <w:jc w:val="center"/>
            </w:pPr>
            <w:r/>
            <w:r>
              <w:rPr>
                <w:rFonts w:ascii="Noto Sans" w:hAnsi="Noto Sans"/>
                <w:b w:val="0"/>
                <w:i w:val="0"/>
                <w:color w:val="000000"/>
                <w:sz w:val="21"/>
              </w:rPr>
              <w:t>Empresa formal en el sector manufacturero de México</w:t>
            </w:r>
          </w:p>
        </w:tc>
      </w:tr>
      <w:tr>
        <w:trPr>
          <w:cantSplit/>
        </w:trPr>
        <w:tc>
          <w:tcPr>
            <w:tcW w:type="dxa" w:w="2952"/>
            <w:shd w:fill="FFFFFF"/>
            <w:vAlign w:val="center"/>
          </w:tcPr>
          <w:p>
            <w:pPr>
              <w:keepNext w:val="0"/>
              <w:widowControl/>
              <w:spacing w:before="0" w:after="0" w:line="240" w:lineRule="auto"/>
              <w:jc w:val="left"/>
            </w:pPr>
            <w:r/>
            <w:r>
              <w:rPr>
                <w:rFonts w:ascii="Noto Sans" w:hAnsi="Noto Sans"/>
                <w:b/>
                <w:i w:val="0"/>
                <w:color w:val="000000"/>
                <w:sz w:val="21"/>
              </w:rPr>
              <w:t>Variable que se anticipa</w:t>
            </w:r>
          </w:p>
        </w:tc>
        <w:tc>
          <w:tcPr>
            <w:tcW w:type="dxa" w:w="5875"/>
            <w:shd w:fill="FFFFFF"/>
            <w:vAlign w:val="center"/>
          </w:tcPr>
          <w:p>
            <w:pPr>
              <w:keepNext w:val="0"/>
              <w:widowControl/>
              <w:spacing w:before="0" w:after="0" w:line="240" w:lineRule="auto"/>
              <w:jc w:val="center"/>
            </w:pPr>
            <w:r/>
            <w:r>
              <w:rPr>
                <w:rFonts w:ascii="Noto Sans" w:hAnsi="Noto Sans"/>
                <w:b w:val="0"/>
                <w:i w:val="0"/>
                <w:color w:val="000000"/>
                <w:sz w:val="21"/>
              </w:rPr>
              <w:t>IMAI del sector manufacturero</w:t>
            </w:r>
          </w:p>
        </w:tc>
      </w:tr>
      <w:tr>
        <w:trPr>
          <w:cantSplit/>
        </w:trPr>
        <w:tc>
          <w:tcPr>
            <w:tcW w:type="dxa" w:w="2952"/>
            <w:shd w:fill="F4F4F2"/>
            <w:vAlign w:val="center"/>
          </w:tcPr>
          <w:p>
            <w:pPr>
              <w:keepNext w:val="0"/>
              <w:widowControl/>
              <w:spacing w:before="0" w:after="0" w:line="240" w:lineRule="auto"/>
              <w:jc w:val="left"/>
            </w:pPr>
            <w:r/>
            <w:r>
              <w:rPr>
                <w:rFonts w:ascii="Noto Sans" w:hAnsi="Noto Sans"/>
                <w:b/>
                <w:i w:val="0"/>
                <w:color w:val="000000"/>
                <w:sz w:val="21"/>
              </w:rPr>
              <w:t>Insumos del modelo</w:t>
            </w:r>
          </w:p>
        </w:tc>
        <w:tc>
          <w:tcPr>
            <w:tcW w:type="dxa" w:w="5875"/>
            <w:shd w:fill="F4F4F2"/>
            <w:vAlign w:val="center"/>
          </w:tcPr>
          <w:p>
            <w:pPr>
              <w:keepNext w:val="0"/>
              <w:widowControl/>
              <w:spacing w:before="0" w:after="0" w:line="240" w:lineRule="auto"/>
              <w:jc w:val="center"/>
            </w:pPr>
            <w:r/>
            <w:r>
              <w:rPr>
                <w:rFonts w:ascii="Noto Sans" w:hAnsi="Noto Sans"/>
                <w:b w:val="0"/>
                <w:i w:val="0"/>
                <w:color w:val="000000"/>
                <w:sz w:val="21"/>
              </w:rPr>
              <w:t>RENEM y registros de consumo de energía eléctrica de CFE y CENACE</w:t>
            </w:r>
          </w:p>
        </w:tc>
      </w:tr>
      <w:tr>
        <w:trPr>
          <w:cantSplit/>
        </w:trPr>
        <w:tc>
          <w:tcPr>
            <w:tcW w:type="dxa" w:w="2952"/>
            <w:shd w:fill="FFFFFF"/>
            <w:vAlign w:val="center"/>
          </w:tcPr>
          <w:p>
            <w:pPr>
              <w:keepNext w:val="0"/>
              <w:widowControl/>
              <w:spacing w:before="0" w:after="0" w:line="240" w:lineRule="auto"/>
              <w:jc w:val="left"/>
            </w:pPr>
            <w:r/>
            <w:r>
              <w:rPr>
                <w:rFonts w:ascii="Noto Sans" w:hAnsi="Noto Sans"/>
                <w:b/>
                <w:i w:val="0"/>
                <w:color w:val="000000"/>
                <w:sz w:val="21"/>
              </w:rPr>
              <w:t>Tratamiento estadístico</w:t>
            </w:r>
          </w:p>
        </w:tc>
        <w:tc>
          <w:tcPr>
            <w:tcW w:type="dxa" w:w="5875"/>
            <w:shd w:fill="FFFFFF"/>
            <w:vAlign w:val="center"/>
          </w:tcPr>
          <w:p>
            <w:pPr>
              <w:keepNext w:val="0"/>
              <w:widowControl/>
              <w:spacing w:before="0" w:after="0" w:line="240" w:lineRule="auto"/>
              <w:jc w:val="center"/>
            </w:pPr>
            <w:r/>
            <w:r>
              <w:rPr>
                <w:rFonts w:ascii="Noto Sans" w:hAnsi="Noto Sans"/>
                <w:b w:val="0"/>
                <w:i w:val="0"/>
                <w:color w:val="000000"/>
                <w:sz w:val="21"/>
              </w:rPr>
              <w:t>Serie mensual original, sin ajuste estacional</w:t>
            </w:r>
          </w:p>
        </w:tc>
      </w:tr>
      <w:tr>
        <w:trPr>
          <w:cantSplit/>
        </w:trPr>
        <w:tc>
          <w:tcPr>
            <w:tcW w:type="dxa" w:w="2952"/>
            <w:shd w:fill="F4F4F2"/>
            <w:vAlign w:val="center"/>
          </w:tcPr>
          <w:p>
            <w:pPr>
              <w:keepNext w:val="0"/>
              <w:widowControl/>
              <w:spacing w:before="0" w:after="0" w:line="240" w:lineRule="auto"/>
              <w:jc w:val="left"/>
            </w:pPr>
            <w:r/>
            <w:r>
              <w:rPr>
                <w:rFonts w:ascii="Noto Sans" w:hAnsi="Noto Sans"/>
                <w:b/>
                <w:i w:val="0"/>
                <w:color w:val="000000"/>
                <w:sz w:val="21"/>
              </w:rPr>
              <w:t>Disponibilidad de insumos</w:t>
            </w:r>
          </w:p>
        </w:tc>
        <w:tc>
          <w:tcPr>
            <w:tcW w:type="dxa" w:w="5875"/>
            <w:shd w:fill="F4F4F2"/>
            <w:vAlign w:val="center"/>
          </w:tcPr>
          <w:p>
            <w:pPr>
              <w:keepNext w:val="0"/>
              <w:widowControl/>
              <w:spacing w:before="0" w:after="0" w:line="240" w:lineRule="auto"/>
              <w:jc w:val="center"/>
            </w:pPr>
            <w:r/>
            <w:r>
              <w:rPr>
                <w:rFonts w:ascii="Noto Sans" w:hAnsi="Noto Sans"/>
                <w:b w:val="0"/>
                <w:i w:val="0"/>
                <w:color w:val="000000"/>
                <w:sz w:val="21"/>
              </w:rPr>
              <w:t>La serie mensual del ICEE no se publica por confidencialidad</w:t>
            </w:r>
          </w:p>
        </w:tc>
      </w:tr>
    </w:tbl>
    <w:p>
      <w:pPr>
        <w:keepNext w:val="0"/>
        <w:widowControl/>
        <w:spacing w:before="0" w:after="0" w:line="240" w:lineRule="auto"/>
        <w:jc w:val="both"/>
      </w:pPr>
      <w:r>
        <w:rPr>
          <w:rFonts w:ascii="Noto Sans" w:hAnsi="Noto Sans"/>
          <w:b w:val="0"/>
          <w:i w:val="0"/>
          <w:color w:val="000000"/>
          <w:sz w:val="13"/>
        </w:rPr>
      </w:r>
    </w:p>
    <w:p>
      <w:pPr>
        <w:keepNext/>
        <w:widowControl/>
        <w:spacing w:before="0" w:after="0" w:line="240" w:lineRule="auto"/>
        <w:jc w:val="both"/>
      </w:pPr>
      <w:r>
        <w:rPr>
          <w:rFonts w:ascii="Noto Sans" w:hAnsi="Noto Sans"/>
          <w:b/>
          <w:i w:val="0"/>
          <w:color w:val="235B4C"/>
          <w:sz w:val="22"/>
        </w:rPr>
        <w:t>Notas de interpretación</w:t>
      </w:r>
    </w:p>
    <w:p>
      <w:pPr>
        <w:pStyle w:val="ListBullet"/>
        <w:keepNext w:val="0"/>
        <w:widowControl/>
        <w:spacing w:before="0" w:after="0" w:line="240" w:lineRule="auto"/>
        <w:ind w:left="202" w:hanging="144"/>
        <w:jc w:val="both"/>
        <w:numPr>
          <w:ilvl w:val="0"/>
          <w:numId w:val="36"/>
        </w:numPr>
      </w:pPr>
      <w:r>
        <w:rPr>
          <w:rFonts w:ascii="Noto Sans" w:hAnsi="Noto Sans"/>
          <w:b w:val="0"/>
          <w:i w:val="0"/>
          <w:color w:val="000000"/>
          <w:sz w:val="22"/>
        </w:rPr>
        <w:t>La variación anual compara el mes de referencia con el mismo mes del año anterior; no equivale a una variación mensual desestacionalizada.</w:t>
      </w:r>
    </w:p>
    <w:p>
      <w:pPr>
        <w:pStyle w:val="ListBullet"/>
        <w:keepNext w:val="0"/>
        <w:widowControl/>
        <w:spacing w:before="0" w:after="0" w:line="240" w:lineRule="auto"/>
        <w:ind w:left="202" w:hanging="144"/>
        <w:jc w:val="both"/>
        <w:numPr>
          <w:ilvl w:val="0"/>
          <w:numId w:val="36"/>
        </w:numPr>
      </w:pPr>
      <w:r>
        <w:rPr>
          <w:rFonts w:ascii="Noto Sans" w:hAnsi="Noto Sans"/>
          <w:b w:val="0"/>
          <w:i w:val="0"/>
          <w:color w:val="000000"/>
          <w:sz w:val="22"/>
        </w:rPr>
        <w:t>El IMOAM es una estimación del IMAI manufacturero. No debe confundirse con la EMIM ni atribuirse a ramas o entidades sin un desglose oficial.</w:t>
      </w:r>
    </w:p>
    <w:p>
      <w:pPr>
        <w:keepNext w:val="0"/>
        <w:widowControl/>
        <w:spacing w:before="0" w:after="0" w:line="240" w:lineRule="auto"/>
        <w:jc w:val="both"/>
      </w:pPr>
      <w:r>
        <w:rPr>
          <w:rFonts w:ascii="Noto Sans" w:hAnsi="Noto Sans"/>
          <w:b w:val="0"/>
          <w:i/>
          <w:color w:val="666666"/>
          <w:sz w:val="16"/>
        </w:rPr>
        <w:t>Fuentes: INEGI, boletín 639/26, 28 de octubre de 2026. Resultados e intervalos: p. 1; evaluación histórica: p. 3; metodología: p. 4. El modelo utiliza registros administrativos para ofrecer información oportuna; estos resultados no prueban una relación causal.</w:t>
      </w:r>
    </w:p>
    <w:p>
      <w:pPr>
        <w:keepNext w:val="0"/>
        <w:widowControl/>
        <w:spacing w:before="0" w:after="0" w:line="240" w:lineRule="auto"/>
        <w:jc w:val="both"/>
      </w:pPr>
      <w:r>
        <w:rPr>
          <w:rFonts w:ascii="Noto Sans" w:hAnsi="Noto Sans"/>
          <w:b w:val="0"/>
          <w:i/>
          <w:color w:val="666666"/>
          <w:sz w:val="16"/>
        </w:rPr>
        <w:t>https://www.inegi.org.mx/contenidos/saladeprensa/boletines/2026/imoam/imoam2026_10.pdf</w:t>
      </w:r>
    </w:p>
    <w:sectPr w:rsidR="00246E09" w:rsidRPr="00494C1B">
      <w:headerReference w:type="default" r:id="rId10"/>
      <w:footerReference w:type="even" r:id="rId11"/>
      <w:footerReference w:type="default" r:id="rId12"/>
      <w:pgSz w:w="12240" w:h="15840"/>
      <w:pgMar w:top="1134" w:right="1701" w:bottom="1134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B300B" w:rsidRDefault="001B300B" w:rsidP="00E32E74">
      <w:r>
        <w:separator/>
      </w:r>
    </w:p>
  </w:endnote>
  <w:endnote w:type="continuationSeparator" w:id="0">
    <w:p w:rsidR="001B300B" w:rsidRDefault="001B300B" w:rsidP="00E32E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Montserrat Light">
    <w:altName w:val="Calibri"/>
    <w:panose1 w:val="020B0604020202020204"/>
    <w:charset w:val="4D"/>
    <w:family w:val="auto"/>
    <w:pitch w:val="variable"/>
    <w:sig w:usb0="2000020F" w:usb1="00000003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altName w:val="Arial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Montserrat">
    <w:altName w:val="Calibri"/>
    <w:panose1 w:val="020B0604020202020204"/>
    <w:charset w:val="4D"/>
    <w:family w:val="auto"/>
    <w:pitch w:val="variable"/>
    <w:sig w:usb0="2000020F" w:usb1="00000003" w:usb2="00000000" w:usb3="00000000" w:csb0="00000197" w:csb1="00000000"/>
  </w:font>
  <w:font w:name="Univers (W1)">
    <w:altName w:val="Arial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Nmerodepgina"/>
      </w:rPr>
      <w:id w:val="1445275167"/>
      <w:docPartObj>
        <w:docPartGallery w:val="Page Numbers (Bottom of Page)"/>
        <w:docPartUnique/>
      </w:docPartObj>
    </w:sdtPr>
    <w:sdtEndPr>
      <w:rPr>
        <w:rStyle w:val="Nmerodepgina"/>
      </w:rPr>
    </w:sdtEndPr>
    <w:sdtContent>
      <w:p w:rsidR="008544E1" w:rsidRDefault="008544E1" w:rsidP="00DA379C">
        <w:pPr>
          <w:pStyle w:val="Piedepgina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 w:rsidR="00CE633D">
          <w:rPr>
            <w:rStyle w:val="Nmerodepgina"/>
            <w:noProof/>
          </w:rPr>
          <w:t>1</w:t>
        </w:r>
        <w:r>
          <w:rPr>
            <w:rStyle w:val="Nmerodepgina"/>
          </w:rPr>
          <w:fldChar w:fldCharType="end"/>
        </w:r>
      </w:p>
    </w:sdtContent>
  </w:sdt>
  <w:p w:rsidR="008544E1" w:rsidRDefault="008544E1" w:rsidP="008544E1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B54A2" w:rsidRDefault="00D60BF7" w:rsidP="008544E1">
    <w:pPr>
      <w:ind w:right="360"/>
    </w:pPr>
    <w:r>
      <w:rPr>
        <w:noProof/>
        <w:color w:val="000000"/>
      </w:rPr>
      <w:drawing>
        <wp:anchor distT="0" distB="0" distL="114300" distR="114300" simplePos="0" relativeHeight="251660288" behindDoc="1" locked="0" layoutInCell="1" allowOverlap="1" wp14:anchorId="093B9EEA" wp14:editId="414DD1FB">
          <wp:simplePos x="0" y="0"/>
          <wp:positionH relativeFrom="page">
            <wp:posOffset>-121920</wp:posOffset>
          </wp:positionH>
          <wp:positionV relativeFrom="paragraph">
            <wp:posOffset>-45085</wp:posOffset>
          </wp:positionV>
          <wp:extent cx="7894873" cy="1293628"/>
          <wp:effectExtent l="0" t="0" r="5080" b="1905"/>
          <wp:wrapNone/>
          <wp:docPr id="441815502" name="Imagen 1" descr="Imagen que contiene Aplicación  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67835576" name="Imagen 1" descr="Imagen que contiene Aplicación  El contenido generado por IA puede ser incorrecto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8139"/>
                  <a:stretch>
                    <a:fillRect/>
                  </a:stretch>
                </pic:blipFill>
                <pic:spPr bwMode="auto">
                  <a:xfrm>
                    <a:off x="0" y="0"/>
                    <a:ext cx="7894873" cy="129362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DB54A2" w:rsidRPr="00E7262E" w:rsidRDefault="00DB54A2" w:rsidP="00A27EAB">
    <w:pPr>
      <w:jc w:val="right"/>
    </w:pPr>
  </w:p>
  <w:p w:rsidR="00B62B90" w:rsidRDefault="00B62B90" w:rsidP="00E32E7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B300B" w:rsidRDefault="001B300B" w:rsidP="00E32E74">
      <w:r>
        <w:separator/>
      </w:r>
    </w:p>
  </w:footnote>
  <w:footnote w:type="continuationSeparator" w:id="0">
    <w:p w:rsidR="001B300B" w:rsidRDefault="001B300B" w:rsidP="00E32E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B54A2" w:rsidRDefault="00EA49C5" w:rsidP="00E32E74">
    <w:r>
      <w:rPr>
        <w:noProof/>
      </w:rPr>
      <w:drawing>
        <wp:anchor distT="0" distB="0" distL="0" distR="0" simplePos="0" relativeHeight="251658240" behindDoc="1" locked="0" layoutInCell="1" hidden="0" allowOverlap="1" wp14:anchorId="3C194DD2" wp14:editId="09349DB6">
          <wp:simplePos x="0" y="0"/>
          <wp:positionH relativeFrom="page">
            <wp:posOffset>-12700</wp:posOffset>
          </wp:positionH>
          <wp:positionV relativeFrom="paragraph">
            <wp:posOffset>-436626</wp:posOffset>
          </wp:positionV>
          <wp:extent cx="7753939" cy="1257300"/>
          <wp:effectExtent l="0" t="0" r="6350" b="0"/>
          <wp:wrapNone/>
          <wp:docPr id="949743675" name="image2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b="16596"/>
                  <a:stretch>
                    <a:fillRect/>
                  </a:stretch>
                </pic:blipFill>
                <pic:spPr>
                  <a:xfrm>
                    <a:off x="0" y="0"/>
                    <a:ext cx="7753939" cy="1257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DB54A2" w:rsidRDefault="00DB54A2" w:rsidP="00E32E74"/>
  <w:p w:rsidR="00DB54A2" w:rsidRDefault="00DB54A2" w:rsidP="00E32E74"/>
  <w:p w:rsidR="00F859CD" w:rsidRDefault="00F859CD" w:rsidP="00E32E74"/>
  <w:p w:rsidR="00EA51AD" w:rsidRDefault="009966CB" w:rsidP="00FE6B8B">
    <w:pPr>
      <w:ind w:left="-426"/>
      <w:rPr>
        <w:rFonts w:ascii="Calibri" w:hAnsi="Calibri" w:cs="Calibri"/>
        <w:b/>
        <w:sz w:val="22"/>
      </w:rPr>
    </w:pPr>
    <w:r>
      <w:rPr>
        <w:rFonts w:ascii="Noto Sans" w:hAnsi="Noto Sans"/>
        <w:b/>
        <w:sz w:val="22"/>
      </w:rPr>
      <w:t>S</w:t>
    </w:r>
    <w:r w:rsidR="00F05BFD">
      <w:rPr>
        <w:rFonts w:ascii="Noto Sans" w:hAnsi="Noto Sans"/>
        <w:b/>
        <w:sz w:val="22"/>
      </w:rPr>
      <w:t>ubs</w:t>
    </w:r>
    <w:r>
      <w:rPr>
        <w:rFonts w:ascii="Noto Sans" w:hAnsi="Noto Sans"/>
        <w:b/>
        <w:sz w:val="22"/>
      </w:rPr>
      <w:t xml:space="preserve">ecretaría de </w:t>
    </w:r>
    <w:r w:rsidR="00F05BFD">
      <w:rPr>
        <w:rFonts w:ascii="Noto Sans" w:hAnsi="Noto Sans"/>
        <w:b/>
        <w:sz w:val="22"/>
      </w:rPr>
      <w:t>Industria y Comercio</w:t>
    </w:r>
  </w:p>
  <w:p w:rsidR="009966CB" w:rsidRPr="009966CB" w:rsidRDefault="009966CB" w:rsidP="00FE6B8B">
    <w:pPr>
      <w:ind w:left="-426"/>
      <w:rPr>
        <w:rFonts w:ascii="Calibri" w:hAnsi="Calibri" w:cs="Calibri"/>
        <w:b/>
        <w:bCs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966058"/>
    <w:multiLevelType w:val="multilevel"/>
    <w:tmpl w:val="CF0EF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600E73"/>
    <w:multiLevelType w:val="multilevel"/>
    <w:tmpl w:val="F8E64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C74F6"/>
    <w:multiLevelType w:val="hybridMultilevel"/>
    <w:tmpl w:val="BD24C636"/>
    <w:lvl w:ilvl="0" w:tplc="040A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3" w15:restartNumberingAfterBreak="0">
    <w:nsid w:val="09B5062C"/>
    <w:multiLevelType w:val="multilevel"/>
    <w:tmpl w:val="E0D4B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5B75AF"/>
    <w:multiLevelType w:val="multilevel"/>
    <w:tmpl w:val="F990A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A051B"/>
    <w:multiLevelType w:val="multilevel"/>
    <w:tmpl w:val="F70C5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A26045"/>
    <w:multiLevelType w:val="hybridMultilevel"/>
    <w:tmpl w:val="2886F9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4B1544"/>
    <w:multiLevelType w:val="multilevel"/>
    <w:tmpl w:val="1DC45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0E7BD5"/>
    <w:multiLevelType w:val="multilevel"/>
    <w:tmpl w:val="E21E2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470303"/>
    <w:multiLevelType w:val="hybridMultilevel"/>
    <w:tmpl w:val="77764E7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613076"/>
    <w:multiLevelType w:val="multilevel"/>
    <w:tmpl w:val="DC600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637F62"/>
    <w:multiLevelType w:val="hybridMultilevel"/>
    <w:tmpl w:val="491E8574"/>
    <w:lvl w:ilvl="0" w:tplc="473632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D72D51"/>
    <w:multiLevelType w:val="hybridMultilevel"/>
    <w:tmpl w:val="B27E3374"/>
    <w:lvl w:ilvl="0" w:tplc="3A18FCB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7E7B97"/>
    <w:multiLevelType w:val="hybridMultilevel"/>
    <w:tmpl w:val="2A4A9C34"/>
    <w:lvl w:ilvl="0" w:tplc="BE928576">
      <w:numFmt w:val="bullet"/>
      <w:lvlText w:val="•"/>
      <w:lvlJc w:val="left"/>
      <w:pPr>
        <w:ind w:left="504" w:hanging="360"/>
      </w:pPr>
      <w:rPr>
        <w:rFonts w:ascii="Arial" w:eastAsia="Times New Roman" w:hAnsi="Arial" w:cs="Aria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F28E7"/>
    <w:multiLevelType w:val="multilevel"/>
    <w:tmpl w:val="B01CB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C0E56A7"/>
    <w:multiLevelType w:val="multilevel"/>
    <w:tmpl w:val="2B92D9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F13CCD"/>
    <w:multiLevelType w:val="multilevel"/>
    <w:tmpl w:val="AEEE5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7731D8"/>
    <w:multiLevelType w:val="hybridMultilevel"/>
    <w:tmpl w:val="E58CE21C"/>
    <w:lvl w:ilvl="0" w:tplc="0C348DAA">
      <w:start w:val="1"/>
      <w:numFmt w:val="upperRoman"/>
      <w:pStyle w:val="Ttulo4"/>
      <w:lvlText w:val="%1."/>
      <w:lvlJc w:val="left"/>
      <w:pPr>
        <w:ind w:left="1080" w:hanging="720"/>
      </w:pPr>
      <w:rPr>
        <w:rFonts w:hint="default"/>
        <w:b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270ACC"/>
    <w:multiLevelType w:val="multilevel"/>
    <w:tmpl w:val="DDDE2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6F1DE7"/>
    <w:multiLevelType w:val="multilevel"/>
    <w:tmpl w:val="AF8E5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745AEF"/>
    <w:multiLevelType w:val="multilevel"/>
    <w:tmpl w:val="77708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A90047D"/>
    <w:multiLevelType w:val="hybridMultilevel"/>
    <w:tmpl w:val="A822CF98"/>
    <w:lvl w:ilvl="0" w:tplc="BE928576">
      <w:numFmt w:val="bullet"/>
      <w:lvlText w:val="•"/>
      <w:lvlJc w:val="left"/>
      <w:pPr>
        <w:ind w:left="504" w:hanging="360"/>
      </w:pPr>
      <w:rPr>
        <w:rFonts w:ascii="Arial" w:eastAsia="Times New Roman" w:hAnsi="Arial" w:cs="Arial" w:hint="default"/>
      </w:rPr>
    </w:lvl>
    <w:lvl w:ilvl="1" w:tplc="040A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22" w15:restartNumberingAfterBreak="0">
    <w:nsid w:val="62203C88"/>
    <w:multiLevelType w:val="multilevel"/>
    <w:tmpl w:val="CC1C0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68072D"/>
    <w:multiLevelType w:val="hybridMultilevel"/>
    <w:tmpl w:val="050879D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157499"/>
    <w:multiLevelType w:val="multilevel"/>
    <w:tmpl w:val="C5827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66C00BF"/>
    <w:multiLevelType w:val="multilevel"/>
    <w:tmpl w:val="98102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7327C8"/>
    <w:multiLevelType w:val="hybridMultilevel"/>
    <w:tmpl w:val="4BBA90A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AA16731"/>
    <w:multiLevelType w:val="multilevel"/>
    <w:tmpl w:val="0A640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B60062"/>
    <w:multiLevelType w:val="hybridMultilevel"/>
    <w:tmpl w:val="F4BA4BB8"/>
    <w:lvl w:ilvl="0" w:tplc="473632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60E2529C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55585F"/>
    <w:multiLevelType w:val="multilevel"/>
    <w:tmpl w:val="EE748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0F537A"/>
    <w:multiLevelType w:val="multilevel"/>
    <w:tmpl w:val="4F386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536124"/>
    <w:multiLevelType w:val="multilevel"/>
    <w:tmpl w:val="F65CA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1B2C3D"/>
    <w:multiLevelType w:val="hybridMultilevel"/>
    <w:tmpl w:val="7A1B2C3E"/>
    <w:lvl w:ilvl="0" w:tplc="F266E762">
      <w:start w:val="1"/>
      <w:numFmt w:val="bullet"/>
      <w:lvlText w:val=""/>
      <w:lvlJc w:val="left"/>
      <w:pPr>
        <w:ind w:left="432" w:hanging="288"/>
      </w:pPr>
      <w:rPr>
        <w:rFonts w:ascii="Symbol" w:hAnsi="Symbol" w:hint="default"/>
      </w:rPr>
    </w:lvl>
    <w:lvl w:ilvl="1" w:tplc="1A44F988">
      <w:numFmt w:val="decimal"/>
      <w:lvlText w:val=""/>
      <w:lvlJc w:val="left"/>
    </w:lvl>
    <w:lvl w:ilvl="2" w:tplc="784A313A">
      <w:numFmt w:val="decimal"/>
      <w:lvlText w:val=""/>
      <w:lvlJc w:val="left"/>
    </w:lvl>
    <w:lvl w:ilvl="3" w:tplc="E940B9BA">
      <w:numFmt w:val="decimal"/>
      <w:lvlText w:val=""/>
      <w:lvlJc w:val="left"/>
    </w:lvl>
    <w:lvl w:ilvl="4" w:tplc="CE9E15B0">
      <w:numFmt w:val="decimal"/>
      <w:lvlText w:val=""/>
      <w:lvlJc w:val="left"/>
    </w:lvl>
    <w:lvl w:ilvl="5" w:tplc="803CE1A8">
      <w:numFmt w:val="decimal"/>
      <w:lvlText w:val=""/>
      <w:lvlJc w:val="left"/>
    </w:lvl>
    <w:lvl w:ilvl="6" w:tplc="7EBEE4BC">
      <w:numFmt w:val="decimal"/>
      <w:lvlText w:val=""/>
      <w:lvlJc w:val="left"/>
    </w:lvl>
    <w:lvl w:ilvl="7" w:tplc="AD3C62DA">
      <w:numFmt w:val="decimal"/>
      <w:lvlText w:val=""/>
      <w:lvlJc w:val="left"/>
    </w:lvl>
    <w:lvl w:ilvl="8" w:tplc="C35E76F4">
      <w:numFmt w:val="decimal"/>
      <w:lvlText w:val=""/>
      <w:lvlJc w:val="left"/>
    </w:lvl>
  </w:abstractNum>
  <w:abstractNum w:abstractNumId="33" w15:restartNumberingAfterBreak="0">
    <w:nsid w:val="7B7C15D2"/>
    <w:multiLevelType w:val="hybridMultilevel"/>
    <w:tmpl w:val="9E94116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7C1AA1"/>
    <w:multiLevelType w:val="multilevel"/>
    <w:tmpl w:val="749C2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6"/>
  </w:num>
  <w:num w:numId="3">
    <w:abstractNumId w:val="20"/>
  </w:num>
  <w:num w:numId="4">
    <w:abstractNumId w:val="34"/>
  </w:num>
  <w:num w:numId="5">
    <w:abstractNumId w:val="27"/>
  </w:num>
  <w:num w:numId="6">
    <w:abstractNumId w:val="10"/>
  </w:num>
  <w:num w:numId="7">
    <w:abstractNumId w:val="30"/>
  </w:num>
  <w:num w:numId="8">
    <w:abstractNumId w:val="8"/>
  </w:num>
  <w:num w:numId="9">
    <w:abstractNumId w:val="5"/>
  </w:num>
  <w:num w:numId="10">
    <w:abstractNumId w:val="16"/>
  </w:num>
  <w:num w:numId="11">
    <w:abstractNumId w:val="19"/>
  </w:num>
  <w:num w:numId="12">
    <w:abstractNumId w:val="18"/>
  </w:num>
  <w:num w:numId="13">
    <w:abstractNumId w:val="7"/>
  </w:num>
  <w:num w:numId="14">
    <w:abstractNumId w:val="14"/>
  </w:num>
  <w:num w:numId="15">
    <w:abstractNumId w:val="31"/>
  </w:num>
  <w:num w:numId="16">
    <w:abstractNumId w:val="0"/>
  </w:num>
  <w:num w:numId="17">
    <w:abstractNumId w:val="24"/>
  </w:num>
  <w:num w:numId="18">
    <w:abstractNumId w:val="15"/>
  </w:num>
  <w:num w:numId="19">
    <w:abstractNumId w:val="23"/>
  </w:num>
  <w:num w:numId="20">
    <w:abstractNumId w:val="26"/>
  </w:num>
  <w:num w:numId="21">
    <w:abstractNumId w:val="12"/>
  </w:num>
  <w:num w:numId="22">
    <w:abstractNumId w:val="1"/>
  </w:num>
  <w:num w:numId="23">
    <w:abstractNumId w:val="22"/>
  </w:num>
  <w:num w:numId="24">
    <w:abstractNumId w:val="25"/>
  </w:num>
  <w:num w:numId="25">
    <w:abstractNumId w:val="3"/>
  </w:num>
  <w:num w:numId="26">
    <w:abstractNumId w:val="4"/>
  </w:num>
  <w:num w:numId="27">
    <w:abstractNumId w:val="29"/>
  </w:num>
  <w:num w:numId="28">
    <w:abstractNumId w:val="9"/>
  </w:num>
  <w:num w:numId="29">
    <w:abstractNumId w:val="33"/>
  </w:num>
  <w:num w:numId="30">
    <w:abstractNumId w:val="32"/>
  </w:num>
  <w:num w:numId="31">
    <w:abstractNumId w:val="2"/>
  </w:num>
  <w:num w:numId="32">
    <w:abstractNumId w:val="21"/>
  </w:num>
  <w:num w:numId="33">
    <w:abstractNumId w:val="13"/>
  </w:num>
  <w:num w:numId="34">
    <w:abstractNumId w:val="11"/>
  </w:num>
  <w:num w:numId="35">
    <w:abstractNumId w:val="28"/>
  </w:num>
  <w:numIdMacAtCleanup w:val="1"/>
  <w:abstractNum w:abstractNumId="35">
    <w:lvl w:ilvl="0">
      <w:start w:val="1"/>
      <w:numFmt w:val="bullet"/>
      <w:lvlText w:val="•"/>
      <w:lvlJc w:val="left"/>
      <w:suff w:val="space"/>
    </w:lvl>
  </w:abstractNum>
  <w:num w:numId="36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3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  <w:compatSetting w:name="compatibilityMode" w:uri="http://schemas.microsoft.com/office/word" w:val="15"/>
  </w:compat>
  <w:rsids>
    <w:rsidRoot w:val="00A8694C"/>
    <w:rsid w:val="00002027"/>
    <w:rsid w:val="00003EA0"/>
    <w:rsid w:val="0000545B"/>
    <w:rsid w:val="000258F9"/>
    <w:rsid w:val="00025A89"/>
    <w:rsid w:val="00030E8C"/>
    <w:rsid w:val="0003237D"/>
    <w:rsid w:val="000377A6"/>
    <w:rsid w:val="00041BD6"/>
    <w:rsid w:val="000438FF"/>
    <w:rsid w:val="00043F02"/>
    <w:rsid w:val="00046781"/>
    <w:rsid w:val="00050586"/>
    <w:rsid w:val="00054CA4"/>
    <w:rsid w:val="00054FB9"/>
    <w:rsid w:val="000571C6"/>
    <w:rsid w:val="0006003F"/>
    <w:rsid w:val="000A3591"/>
    <w:rsid w:val="000A46AA"/>
    <w:rsid w:val="000A71DD"/>
    <w:rsid w:val="000B3C45"/>
    <w:rsid w:val="000D126D"/>
    <w:rsid w:val="000D5B48"/>
    <w:rsid w:val="000D796F"/>
    <w:rsid w:val="000E1551"/>
    <w:rsid w:val="000E263D"/>
    <w:rsid w:val="001106F9"/>
    <w:rsid w:val="00113971"/>
    <w:rsid w:val="00113ADD"/>
    <w:rsid w:val="001259AE"/>
    <w:rsid w:val="001317EA"/>
    <w:rsid w:val="00136317"/>
    <w:rsid w:val="0013733B"/>
    <w:rsid w:val="001410AA"/>
    <w:rsid w:val="00147D41"/>
    <w:rsid w:val="00151B05"/>
    <w:rsid w:val="00153B11"/>
    <w:rsid w:val="00154DA5"/>
    <w:rsid w:val="00155DFB"/>
    <w:rsid w:val="00177001"/>
    <w:rsid w:val="0018050E"/>
    <w:rsid w:val="00193DC0"/>
    <w:rsid w:val="00197050"/>
    <w:rsid w:val="00197ADD"/>
    <w:rsid w:val="001A6402"/>
    <w:rsid w:val="001B2972"/>
    <w:rsid w:val="001B300B"/>
    <w:rsid w:val="001B64D3"/>
    <w:rsid w:val="001C2D90"/>
    <w:rsid w:val="001C5436"/>
    <w:rsid w:val="001D27D6"/>
    <w:rsid w:val="001D4DE9"/>
    <w:rsid w:val="001E072F"/>
    <w:rsid w:val="001F561B"/>
    <w:rsid w:val="00204B82"/>
    <w:rsid w:val="00220619"/>
    <w:rsid w:val="002360E8"/>
    <w:rsid w:val="00246E09"/>
    <w:rsid w:val="00254C67"/>
    <w:rsid w:val="00290C17"/>
    <w:rsid w:val="00294C95"/>
    <w:rsid w:val="002B3D15"/>
    <w:rsid w:val="002C459E"/>
    <w:rsid w:val="002E0889"/>
    <w:rsid w:val="002E131D"/>
    <w:rsid w:val="002E3C28"/>
    <w:rsid w:val="002F4E7A"/>
    <w:rsid w:val="00320CA1"/>
    <w:rsid w:val="00341FF9"/>
    <w:rsid w:val="00344789"/>
    <w:rsid w:val="00360F50"/>
    <w:rsid w:val="0036312B"/>
    <w:rsid w:val="003817DF"/>
    <w:rsid w:val="003919F7"/>
    <w:rsid w:val="003B7AF4"/>
    <w:rsid w:val="003E400C"/>
    <w:rsid w:val="003E7119"/>
    <w:rsid w:val="003F7434"/>
    <w:rsid w:val="004135C9"/>
    <w:rsid w:val="00424E7E"/>
    <w:rsid w:val="0042728A"/>
    <w:rsid w:val="00431758"/>
    <w:rsid w:val="004362C5"/>
    <w:rsid w:val="00437209"/>
    <w:rsid w:val="00465707"/>
    <w:rsid w:val="004676E4"/>
    <w:rsid w:val="00470257"/>
    <w:rsid w:val="0047264F"/>
    <w:rsid w:val="004869A7"/>
    <w:rsid w:val="00486FFD"/>
    <w:rsid w:val="00491EE7"/>
    <w:rsid w:val="0049299F"/>
    <w:rsid w:val="00494C1B"/>
    <w:rsid w:val="00495548"/>
    <w:rsid w:val="004A74A4"/>
    <w:rsid w:val="004A78F6"/>
    <w:rsid w:val="004B221D"/>
    <w:rsid w:val="004C2B18"/>
    <w:rsid w:val="004D104B"/>
    <w:rsid w:val="004D2236"/>
    <w:rsid w:val="004D5A8C"/>
    <w:rsid w:val="004E388B"/>
    <w:rsid w:val="004E776E"/>
    <w:rsid w:val="004F3817"/>
    <w:rsid w:val="004F590A"/>
    <w:rsid w:val="0050130F"/>
    <w:rsid w:val="00502F3D"/>
    <w:rsid w:val="005267AC"/>
    <w:rsid w:val="00527411"/>
    <w:rsid w:val="005279B6"/>
    <w:rsid w:val="00550647"/>
    <w:rsid w:val="00580B12"/>
    <w:rsid w:val="00586B57"/>
    <w:rsid w:val="00587300"/>
    <w:rsid w:val="00591184"/>
    <w:rsid w:val="00591B3A"/>
    <w:rsid w:val="00593514"/>
    <w:rsid w:val="00593D76"/>
    <w:rsid w:val="005A57CC"/>
    <w:rsid w:val="005A6B97"/>
    <w:rsid w:val="005C3EB9"/>
    <w:rsid w:val="005D105A"/>
    <w:rsid w:val="00625F36"/>
    <w:rsid w:val="00646C52"/>
    <w:rsid w:val="00655D4F"/>
    <w:rsid w:val="0065662B"/>
    <w:rsid w:val="00661ED1"/>
    <w:rsid w:val="006626AF"/>
    <w:rsid w:val="00662863"/>
    <w:rsid w:val="00667278"/>
    <w:rsid w:val="00671DD9"/>
    <w:rsid w:val="0068031A"/>
    <w:rsid w:val="006808CC"/>
    <w:rsid w:val="00697E37"/>
    <w:rsid w:val="006A0811"/>
    <w:rsid w:val="006A1F60"/>
    <w:rsid w:val="006A3BB6"/>
    <w:rsid w:val="006F4646"/>
    <w:rsid w:val="00705DC8"/>
    <w:rsid w:val="007462AF"/>
    <w:rsid w:val="007471F1"/>
    <w:rsid w:val="0075390E"/>
    <w:rsid w:val="007759A6"/>
    <w:rsid w:val="007816C7"/>
    <w:rsid w:val="0078392B"/>
    <w:rsid w:val="0079704D"/>
    <w:rsid w:val="007B7560"/>
    <w:rsid w:val="007C74E0"/>
    <w:rsid w:val="007D06F1"/>
    <w:rsid w:val="007D3385"/>
    <w:rsid w:val="007F60B5"/>
    <w:rsid w:val="00810EC6"/>
    <w:rsid w:val="00815835"/>
    <w:rsid w:val="0082026B"/>
    <w:rsid w:val="00830352"/>
    <w:rsid w:val="00832176"/>
    <w:rsid w:val="0083711C"/>
    <w:rsid w:val="008544E1"/>
    <w:rsid w:val="0086418A"/>
    <w:rsid w:val="00864D64"/>
    <w:rsid w:val="00887FBD"/>
    <w:rsid w:val="00897B8A"/>
    <w:rsid w:val="00897E86"/>
    <w:rsid w:val="008A56B9"/>
    <w:rsid w:val="008B36BF"/>
    <w:rsid w:val="008B5764"/>
    <w:rsid w:val="008D09CA"/>
    <w:rsid w:val="008E3CE4"/>
    <w:rsid w:val="008F0109"/>
    <w:rsid w:val="008F2DC2"/>
    <w:rsid w:val="008F54BD"/>
    <w:rsid w:val="009117FA"/>
    <w:rsid w:val="009208B2"/>
    <w:rsid w:val="00927F12"/>
    <w:rsid w:val="00930605"/>
    <w:rsid w:val="00954E52"/>
    <w:rsid w:val="00964ACF"/>
    <w:rsid w:val="009667A4"/>
    <w:rsid w:val="009716AD"/>
    <w:rsid w:val="009755F8"/>
    <w:rsid w:val="00981CAC"/>
    <w:rsid w:val="00994331"/>
    <w:rsid w:val="00995175"/>
    <w:rsid w:val="009966CB"/>
    <w:rsid w:val="00997820"/>
    <w:rsid w:val="009B2B04"/>
    <w:rsid w:val="009D1660"/>
    <w:rsid w:val="009D513B"/>
    <w:rsid w:val="009D662C"/>
    <w:rsid w:val="009E6351"/>
    <w:rsid w:val="00A03BBA"/>
    <w:rsid w:val="00A25E9B"/>
    <w:rsid w:val="00A27EAB"/>
    <w:rsid w:val="00A34818"/>
    <w:rsid w:val="00A503BD"/>
    <w:rsid w:val="00A71E98"/>
    <w:rsid w:val="00A73CF4"/>
    <w:rsid w:val="00A84A08"/>
    <w:rsid w:val="00A8694C"/>
    <w:rsid w:val="00A87331"/>
    <w:rsid w:val="00A91676"/>
    <w:rsid w:val="00AA572B"/>
    <w:rsid w:val="00AA5821"/>
    <w:rsid w:val="00AE45C4"/>
    <w:rsid w:val="00B00ACC"/>
    <w:rsid w:val="00B109F8"/>
    <w:rsid w:val="00B131F1"/>
    <w:rsid w:val="00B2245F"/>
    <w:rsid w:val="00B23CE9"/>
    <w:rsid w:val="00B273F4"/>
    <w:rsid w:val="00B449E9"/>
    <w:rsid w:val="00B50C16"/>
    <w:rsid w:val="00B62B90"/>
    <w:rsid w:val="00B64AE2"/>
    <w:rsid w:val="00B72087"/>
    <w:rsid w:val="00B93C35"/>
    <w:rsid w:val="00B94BFE"/>
    <w:rsid w:val="00B96CD0"/>
    <w:rsid w:val="00BA690B"/>
    <w:rsid w:val="00BA7AF6"/>
    <w:rsid w:val="00BB1DC9"/>
    <w:rsid w:val="00BB3B44"/>
    <w:rsid w:val="00BB4307"/>
    <w:rsid w:val="00BC0BB8"/>
    <w:rsid w:val="00BC0F57"/>
    <w:rsid w:val="00BC2D1D"/>
    <w:rsid w:val="00BD38B1"/>
    <w:rsid w:val="00BE2C85"/>
    <w:rsid w:val="00BF5F01"/>
    <w:rsid w:val="00C0087D"/>
    <w:rsid w:val="00C062EB"/>
    <w:rsid w:val="00C122A4"/>
    <w:rsid w:val="00C176D8"/>
    <w:rsid w:val="00C2663E"/>
    <w:rsid w:val="00C33446"/>
    <w:rsid w:val="00C42F66"/>
    <w:rsid w:val="00C43081"/>
    <w:rsid w:val="00C619F7"/>
    <w:rsid w:val="00C62995"/>
    <w:rsid w:val="00C639EA"/>
    <w:rsid w:val="00C63AAF"/>
    <w:rsid w:val="00C65A1B"/>
    <w:rsid w:val="00C66897"/>
    <w:rsid w:val="00C67180"/>
    <w:rsid w:val="00C821D5"/>
    <w:rsid w:val="00C9207B"/>
    <w:rsid w:val="00CA567C"/>
    <w:rsid w:val="00CB13F4"/>
    <w:rsid w:val="00CB38B3"/>
    <w:rsid w:val="00CB70C5"/>
    <w:rsid w:val="00CD4A23"/>
    <w:rsid w:val="00CD7369"/>
    <w:rsid w:val="00CE633D"/>
    <w:rsid w:val="00D10BEE"/>
    <w:rsid w:val="00D2057E"/>
    <w:rsid w:val="00D2376F"/>
    <w:rsid w:val="00D23B89"/>
    <w:rsid w:val="00D2506F"/>
    <w:rsid w:val="00D263C6"/>
    <w:rsid w:val="00D60BF7"/>
    <w:rsid w:val="00D70252"/>
    <w:rsid w:val="00D70D18"/>
    <w:rsid w:val="00D83A01"/>
    <w:rsid w:val="00D90AAA"/>
    <w:rsid w:val="00D92277"/>
    <w:rsid w:val="00D974FD"/>
    <w:rsid w:val="00DA0C65"/>
    <w:rsid w:val="00DA44B8"/>
    <w:rsid w:val="00DB54A2"/>
    <w:rsid w:val="00DD2599"/>
    <w:rsid w:val="00DD4B7F"/>
    <w:rsid w:val="00DD6CF3"/>
    <w:rsid w:val="00DE64C2"/>
    <w:rsid w:val="00DE76A7"/>
    <w:rsid w:val="00E0538C"/>
    <w:rsid w:val="00E1407E"/>
    <w:rsid w:val="00E32E74"/>
    <w:rsid w:val="00E413F0"/>
    <w:rsid w:val="00E56F00"/>
    <w:rsid w:val="00E61388"/>
    <w:rsid w:val="00E7262E"/>
    <w:rsid w:val="00E76409"/>
    <w:rsid w:val="00E94CD4"/>
    <w:rsid w:val="00EA2751"/>
    <w:rsid w:val="00EA49C5"/>
    <w:rsid w:val="00EA51AD"/>
    <w:rsid w:val="00EB1C36"/>
    <w:rsid w:val="00EB1FB8"/>
    <w:rsid w:val="00ED0B2E"/>
    <w:rsid w:val="00F0340D"/>
    <w:rsid w:val="00F05BFD"/>
    <w:rsid w:val="00F05F40"/>
    <w:rsid w:val="00F06026"/>
    <w:rsid w:val="00F16AAF"/>
    <w:rsid w:val="00F231FC"/>
    <w:rsid w:val="00F26202"/>
    <w:rsid w:val="00F3290F"/>
    <w:rsid w:val="00F367B6"/>
    <w:rsid w:val="00F37BF3"/>
    <w:rsid w:val="00F43BA1"/>
    <w:rsid w:val="00F45090"/>
    <w:rsid w:val="00F53CD8"/>
    <w:rsid w:val="00F715E8"/>
    <w:rsid w:val="00F73ED8"/>
    <w:rsid w:val="00F83769"/>
    <w:rsid w:val="00F859CD"/>
    <w:rsid w:val="00F95ABF"/>
    <w:rsid w:val="00F9737C"/>
    <w:rsid w:val="00FA6B54"/>
    <w:rsid w:val="00FB178F"/>
    <w:rsid w:val="00FD0DC2"/>
    <w:rsid w:val="00FE2C1E"/>
    <w:rsid w:val="00FE6B8B"/>
    <w:rsid w:val="00FF0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788DCC13-AF70-4DF6-8663-0D0C6439A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4"/>
        <w:szCs w:val="24"/>
        <w:lang w:val="es-MX" w:eastAsia="es-MX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F7434"/>
    <w:pPr>
      <w:spacing w:before="0" w:after="0" w:line="240" w:lineRule="auto"/>
    </w:pPr>
    <w:rPr>
      <w:rFonts w:ascii="Noto Sans" w:eastAsia="Times New Roman" w:hAnsi="Noto Sans" w:cs="Times New Roman"/>
      <w:sz w:val="22"/>
      <w:lang w:eastAsia="es-ES_tradnl"/>
    </w:rPr>
  </w:style>
  <w:style w:type="paragraph" w:styleId="Ttulo1">
    <w:name w:val="heading 1"/>
    <w:basedOn w:val="Normal"/>
    <w:next w:val="Normal"/>
    <w:uiPriority w:val="9"/>
    <w:qFormat/>
    <w:rsid w:val="00CD7369"/>
    <w:pPr>
      <w:spacing w:before="0" w:after="0" w:line="240" w:lineRule="auto"/>
      <w:jc w:val="center"/>
      <w:outlineLvl w:val="0"/>
    </w:pPr>
    <w:rPr>
      <w:rFonts w:eastAsia="Noto Sans" w:cs="Noto Sans" w:ascii="Noto Sans" w:hAnsi="Noto Sans"/>
      <w:b/>
      <w:color w:val="670E35"/>
      <w:sz w:val="22"/>
      <w:lang w:eastAsia="es-MX"/>
    </w:rPr>
  </w:style>
  <w:style w:type="paragraph" w:styleId="Ttulo2">
    <w:name w:val="heading 2"/>
    <w:basedOn w:val="Normal"/>
    <w:next w:val="Normal"/>
    <w:uiPriority w:val="9"/>
    <w:unhideWhenUsed/>
    <w:qFormat/>
    <w:rsid w:val="00D70252"/>
    <w:pPr>
      <w:jc w:val="center"/>
      <w:outlineLvl w:val="1"/>
    </w:pPr>
    <w:rPr>
      <w:rFonts w:eastAsia="Montserrat Light" w:cs="Montserrat Light"/>
      <w:b/>
      <w:color w:val="666666"/>
      <w:lang w:eastAsia="es-MX"/>
    </w:rPr>
  </w:style>
  <w:style w:type="paragraph" w:styleId="Ttulo3">
    <w:name w:val="heading 3"/>
    <w:basedOn w:val="Normal"/>
    <w:next w:val="Normal"/>
    <w:uiPriority w:val="9"/>
    <w:unhideWhenUsed/>
    <w:qFormat/>
    <w:rsid w:val="00CD7369"/>
    <w:pPr>
      <w:shd w:val="clear" w:color="auto" w:fill="670E35"/>
      <w:outlineLvl w:val="2"/>
    </w:pPr>
    <w:rPr>
      <w:b/>
      <w:color w:val="FFFFFF"/>
      <w:lang w:eastAsia="es-MX"/>
    </w:rPr>
  </w:style>
  <w:style w:type="paragraph" w:styleId="Ttulo4">
    <w:name w:val="heading 4"/>
    <w:basedOn w:val="Normal"/>
    <w:next w:val="Normal"/>
    <w:uiPriority w:val="9"/>
    <w:unhideWhenUsed/>
    <w:qFormat/>
    <w:rsid w:val="00D70252"/>
    <w:pPr>
      <w:keepNext/>
      <w:keepLines/>
      <w:numPr>
        <w:numId w:val="1"/>
      </w:numPr>
      <w:spacing w:before="240" w:after="40"/>
      <w:ind w:left="709" w:hanging="709"/>
      <w:outlineLvl w:val="3"/>
    </w:pPr>
    <w:rPr>
      <w:b/>
      <w:lang w:eastAsia="es-MX"/>
    </w:rPr>
  </w:style>
  <w:style w:type="paragraph" w:styleId="Ttulo5">
    <w:name w:val="heading 5"/>
    <w:basedOn w:val="Ttulo2"/>
    <w:next w:val="Normal"/>
    <w:uiPriority w:val="9"/>
    <w:unhideWhenUsed/>
    <w:qFormat/>
    <w:rsid w:val="00D70252"/>
    <w:pPr>
      <w:jc w:val="right"/>
      <w:outlineLvl w:val="4"/>
    </w:pPr>
    <w:rPr>
      <w:b w:val="0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  <w:lang w:eastAsia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0" w:after="0" w:line="240" w:lineRule="auto"/>
    </w:pPr>
    <w:rPr>
      <w:rFonts w:ascii="Noto Sans" w:hAnsi="Noto Sans"/>
      <w:b/>
      <w:sz w:val="22"/>
      <w:szCs w:val="72"/>
      <w:lang w:eastAsia="es-MX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A73D65"/>
    <w:pPr>
      <w:tabs>
        <w:tab w:val="center" w:pos="4419"/>
        <w:tab w:val="right" w:pos="8838"/>
      </w:tabs>
    </w:pPr>
    <w:rPr>
      <w:lang w:eastAsia="es-MX"/>
    </w:rPr>
  </w:style>
  <w:style w:type="character" w:customStyle="1" w:styleId="EncabezadoCar">
    <w:name w:val="Encabezado Car"/>
    <w:basedOn w:val="Fuentedeprrafopredeter"/>
    <w:link w:val="Encabezado"/>
    <w:uiPriority w:val="99"/>
    <w:rsid w:val="00A73D65"/>
    <w:rPr>
      <w:rFonts w:eastAsiaTheme="minorEastAsia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A73D65"/>
    <w:pPr>
      <w:tabs>
        <w:tab w:val="center" w:pos="4419"/>
        <w:tab w:val="right" w:pos="8838"/>
      </w:tabs>
    </w:pPr>
    <w:rPr>
      <w:lang w:eastAsia="es-MX"/>
    </w:rPr>
  </w:style>
  <w:style w:type="character" w:customStyle="1" w:styleId="PiedepginaCar">
    <w:name w:val="Pie de página Car"/>
    <w:basedOn w:val="Fuentedeprrafopredeter"/>
    <w:link w:val="Piedepgina"/>
    <w:uiPriority w:val="99"/>
    <w:rsid w:val="00A73D65"/>
    <w:rPr>
      <w:rFonts w:eastAsiaTheme="minorEastAsia"/>
      <w:lang w:val="es-ES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  <w:lang w:eastAsia="es-MX"/>
    </w:rPr>
  </w:style>
  <w:style w:type="paragraph" w:styleId="NormalWeb">
    <w:name w:val="Normal (Web)"/>
    <w:basedOn w:val="Normal"/>
    <w:uiPriority w:val="99"/>
    <w:unhideWhenUsed/>
    <w:rsid w:val="00C84662"/>
    <w:pPr>
      <w:spacing w:before="100" w:beforeAutospacing="1" w:after="100" w:afterAutospacing="1"/>
    </w:pPr>
    <w:rPr>
      <w:lang w:eastAsia="es-MX"/>
    </w:rPr>
  </w:style>
  <w:style w:type="paragraph" w:styleId="Prrafodelista">
    <w:name w:val="List Paragraph"/>
    <w:basedOn w:val="Normal"/>
    <w:uiPriority w:val="34"/>
    <w:qFormat/>
    <w:rsid w:val="001E119D"/>
    <w:pPr>
      <w:ind w:left="720"/>
      <w:contextualSpacing/>
    </w:pPr>
    <w:rPr>
      <w:lang w:eastAsia="es-MX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1E119D"/>
    <w:rPr>
      <w:rFonts w:ascii="Segoe UI" w:hAnsi="Segoe UI" w:cs="Segoe UI"/>
      <w:sz w:val="18"/>
      <w:szCs w:val="18"/>
      <w:lang w:eastAsia="es-MX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E119D"/>
    <w:rPr>
      <w:rFonts w:ascii="Segoe UI" w:eastAsiaTheme="minorEastAsia" w:hAnsi="Segoe UI" w:cs="Segoe UI"/>
      <w:sz w:val="18"/>
      <w:szCs w:val="18"/>
      <w:lang w:val="es-ES"/>
    </w:rPr>
  </w:style>
  <w:style w:type="character" w:styleId="Hipervnculo">
    <w:name w:val="Hyperlink"/>
    <w:basedOn w:val="Fuentedeprrafopredeter"/>
    <w:uiPriority w:val="99"/>
    <w:unhideWhenUsed/>
    <w:rsid w:val="00021984"/>
    <w:rPr>
      <w:color w:val="0000FF"/>
      <w:u w:val="single"/>
    </w:rPr>
  </w:style>
  <w:style w:type="character" w:styleId="Textoennegrita">
    <w:name w:val="Strong"/>
    <w:basedOn w:val="Fuentedeprrafopredeter"/>
    <w:uiPriority w:val="22"/>
    <w:qFormat/>
    <w:rsid w:val="008D09CA"/>
    <w:rPr>
      <w:b/>
      <w:bCs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8D09CA"/>
    <w:rPr>
      <w:sz w:val="20"/>
      <w:szCs w:val="20"/>
      <w:lang w:eastAsia="es-MX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8D09CA"/>
    <w:rPr>
      <w:rFonts w:ascii="Montserrat" w:eastAsia="Montserrat" w:hAnsi="Montserrat" w:cs="Montserrat"/>
      <w:sz w:val="20"/>
      <w:szCs w:val="20"/>
      <w:lang w:val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8D09CA"/>
    <w:rPr>
      <w:vertAlign w:val="superscript"/>
    </w:rPr>
  </w:style>
  <w:style w:type="table" w:styleId="Tablaconcuadrcula">
    <w:name w:val="Table Grid"/>
    <w:basedOn w:val="Tablanormal"/>
    <w:uiPriority w:val="39"/>
    <w:rsid w:val="00E764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3">
    <w:name w:val="Grid Table 4 Accent 3"/>
    <w:basedOn w:val="Tablanormal"/>
    <w:uiPriority w:val="49"/>
    <w:rsid w:val="00C176D8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810EC6"/>
    <w:rPr>
      <w:color w:val="666666"/>
    </w:rPr>
  </w:style>
  <w:style w:type="character" w:styleId="Mencinsinresolver">
    <w:name w:val="Unresolved Mention"/>
    <w:basedOn w:val="Fuentedeprrafopredeter"/>
    <w:uiPriority w:val="99"/>
    <w:semiHidden/>
    <w:unhideWhenUsed/>
    <w:rsid w:val="0013733B"/>
    <w:rPr>
      <w:color w:val="605E5C"/>
      <w:shd w:val="clear" w:color="auto" w:fill="E1DFDD"/>
    </w:rPr>
  </w:style>
  <w:style w:type="paragraph" w:customStyle="1" w:styleId="n01">
    <w:name w:val="n01"/>
    <w:basedOn w:val="Normal"/>
    <w:rsid w:val="00431758"/>
    <w:pPr>
      <w:keepLines/>
      <w:spacing w:before="240"/>
      <w:ind w:left="720" w:hanging="720"/>
    </w:pPr>
    <w:rPr>
      <w:rFonts w:ascii="Univers (W1)" w:hAnsi="Univers (W1)" w:cs="Arial"/>
      <w:color w:val="800080"/>
      <w:lang w:val="es-ES_tradnl" w:eastAsia="es-ES"/>
    </w:rPr>
  </w:style>
  <w:style w:type="table" w:styleId="Tablaconcuadrcula1clara-nfasis6">
    <w:name w:val="Grid Table 1 Light Accent 6"/>
    <w:basedOn w:val="Tablanormal"/>
    <w:uiPriority w:val="46"/>
    <w:rsid w:val="00054FB9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2-nfasis6">
    <w:name w:val="Grid Table 2 Accent 6"/>
    <w:basedOn w:val="Tablanormal"/>
    <w:uiPriority w:val="47"/>
    <w:rsid w:val="00054FB9"/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character" w:styleId="Nmerodepgina">
    <w:name w:val="page number"/>
    <w:basedOn w:val="Fuentedeprrafopredeter"/>
    <w:uiPriority w:val="99"/>
    <w:semiHidden/>
    <w:unhideWhenUsed/>
    <w:rsid w:val="008544E1"/>
  </w:style>
  <w:style w:type="character" w:styleId="Hipervnculovisitado">
    <w:name w:val="FollowedHyperlink"/>
    <w:basedOn w:val="Fuentedeprrafopredeter"/>
    <w:uiPriority w:val="99"/>
    <w:semiHidden/>
    <w:unhideWhenUsed/>
    <w:rsid w:val="00502F3D"/>
    <w:rPr>
      <w:color w:val="96607D"/>
      <w:u w:val="single"/>
    </w:rPr>
  </w:style>
  <w:style w:type="paragraph" w:customStyle="1" w:styleId="msonormal0">
    <w:name w:val="msonormal"/>
    <w:basedOn w:val="Normal"/>
    <w:rsid w:val="00502F3D"/>
    <w:pPr>
      <w:spacing w:before="100" w:beforeAutospacing="1" w:after="100" w:afterAutospacing="1"/>
    </w:pPr>
    <w:rPr>
      <w:lang w:eastAsia="es-MX"/>
    </w:rPr>
  </w:style>
  <w:style w:type="paragraph" w:customStyle="1" w:styleId="xl65">
    <w:name w:val="xl65"/>
    <w:basedOn w:val="Normal"/>
    <w:rsid w:val="00502F3D"/>
    <w:pPr>
      <w:spacing w:before="100" w:beforeAutospacing="1" w:after="100" w:afterAutospacing="1"/>
    </w:pPr>
    <w:rPr>
      <w:lang w:eastAsia="es-MX"/>
    </w:rPr>
  </w:style>
  <w:style w:type="paragraph" w:customStyle="1" w:styleId="xl66">
    <w:name w:val="xl66"/>
    <w:basedOn w:val="Normal"/>
    <w:rsid w:val="00502F3D"/>
    <w:pPr>
      <w:spacing w:before="100" w:beforeAutospacing="1" w:after="100" w:afterAutospacing="1"/>
    </w:pPr>
    <w:rPr>
      <w:rFonts w:ascii="Calibri" w:hAnsi="Calibri" w:cs="Calibri"/>
      <w:color w:val="000000"/>
      <w:lang w:eastAsia="es-MX"/>
    </w:rPr>
  </w:style>
  <w:style w:type="table" w:styleId="Tablaconcuadrcula4-nfasis6">
    <w:name w:val="Grid Table 4 Accent 6"/>
    <w:basedOn w:val="Tablanormal"/>
    <w:uiPriority w:val="49"/>
    <w:rsid w:val="00502F3D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customStyle="1" w:styleId="xl67">
    <w:name w:val="xl67"/>
    <w:basedOn w:val="Normal"/>
    <w:rsid w:val="00E94CD4"/>
    <w:pPr>
      <w:spacing w:before="100" w:beforeAutospacing="1" w:after="100" w:afterAutospacing="1"/>
    </w:pPr>
    <w:rPr>
      <w:lang w:eastAsia="es-MX"/>
    </w:rPr>
  </w:style>
  <w:style w:type="paragraph" w:customStyle="1" w:styleId="xl68">
    <w:name w:val="xl68"/>
    <w:basedOn w:val="Normal"/>
    <w:rsid w:val="00E94CD4"/>
    <w:pPr>
      <w:spacing w:before="100" w:beforeAutospacing="1" w:after="100" w:afterAutospacing="1"/>
    </w:pPr>
    <w:rPr>
      <w:rFonts w:ascii="Calibri" w:hAnsi="Calibri" w:cs="Calibri"/>
      <w:color w:val="000000"/>
      <w:lang w:eastAsia="es-MX"/>
    </w:rPr>
  </w:style>
  <w:style w:type="paragraph" w:customStyle="1" w:styleId="pdq2pgselectionanchorcontainer">
    <w:name w:val="pdq2pg_selectionanchorcontainer"/>
    <w:basedOn w:val="Normal"/>
    <w:rsid w:val="00360F50"/>
    <w:pPr>
      <w:spacing w:before="100" w:beforeAutospacing="1" w:after="100" w:afterAutospacing="1"/>
    </w:pPr>
  </w:style>
  <w:style w:type="paragraph" w:customStyle="1" w:styleId="ListBullet">
    <w:name w:val="List Bullet"/>
    <w:pPr>
      <w:spacing w:before="0" w:after="0" w:line="240" w:lineRule="auto"/>
    </w:pPr>
    <w:rPr>
      <w:rFonts w:ascii="Noto Sans" w:hAnsi="Noto San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5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8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524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797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4048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2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6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002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91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74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201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91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292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42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6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3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62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70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230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677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198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34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002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0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84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626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760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2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0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6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6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4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9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3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8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0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91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968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497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679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676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13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5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54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5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66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54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43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525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795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087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78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9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39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4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5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1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21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554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3728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4926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601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26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9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33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5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82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7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774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947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82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87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63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66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415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1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7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4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6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1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0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89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1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585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658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69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31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94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015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14" Type="http://schemas.openxmlformats.org/officeDocument/2006/relationships/theme" Target="theme/theme1.xml"/><Relationship Id="rId9" Type="http://schemas.openxmlformats.org/officeDocument/2006/relationships/image" Target="media/image1.png"/><Relationship Id="rId15" Type="http://schemas.openxmlformats.org/officeDocument/2006/relationships/image" Target="media/image4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FpWPCfcsQFbrBypFpD4BWtRFLg==">CgMxLjA4AHIhMWpKWC1ZV1ZyUWxfelVTd2oxcUhWdVVqaW9sTHRWRGpD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6339060-3F28-D949-9895-241B815C15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209</Words>
  <Characters>1151</Characters>
  <Application>Microsoft Office Word</Application>
  <DocSecurity>0</DocSecurity>
  <Lines>9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Ximena Escobedo Juárez</dc:creator>
  <cp:lastModifiedBy>Luis Enrique Buendía</cp:lastModifiedBy>
  <cp:revision>29</cp:revision>
  <cp:lastPrinted>2026-06-17T17:31:00Z</cp:lastPrinted>
  <dcterms:created xsi:type="dcterms:W3CDTF">2026-07-24T04:18:00Z</dcterms:created>
  <dcterms:modified xsi:type="dcterms:W3CDTF">2026-09-25T04:20:00Z</dcterms:modified>
  <dc:title>IMOAM · septiembre de 2026</dc:title>
  <dc:subject>Nota ejecutiva de dos páginas; formato visual basado en la referencia ENOE</dc:subject>
</cp:coreProperties>
</file>