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EMIM · Agosto de 2026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Publicación 2026-10-16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Producción mensual 1.7%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4.1%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Encuesta Mensual de la Industria Manufacturera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En agosto de 2026, la producción manufacturera varió 1.7% mensual y 4.1% anual, con cifras desestacionalizadas.</w:t>
      </w:r>
    </w:p>
    <w:p>
      <w:pPr>
        <w:keepNext w:val="0"/>
        <w:spacing w:before="0" w:after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Las remuneraciones medias reales registraron 2.7% anual; en el mes variaron -0.2%.</w:t>
      </w:r>
    </w:p>
    <w:p>
      <w:pPr>
        <w:keepNext w:val="0"/>
        <w:spacing w:before="0" w:after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El personal ocupado varió -0.1% mensual y -1.0% anual; las horas trabajadas, 0.0% y -0.6%, respectivamente.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Producción y condiciones laborales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Producción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1.7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Personal ocupado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-1.0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Horas trabajadas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-0.6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Remuneraciones medias reales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-0.2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2.7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p. 3. Comparaciones desestacionalizadas; tasas publicadas, sin sumar componentes.</w:t>
      </w:r>
    </w:p>
    <w:p>
      <w:r>
        <w:drawing>
          <wp:inline xmlns:a="http://schemas.openxmlformats.org/drawingml/2006/main" xmlns:pic="http://schemas.openxmlformats.org/drawingml/2006/picture">
            <wp:extent cx="5532120" cy="1587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Cifras originales del sector manufacturero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Índice original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original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Producción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113.7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4.0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Personal ocupado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98.2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-1.0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Horas trabajadas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97.5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-1.0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Remuneraciones medias reales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119.1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2.1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cuadro 2, p. 4. Índice 2018=100; cifras preliminares. No son los índices desestacionalizados de la gráfica.</w:t>
      </w:r>
    </w:p>
    <w:p>
      <w:r>
        <w:br w:type="page"/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Desempeño por subsector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10 de 21 subsectores aumentaron su producción frente al mismo mes del año anterior; 5 registraron simultáneamente crecimiento de producción y empleo. Conteos no ponderados, en cifras originales.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Subsector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Producción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Empleo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Petróleo y carbón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23.5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Computación y electrónica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5.8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3.7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Maquinaria y equipo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Otras manufacturas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-3.8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-2.3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Prendas de vestir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-3.9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-2.6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Muebles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-8.5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-5.6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cuadro 2, p. 4. Tres mayores y tres menores tasas anuales de producción entre los 21 subsectores; empleo para la misma selección.</w:t>
      </w:r>
    </w:p>
    <w:p>
      <w:r>
        <w:drawing>
          <wp:inline xmlns:a="http://schemas.openxmlformats.org/drawingml/2006/main" xmlns:pic="http://schemas.openxmlformats.org/drawingml/2006/picture">
            <wp:extent cx="5532120" cy="172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Lectura sectorial</w:t>
      </w:r>
    </w:p>
    <w:p>
      <w:pPr>
        <w:keepNext w:val="0"/>
        <w:spacing w:before="0" w:after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La mayor tasa anual de producción fue la de petróleo y carbón (23.5%); su empleo varió 0.1%. Una tasa elevada no identifica la mayor aportación al total.</w:t>
      </w:r>
    </w:p>
    <w:p>
      <w:pPr>
        <w:keepNext w:val="0"/>
        <w:spacing w:before="0" w:after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La menor tasa de producción fue la de muebles (-8.5%), con -5.6% en personal ocupado.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Las remuneraciones medias reales están deflactadas con el INPC; no representan la masa salarial. Producción, personal y horas tienen distinta cobertura conceptual: no se deriva productividad con estos agregados.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Cifras originales preliminares. Los agregados desestacionalizados se ajustan de forma independiente. El empleo EMIM no equivale a puestos afiliados al IMSS. La encuesta manufacturera no mide toda la actividad industrial.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INEGI, boletín 627/26, publicado el 2026-10-16. Cuadros y metodología de la misma edición. Cifras sujetas a revisión.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https://www.inegi.org.mx/contenidos/saladeprensa/boletines/2026/emim/emim2026_10.pdf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EMIM Ago 26</dc:title>
  <dc:subject>Referencia visual aportada por el usuario — ENOE agosto 2026</dc:subject>
</cp:coreProperties>
</file>