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type="auto" w:w="0"/>
        <w:tblLayout w:type="fixed"/>
        <w:tblLook w:firstColumn="1" w:firstRow="1" w:lastColumn="0" w:lastRow="0" w:noHBand="0" w:noVBand="1" w:val="04A0"/>
      </w:tblPr>
      <w:tblGrid>
        <w:gridCol w:w="4392"/>
        <w:gridCol w:w="4392"/>
      </w:tblGrid>
      <w:tr>
        <w:trPr>
          <w:cantSplit/>
        </w:trPr>
        <w:tc>
          <w:tcPr>
            <w:tcW w:type="dxa" w:w="4392"/>
            <w:shd w:fill="10312B"/>
          </w:tcPr>
          <w:p>
            <w:pPr>
              <w:spacing w:before="0" w:after="0" w:line="240" w:lineRule="auto"/>
            </w:pPr>
            <w:r>
              <w:rPr>
                <w:rFonts w:ascii="Noto Sans" w:hAnsi="Noto Sans"/>
                <w:b/>
                <w:color w:val="FFFFFF"/>
                <w:sz w:val="20"/>
              </w:rPr>
              <w:t>EMOE · Septiembre de 2026</w:t>
            </w:r>
          </w:p>
        </w:tc>
        <w:tc>
          <w:tcPr>
            <w:tcW w:type="dxa" w:w="4392"/>
            <w:shd w:fill="10312B"/>
          </w:tcPr>
          <w:p>
            <w:pPr>
              <w:spacing w:before="0" w:after="0" w:line="240" w:lineRule="auto"/>
            </w:pPr>
            <w:r>
              <w:rPr>
                <w:rFonts w:ascii="Noto Sans" w:hAnsi="Noto Sans"/>
                <w:b/>
                <w:color w:val="FFFFFF"/>
                <w:sz w:val="20"/>
              </w:rPr>
              <w:t>Publicación 2026-10-01</w:t>
            </w:r>
          </w:p>
        </w:tc>
      </w:tr>
      <w:tr>
        <w:trPr>
          <w:cantSplit/>
        </w:trPr>
        <w:tc>
          <w:tcPr>
            <w:tcW w:type="dxa" w:w="4392"/>
            <w:shd w:fill="10312B"/>
          </w:tcPr>
          <w:p>
            <w:pPr>
              <w:spacing w:before="0" w:after="0" w:line="240" w:lineRule="auto"/>
            </w:pPr>
            <w:r>
              <w:rPr>
                <w:rFonts w:ascii="Noto Sans" w:hAnsi="Noto Sans"/>
                <w:b/>
                <w:color w:val="FFFFFF"/>
                <w:sz w:val="20"/>
              </w:rPr>
              <w:t>IGOEC 48.4 puntos</w:t>
            </w:r>
          </w:p>
        </w:tc>
        <w:tc>
          <w:tcPr>
            <w:tcW w:type="dxa" w:w="4392"/>
            <w:shd w:fill="10312B"/>
          </w:tcPr>
          <w:p>
            <w:pPr>
              <w:spacing w:before="0" w:after="0" w:line="240" w:lineRule="auto"/>
            </w:pPr>
            <w:r>
              <w:rPr>
                <w:rFonts w:ascii="Noto Sans" w:hAnsi="Noto Sans"/>
                <w:b/>
                <w:color w:val="FFFFFF"/>
                <w:sz w:val="20"/>
              </w:rPr>
              <w:t>Anual -1.0 puntos</w:t>
            </w:r>
          </w:p>
        </w:tc>
      </w:tr>
    </w:tbl>
    <w:p>
      <w:pPr>
        <w:keepNext w:val="0"/>
        <w:spacing w:before="0" w:after="0" w:line="240" w:lineRule="auto"/>
        <w:jc w:val="both"/>
      </w:pPr>
      <w:r>
        <w:rPr>
          <w:rFonts w:ascii="Noto Sans" w:hAnsi="Noto Sans"/>
          <w:b/>
          <w:color w:val="10312B"/>
          <w:sz w:val="22"/>
        </w:rPr>
        <w:t>Confianza empresarial</w:t>
      </w:r>
    </w:p>
    <w:p>
      <w:pPr>
        <w:keepNext w:val="0"/>
        <w:spacing w:before="0" w:after="0" w:line="240" w:lineRule="auto"/>
        <w:jc w:val="both"/>
      </w:pPr>
      <w:r>
        <w:rPr>
          <w:rFonts w:ascii="Noto Sans" w:hAnsi="Noto Sans"/>
          <w:b w:val="0"/>
          <w:color w:val="000000"/>
          <w:sz w:val="13"/>
        </w:rPr>
      </w:r>
    </w:p>
    <w:p>
      <w:pPr>
        <w:keepNext/>
        <w:spacing w:before="0" w:after="0" w:line="240" w:lineRule="auto"/>
        <w:jc w:val="both"/>
      </w:pPr>
      <w:r>
        <w:rPr>
          <w:rFonts w:ascii="Noto Sans" w:hAnsi="Noto Sans"/>
          <w:b/>
          <w:color w:val="235B4C"/>
          <w:sz w:val="22"/>
        </w:rPr>
        <w:t>Resumen ejecutivo</w:t>
      </w:r>
    </w:p>
    <w:p>
      <w:pPr>
        <w:keepNext w:val="0"/>
        <w:spacing w:before="0" w:after="0" w:line="240" w:lineRule="auto"/>
        <w:jc w:val="both"/>
      </w:pPr>
      <w:r>
        <w:rPr>
          <w:rFonts w:ascii="Noto Sans" w:hAnsi="Noto Sans"/>
          <w:b w:val="0"/>
          <w:color w:val="000000"/>
          <w:sz w:val="22"/>
        </w:rPr>
        <w:t>En septiembre de 2026, el IGOEC registró 48.4 puntos, con una diferencia mensual de 0.1 puntos y anual de -1.0 puntos, en cifras desestacionalizadas.</w:t>
      </w:r>
    </w:p>
    <w:p>
      <w:pPr>
        <w:keepNext w:val="0"/>
        <w:spacing w:before="0" w:after="0" w:line="240" w:lineRule="auto"/>
        <w:jc w:val="both"/>
        <w:numPr>
          <w:ilvl w:val="0"/>
          <w:numId w:val="36"/>
        </w:numPr>
      </w:pPr>
      <w:r>
        <w:rPr>
          <w:rFonts w:ascii="Noto Sans" w:hAnsi="Noto Sans"/>
          <w:b w:val="0"/>
          <w:color w:val="000000"/>
          <w:sz w:val="22"/>
        </w:rPr>
        <w:t>Sectores con aumento mensual: construcción, comercio. Sectores con disminución: servicios no financieros.</w:t>
      </w:r>
    </w:p>
    <w:p>
      <w:pPr>
        <w:keepNext w:val="0"/>
        <w:spacing w:before="0" w:after="0" w:line="240" w:lineRule="auto"/>
        <w:jc w:val="both"/>
        <w:numPr>
          <w:ilvl w:val="0"/>
          <w:numId w:val="36"/>
        </w:numPr>
      </w:pPr>
      <w:r>
        <w:rPr>
          <w:rFonts w:ascii="Noto Sans" w:hAnsi="Noto Sans"/>
          <w:b w:val="0"/>
          <w:color w:val="000000"/>
          <w:sz w:val="22"/>
        </w:rPr>
        <w:t>4 de cuatro indicadores sectoriales se ubicaron por debajo del umbral de 50 puntos. Las opiniones describen percepciones empresariales, no producción observada.</w:t>
      </w:r>
    </w:p>
    <w:p>
      <w:pPr>
        <w:keepNext w:val="0"/>
        <w:spacing w:before="0" w:after="0" w:line="240" w:lineRule="auto"/>
        <w:jc w:val="both"/>
      </w:pPr>
      <w:r>
        <w:rPr>
          <w:rFonts w:ascii="Noto Sans" w:hAnsi="Noto Sans"/>
          <w:b w:val="0"/>
          <w:color w:val="000000"/>
          <w:sz w:val="13"/>
        </w:rPr>
      </w:r>
    </w:p>
    <w:p>
      <w:pPr>
        <w:keepNext/>
        <w:spacing w:before="0" w:after="0" w:line="240" w:lineRule="auto"/>
        <w:jc w:val="both"/>
      </w:pPr>
      <w:r>
        <w:rPr>
          <w:rFonts w:ascii="Noto Sans" w:hAnsi="Noto Sans"/>
          <w:b/>
          <w:color w:val="235B4C"/>
          <w:sz w:val="22"/>
        </w:rPr>
        <w:t>Confianza por sector</w:t>
      </w:r>
    </w:p>
    <w:tbl>
      <w:tblPr>
        <w:tblW w:type="auto" w:w="0"/>
        <w:tblLayout w:type="fixed"/>
        <w:tblLook w:firstColumn="1" w:firstRow="1" w:lastColumn="0" w:lastRow="0" w:noHBand="0" w:noVBand="1" w:val="04A0"/>
      </w:tblPr>
      <w:tblGrid>
        <w:gridCol w:w="3816"/>
        <w:gridCol w:w="1656"/>
        <w:gridCol w:w="1656"/>
        <w:gridCol w:w="1656"/>
      </w:tblGrid>
      <w:tr>
        <w:trPr>
          <w:cantSplit/>
        </w:trPr>
        <w:tc>
          <w:tcPr>
            <w:tcW w:type="dxa" w:w="3816"/>
            <w:shd w:fill="10312B"/>
          </w:tcPr>
          <w:p>
            <w:pPr>
              <w:spacing w:before="0" w:after="0" w:line="240" w:lineRule="auto"/>
            </w:pPr>
            <w:r>
              <w:rPr>
                <w:rFonts w:ascii="Noto Sans" w:hAnsi="Noto Sans"/>
                <w:b/>
                <w:color w:val="FFFFFF"/>
                <w:sz w:val="20"/>
              </w:rPr>
              <w:t>Sector y serie</w:t>
            </w:r>
          </w:p>
        </w:tc>
        <w:tc>
          <w:tcPr>
            <w:tcW w:type="dxa" w:w="1656"/>
            <w:shd w:fill="10312B"/>
          </w:tcPr>
          <w:p>
            <w:pPr>
              <w:spacing w:before="0" w:after="0" w:line="240" w:lineRule="auto"/>
            </w:pPr>
            <w:r>
              <w:rPr>
                <w:rFonts w:ascii="Noto Sans" w:hAnsi="Noto Sans"/>
                <w:b/>
                <w:color w:val="FFFFFF"/>
                <w:sz w:val="20"/>
              </w:rPr>
              <w:t>Nivel (pts)</w:t>
            </w:r>
          </w:p>
        </w:tc>
        <w:tc>
          <w:tcPr>
            <w:tcW w:type="dxa" w:w="1656"/>
            <w:shd w:fill="10312B"/>
          </w:tcPr>
          <w:p>
            <w:pPr>
              <w:spacing w:before="0" w:after="0" w:line="240" w:lineRule="auto"/>
            </w:pPr>
            <w:r>
              <w:rPr>
                <w:rFonts w:ascii="Noto Sans" w:hAnsi="Noto Sans"/>
                <w:b/>
                <w:color w:val="FFFFFF"/>
                <w:sz w:val="20"/>
              </w:rPr>
              <w:t>Mensual (pts)</w:t>
            </w:r>
          </w:p>
        </w:tc>
        <w:tc>
          <w:tcPr>
            <w:tcW w:type="dxa" w:w="1656"/>
            <w:shd w:fill="10312B"/>
          </w:tcPr>
          <w:p>
            <w:pPr>
              <w:spacing w:before="0" w:after="0" w:line="240" w:lineRule="auto"/>
            </w:pPr>
            <w:r>
              <w:rPr>
                <w:rFonts w:ascii="Noto Sans" w:hAnsi="Noto Sans"/>
                <w:b/>
                <w:color w:val="FFFFFF"/>
                <w:sz w:val="20"/>
              </w:rPr>
              <w:t>Anual (pts)</w:t>
            </w:r>
          </w:p>
        </w:tc>
      </w:tr>
      <w:tr>
        <w:trPr>
          <w:cantSplit/>
        </w:trPr>
        <w:tc>
          <w:tcPr>
            <w:tcW w:type="dxa" w:w="3816"/>
            <w:shd w:fill="F4F4F2"/>
          </w:tcPr>
          <w:p>
            <w:pPr>
              <w:spacing w:before="0" w:after="0" w:line="240" w:lineRule="auto"/>
            </w:pPr>
            <w:r>
              <w:rPr>
                <w:rFonts w:ascii="Noto Sans" w:hAnsi="Noto Sans"/>
                <w:b w:val="0"/>
                <w:color w:val="000000"/>
                <w:sz w:val="20"/>
              </w:rPr>
              <w:t>Manufacturas (D)</w:t>
            </w:r>
          </w:p>
        </w:tc>
        <w:tc>
          <w:tcPr>
            <w:tcW w:type="dxa" w:w="1656"/>
            <w:shd w:fill="F4F4F2"/>
          </w:tcPr>
          <w:p>
            <w:pPr>
              <w:spacing w:before="0" w:after="0" w:line="240" w:lineRule="auto"/>
            </w:pPr>
            <w:r>
              <w:rPr>
                <w:rFonts w:ascii="Noto Sans" w:hAnsi="Noto Sans"/>
                <w:b w:val="0"/>
                <w:color w:val="000000"/>
                <w:sz w:val="20"/>
              </w:rPr>
              <w:t>48.0</w:t>
            </w:r>
          </w:p>
        </w:tc>
        <w:tc>
          <w:tcPr>
            <w:tcW w:type="dxa" w:w="1656"/>
            <w:shd w:fill="F4F4F2"/>
          </w:tcPr>
          <w:p>
            <w:pPr>
              <w:spacing w:before="0" w:after="0" w:line="240" w:lineRule="auto"/>
            </w:pPr>
            <w:r>
              <w:rPr>
                <w:rFonts w:ascii="Noto Sans" w:hAnsi="Noto Sans"/>
                <w:b w:val="0"/>
                <w:color w:val="000000"/>
                <w:sz w:val="20"/>
              </w:rPr>
              <w:t>0.0</w:t>
            </w:r>
          </w:p>
        </w:tc>
        <w:tc>
          <w:tcPr>
            <w:tcW w:type="dxa" w:w="1656"/>
            <w:shd w:fill="F4F4F2"/>
          </w:tcPr>
          <w:p>
            <w:pPr>
              <w:spacing w:before="0" w:after="0" w:line="240" w:lineRule="auto"/>
            </w:pPr>
            <w:r>
              <w:rPr>
                <w:rFonts w:ascii="Noto Sans" w:hAnsi="Noto Sans"/>
                <w:b w:val="0"/>
                <w:color w:val="000000"/>
                <w:sz w:val="20"/>
              </w:rPr>
              <w:t>-1.3</w:t>
            </w:r>
          </w:p>
        </w:tc>
      </w:tr>
      <w:tr>
        <w:trPr>
          <w:cantSplit/>
        </w:trPr>
        <w:tc>
          <w:tcPr>
            <w:tcW w:type="dxa" w:w="3816"/>
            <w:shd w:fill="FFFFFF"/>
          </w:tcPr>
          <w:p>
            <w:pPr>
              <w:spacing w:before="0" w:after="0" w:line="240" w:lineRule="auto"/>
            </w:pPr>
            <w:r>
              <w:rPr>
                <w:rFonts w:ascii="Noto Sans" w:hAnsi="Noto Sans"/>
                <w:b w:val="0"/>
                <w:color w:val="000000"/>
                <w:sz w:val="20"/>
              </w:rPr>
              <w:t>Construcción (O)</w:t>
            </w:r>
          </w:p>
        </w:tc>
        <w:tc>
          <w:tcPr>
            <w:tcW w:type="dxa" w:w="1656"/>
            <w:shd w:fill="FFFFFF"/>
          </w:tcPr>
          <w:p>
            <w:pPr>
              <w:spacing w:before="0" w:after="0" w:line="240" w:lineRule="auto"/>
            </w:pPr>
            <w:r>
              <w:rPr>
                <w:rFonts w:ascii="Noto Sans" w:hAnsi="Noto Sans"/>
                <w:b w:val="0"/>
                <w:color w:val="000000"/>
                <w:sz w:val="20"/>
              </w:rPr>
              <w:t>47.8</w:t>
            </w:r>
          </w:p>
        </w:tc>
        <w:tc>
          <w:tcPr>
            <w:tcW w:type="dxa" w:w="1656"/>
            <w:shd w:fill="FFFFFF"/>
          </w:tcPr>
          <w:p>
            <w:pPr>
              <w:spacing w:before="0" w:after="0" w:line="240" w:lineRule="auto"/>
            </w:pPr>
            <w:r>
              <w:rPr>
                <w:rFonts w:ascii="Noto Sans" w:hAnsi="Noto Sans"/>
                <w:b w:val="0"/>
                <w:color w:val="000000"/>
                <w:sz w:val="20"/>
              </w:rPr>
              <w:t>0.4</w:t>
            </w:r>
          </w:p>
        </w:tc>
        <w:tc>
          <w:tcPr>
            <w:tcW w:type="dxa" w:w="1656"/>
            <w:shd w:fill="FFFFFF"/>
          </w:tcPr>
          <w:p>
            <w:pPr>
              <w:spacing w:before="0" w:after="0" w:line="240" w:lineRule="auto"/>
            </w:pPr>
            <w:r>
              <w:rPr>
                <w:rFonts w:ascii="Noto Sans" w:hAnsi="Noto Sans"/>
                <w:b w:val="0"/>
                <w:color w:val="000000"/>
                <w:sz w:val="20"/>
              </w:rPr>
              <w:t>1.3</w:t>
            </w:r>
          </w:p>
        </w:tc>
      </w:tr>
      <w:tr>
        <w:trPr>
          <w:cantSplit/>
        </w:trPr>
        <w:tc>
          <w:tcPr>
            <w:tcW w:type="dxa" w:w="3816"/>
            <w:shd w:fill="F4F4F2"/>
          </w:tcPr>
          <w:p>
            <w:pPr>
              <w:spacing w:before="0" w:after="0" w:line="240" w:lineRule="auto"/>
            </w:pPr>
            <w:r>
              <w:rPr>
                <w:rFonts w:ascii="Noto Sans" w:hAnsi="Noto Sans"/>
                <w:b w:val="0"/>
                <w:color w:val="000000"/>
                <w:sz w:val="20"/>
              </w:rPr>
              <w:t>Comercio (O)</w:t>
            </w:r>
          </w:p>
        </w:tc>
        <w:tc>
          <w:tcPr>
            <w:tcW w:type="dxa" w:w="1656"/>
            <w:shd w:fill="F4F4F2"/>
          </w:tcPr>
          <w:p>
            <w:pPr>
              <w:spacing w:before="0" w:after="0" w:line="240" w:lineRule="auto"/>
            </w:pPr>
            <w:r>
              <w:rPr>
                <w:rFonts w:ascii="Noto Sans" w:hAnsi="Noto Sans"/>
                <w:b w:val="0"/>
                <w:color w:val="000000"/>
                <w:sz w:val="20"/>
              </w:rPr>
              <w:t>48.9</w:t>
            </w:r>
          </w:p>
        </w:tc>
        <w:tc>
          <w:tcPr>
            <w:tcW w:type="dxa" w:w="1656"/>
            <w:shd w:fill="F4F4F2"/>
          </w:tcPr>
          <w:p>
            <w:pPr>
              <w:spacing w:before="0" w:after="0" w:line="240" w:lineRule="auto"/>
            </w:pPr>
            <w:r>
              <w:rPr>
                <w:rFonts w:ascii="Noto Sans" w:hAnsi="Noto Sans"/>
                <w:b w:val="0"/>
                <w:color w:val="000000"/>
                <w:sz w:val="20"/>
              </w:rPr>
              <w:t>0.7</w:t>
            </w:r>
          </w:p>
        </w:tc>
        <w:tc>
          <w:tcPr>
            <w:tcW w:type="dxa" w:w="1656"/>
            <w:shd w:fill="F4F4F2"/>
          </w:tcPr>
          <w:p>
            <w:pPr>
              <w:spacing w:before="0" w:after="0" w:line="240" w:lineRule="auto"/>
            </w:pPr>
            <w:r>
              <w:rPr>
                <w:rFonts w:ascii="Noto Sans" w:hAnsi="Noto Sans"/>
                <w:b w:val="0"/>
                <w:color w:val="000000"/>
                <w:sz w:val="20"/>
              </w:rPr>
              <w:t>0.7</w:t>
            </w:r>
          </w:p>
        </w:tc>
      </w:tr>
      <w:tr>
        <w:trPr>
          <w:cantSplit/>
        </w:trPr>
        <w:tc>
          <w:tcPr>
            <w:tcW w:type="dxa" w:w="3816"/>
            <w:shd w:fill="FFFFFF"/>
          </w:tcPr>
          <w:p>
            <w:pPr>
              <w:spacing w:before="0" w:after="0" w:line="240" w:lineRule="auto"/>
            </w:pPr>
            <w:r>
              <w:rPr>
                <w:rFonts w:ascii="Noto Sans" w:hAnsi="Noto Sans"/>
                <w:b w:val="0"/>
                <w:color w:val="000000"/>
                <w:sz w:val="20"/>
              </w:rPr>
              <w:t>Servicios no financieros (O)</w:t>
            </w:r>
          </w:p>
        </w:tc>
        <w:tc>
          <w:tcPr>
            <w:tcW w:type="dxa" w:w="1656"/>
            <w:shd w:fill="FFFFFF"/>
          </w:tcPr>
          <w:p>
            <w:pPr>
              <w:spacing w:before="0" w:after="0" w:line="240" w:lineRule="auto"/>
            </w:pPr>
            <w:r>
              <w:rPr>
                <w:rFonts w:ascii="Noto Sans" w:hAnsi="Noto Sans"/>
                <w:b w:val="0"/>
                <w:color w:val="000000"/>
                <w:sz w:val="20"/>
              </w:rPr>
              <w:t>48.4</w:t>
            </w:r>
          </w:p>
        </w:tc>
        <w:tc>
          <w:tcPr>
            <w:tcW w:type="dxa" w:w="1656"/>
            <w:shd w:fill="FFFFFF"/>
          </w:tcPr>
          <w:p>
            <w:pPr>
              <w:spacing w:before="0" w:after="0" w:line="240" w:lineRule="auto"/>
            </w:pPr>
            <w:r>
              <w:rPr>
                <w:rFonts w:ascii="Noto Sans" w:hAnsi="Noto Sans"/>
                <w:b w:val="0"/>
                <w:color w:val="000000"/>
                <w:sz w:val="20"/>
              </w:rPr>
              <w:t>-0.2</w:t>
            </w:r>
          </w:p>
        </w:tc>
        <w:tc>
          <w:tcPr>
            <w:tcW w:type="dxa" w:w="1656"/>
            <w:shd w:fill="FFFFFF"/>
          </w:tcPr>
          <w:p>
            <w:pPr>
              <w:spacing w:before="0" w:after="0" w:line="240" w:lineRule="auto"/>
            </w:pPr>
            <w:r>
              <w:rPr>
                <w:rFonts w:ascii="Noto Sans" w:hAnsi="Noto Sans"/>
                <w:b w:val="0"/>
                <w:color w:val="000000"/>
                <w:sz w:val="20"/>
              </w:rPr>
              <w:t>-2.1</w:t>
            </w:r>
          </w:p>
        </w:tc>
      </w:tr>
    </w:tbl>
    <w:p>
      <w:pPr>
        <w:keepNext w:val="0"/>
        <w:spacing w:before="0" w:after="0" w:line="240" w:lineRule="auto"/>
        <w:jc w:val="both"/>
      </w:pPr>
      <w:r>
        <w:rPr>
          <w:rFonts w:ascii="Noto Sans" w:hAnsi="Noto Sans"/>
          <w:b w:val="0"/>
          <w:color w:val="666666"/>
          <w:sz w:val="16"/>
        </w:rPr>
        <w:t>D: desestacionalizada. O: original, sin patrón estacional definido en esta edición. Fuente: cuadros 1–4, pp. 2–4. Las diferencias están en puntos, no en porcentajes.</w:t>
      </w:r>
    </w:p>
    <w:p>
      <w:r>
        <w:drawing>
          <wp:inline xmlns:a="http://schemas.openxmlformats.org/drawingml/2006/main" xmlns:pic="http://schemas.openxmlformats.org/drawingml/2006/picture">
            <wp:extent cx="5532120" cy="1587084"/>
            <wp:docPr id="1" name="Picture 1"/>
            <wp:cNvGraphicFramePr>
              <a:graphicFrameLocks noChangeAspect="1"/>
            </wp:cNvGraphicFramePr>
            <a:graphic>
              <a:graphicData uri="http://schemas.openxmlformats.org/drawingml/2006/picture">
                <pic:pic>
                  <pic:nvPicPr>
                    <pic:cNvPr id="0" name="mensual.png"/>
                    <pic:cNvPicPr/>
                  </pic:nvPicPr>
                  <pic:blipFill>
                    <a:blip r:embed="rId9"/>
                    <a:stretch>
                      <a:fillRect/>
                    </a:stretch>
                  </pic:blipFill>
                  <pic:spPr>
                    <a:xfrm>
                      <a:off x="0" y="0"/>
                      <a:ext cx="5532120" cy="1587084"/>
                    </a:xfrm>
                    <a:prstGeom prst="rect"/>
                  </pic:spPr>
                </pic:pic>
              </a:graphicData>
            </a:graphic>
          </wp:inline>
        </w:drawing>
      </w:r>
    </w:p>
    <w:p>
      <w:pPr>
        <w:keepNext w:val="0"/>
        <w:spacing w:before="0" w:after="0" w:line="240" w:lineRule="auto"/>
        <w:jc w:val="both"/>
      </w:pPr>
      <w:r>
        <w:rPr>
          <w:rFonts w:ascii="Noto Sans" w:hAnsi="Noto Sans"/>
          <w:b w:val="0"/>
          <w:color w:val="000000"/>
          <w:sz w:val="13"/>
        </w:rPr>
      </w:r>
    </w:p>
    <w:p>
      <w:pPr>
        <w:keepNext/>
        <w:spacing w:before="0" w:after="0" w:line="240" w:lineRule="auto"/>
        <w:jc w:val="both"/>
      </w:pPr>
      <w:r>
        <w:rPr>
          <w:rFonts w:ascii="Noto Sans" w:hAnsi="Noto Sans"/>
          <w:b/>
          <w:color w:val="235B4C"/>
          <w:sz w:val="22"/>
        </w:rPr>
        <w:t>Lectura del umbral</w:t>
      </w:r>
    </w:p>
    <w:p>
      <w:pPr>
        <w:keepNext w:val="0"/>
        <w:spacing w:before="0" w:after="0" w:line="240" w:lineRule="auto"/>
        <w:jc w:val="both"/>
      </w:pPr>
      <w:r>
        <w:rPr>
          <w:rFonts w:ascii="Noto Sans" w:hAnsi="Noto Sans"/>
          <w:b w:val="0"/>
          <w:color w:val="000000"/>
          <w:sz w:val="22"/>
        </w:rPr>
        <w:t>El ICE se centra en 50 puntos. Valores superiores reflejan una percepción favorable; valores inferiores, una expectativa menos favorable. El IGOEC se calcula con ponderaciones sectoriales y no es el promedio simple de los niveles de este cuadro.</w:t>
      </w:r>
    </w:p>
    <w:p>
      <w:r>
        <w:br w:type="page"/>
      </w:r>
    </w:p>
    <w:p>
      <w:pPr>
        <w:keepNext w:val="0"/>
        <w:spacing w:before="0" w:after="0" w:line="240" w:lineRule="auto"/>
        <w:jc w:val="both"/>
      </w:pPr>
      <w:r>
        <w:rPr>
          <w:rFonts w:ascii="Noto Sans" w:hAnsi="Noto Sans"/>
          <w:b w:val="0"/>
          <w:color w:val="000000"/>
          <w:sz w:val="13"/>
        </w:rPr>
      </w:r>
    </w:p>
    <w:p>
      <w:pPr>
        <w:keepNext/>
        <w:spacing w:before="0" w:after="0" w:line="240" w:lineRule="auto"/>
        <w:jc w:val="both"/>
      </w:pPr>
      <w:r>
        <w:rPr>
          <w:rFonts w:ascii="Noto Sans" w:hAnsi="Noto Sans"/>
          <w:b/>
          <w:color w:val="235B4C"/>
          <w:sz w:val="22"/>
        </w:rPr>
        <w:t>Percepciones de inversión y de la empresa</w:t>
      </w:r>
    </w:p>
    <w:tbl>
      <w:tblPr>
        <w:tblW w:type="auto" w:w="0"/>
        <w:tblLayout w:type="fixed"/>
        <w:tblLook w:firstColumn="1" w:firstRow="1" w:lastColumn="0" w:lastRow="0" w:noHBand="0" w:noVBand="1" w:val="04A0"/>
      </w:tblPr>
      <w:tblGrid>
        <w:gridCol w:w="3816"/>
        <w:gridCol w:w="1656"/>
        <w:gridCol w:w="1656"/>
        <w:gridCol w:w="1656"/>
      </w:tblGrid>
      <w:tr>
        <w:trPr>
          <w:cantSplit/>
        </w:trPr>
        <w:tc>
          <w:tcPr>
            <w:tcW w:type="dxa" w:w="3816"/>
            <w:shd w:fill="10312B"/>
          </w:tcPr>
          <w:p>
            <w:pPr>
              <w:spacing w:before="0" w:after="0" w:line="240" w:lineRule="auto"/>
            </w:pPr>
            <w:r>
              <w:rPr>
                <w:rFonts w:ascii="Noto Sans" w:hAnsi="Noto Sans"/>
                <w:b/>
                <w:color w:val="FFFFFF"/>
                <w:sz w:val="20"/>
              </w:rPr>
              <w:t>Sector</w:t>
            </w:r>
          </w:p>
        </w:tc>
        <w:tc>
          <w:tcPr>
            <w:tcW w:type="dxa" w:w="1656"/>
            <w:shd w:fill="10312B"/>
          </w:tcPr>
          <w:p>
            <w:pPr>
              <w:spacing w:before="0" w:after="0" w:line="240" w:lineRule="auto"/>
            </w:pPr>
            <w:r>
              <w:rPr>
                <w:rFonts w:ascii="Noto Sans" w:hAnsi="Noto Sans"/>
                <w:b/>
                <w:color w:val="FFFFFF"/>
                <w:sz w:val="20"/>
              </w:rPr>
              <w:t>Invertir¹</w:t>
            </w:r>
          </w:p>
        </w:tc>
        <w:tc>
          <w:tcPr>
            <w:tcW w:type="dxa" w:w="1656"/>
            <w:shd w:fill="10312B"/>
          </w:tcPr>
          <w:p>
            <w:pPr>
              <w:spacing w:before="0" w:after="0" w:line="240" w:lineRule="auto"/>
            </w:pPr>
            <w:r>
              <w:rPr>
                <w:rFonts w:ascii="Noto Sans" w:hAnsi="Noto Sans"/>
                <w:b/>
                <w:color w:val="FFFFFF"/>
                <w:sz w:val="20"/>
              </w:rPr>
              <w:t>Empresa hoy</w:t>
            </w:r>
          </w:p>
        </w:tc>
        <w:tc>
          <w:tcPr>
            <w:tcW w:type="dxa" w:w="1656"/>
            <w:shd w:fill="10312B"/>
          </w:tcPr>
          <w:p>
            <w:pPr>
              <w:spacing w:before="0" w:after="0" w:line="240" w:lineRule="auto"/>
            </w:pPr>
            <w:r>
              <w:rPr>
                <w:rFonts w:ascii="Noto Sans" w:hAnsi="Noto Sans"/>
                <w:b/>
                <w:color w:val="FFFFFF"/>
                <w:sz w:val="20"/>
              </w:rPr>
              <w:t>Empresa futura</w:t>
            </w:r>
          </w:p>
        </w:tc>
      </w:tr>
      <w:tr>
        <w:trPr>
          <w:cantSplit/>
        </w:trPr>
        <w:tc>
          <w:tcPr>
            <w:tcW w:type="dxa" w:w="3816"/>
            <w:shd w:fill="F4F4F2"/>
          </w:tcPr>
          <w:p>
            <w:pPr>
              <w:spacing w:before="0" w:after="0" w:line="240" w:lineRule="auto"/>
            </w:pPr>
            <w:r>
              <w:rPr>
                <w:rFonts w:ascii="Noto Sans" w:hAnsi="Noto Sans"/>
                <w:b w:val="0"/>
                <w:color w:val="000000"/>
                <w:sz w:val="20"/>
              </w:rPr>
              <w:t>Manufacturas</w:t>
            </w:r>
          </w:p>
        </w:tc>
        <w:tc>
          <w:tcPr>
            <w:tcW w:type="dxa" w:w="1656"/>
            <w:shd w:fill="F4F4F2"/>
          </w:tcPr>
          <w:p>
            <w:pPr>
              <w:spacing w:before="0" w:after="0" w:line="240" w:lineRule="auto"/>
            </w:pPr>
            <w:r>
              <w:rPr>
                <w:rFonts w:ascii="Noto Sans" w:hAnsi="Noto Sans"/>
                <w:b w:val="0"/>
                <w:color w:val="000000"/>
                <w:sz w:val="20"/>
              </w:rPr>
              <w:t>34.3</w:t>
            </w:r>
          </w:p>
        </w:tc>
        <w:tc>
          <w:tcPr>
            <w:tcW w:type="dxa" w:w="1656"/>
            <w:shd w:fill="F4F4F2"/>
          </w:tcPr>
          <w:p>
            <w:pPr>
              <w:spacing w:before="0" w:after="0" w:line="240" w:lineRule="auto"/>
            </w:pPr>
            <w:r>
              <w:rPr>
                <w:rFonts w:ascii="Noto Sans" w:hAnsi="Noto Sans"/>
                <w:b w:val="0"/>
                <w:color w:val="000000"/>
                <w:sz w:val="20"/>
              </w:rPr>
              <w:t>50.1</w:t>
            </w:r>
          </w:p>
        </w:tc>
        <w:tc>
          <w:tcPr>
            <w:tcW w:type="dxa" w:w="1656"/>
            <w:shd w:fill="F4F4F2"/>
          </w:tcPr>
          <w:p>
            <w:pPr>
              <w:spacing w:before="0" w:after="0" w:line="240" w:lineRule="auto"/>
            </w:pPr>
            <w:r>
              <w:rPr>
                <w:rFonts w:ascii="Noto Sans" w:hAnsi="Noto Sans"/>
                <w:b w:val="0"/>
                <w:color w:val="000000"/>
                <w:sz w:val="20"/>
              </w:rPr>
              <w:t>55.4</w:t>
            </w:r>
          </w:p>
        </w:tc>
      </w:tr>
      <w:tr>
        <w:trPr>
          <w:cantSplit/>
        </w:trPr>
        <w:tc>
          <w:tcPr>
            <w:tcW w:type="dxa" w:w="3816"/>
            <w:shd w:fill="FFFFFF"/>
          </w:tcPr>
          <w:p>
            <w:pPr>
              <w:spacing w:before="0" w:after="0" w:line="240" w:lineRule="auto"/>
            </w:pPr>
            <w:r>
              <w:rPr>
                <w:rFonts w:ascii="Noto Sans" w:hAnsi="Noto Sans"/>
                <w:b w:val="0"/>
                <w:color w:val="000000"/>
                <w:sz w:val="20"/>
              </w:rPr>
              <w:t>Construcción</w:t>
            </w:r>
          </w:p>
        </w:tc>
        <w:tc>
          <w:tcPr>
            <w:tcW w:type="dxa" w:w="1656"/>
            <w:shd w:fill="FFFFFF"/>
          </w:tcPr>
          <w:p>
            <w:pPr>
              <w:spacing w:before="0" w:after="0" w:line="240" w:lineRule="auto"/>
            </w:pPr>
            <w:r>
              <w:rPr>
                <w:rFonts w:ascii="Noto Sans" w:hAnsi="Noto Sans"/>
                <w:b w:val="0"/>
                <w:color w:val="000000"/>
                <w:sz w:val="20"/>
              </w:rPr>
              <w:t>25.5</w:t>
            </w:r>
          </w:p>
        </w:tc>
        <w:tc>
          <w:tcPr>
            <w:tcW w:type="dxa" w:w="1656"/>
            <w:shd w:fill="FFFFFF"/>
          </w:tcPr>
          <w:p>
            <w:pPr>
              <w:spacing w:before="0" w:after="0" w:line="240" w:lineRule="auto"/>
            </w:pPr>
            <w:r>
              <w:rPr>
                <w:rFonts w:ascii="Noto Sans" w:hAnsi="Noto Sans"/>
                <w:b w:val="0"/>
                <w:color w:val="000000"/>
                <w:sz w:val="20"/>
              </w:rPr>
              <w:t>49.9</w:t>
            </w:r>
          </w:p>
        </w:tc>
        <w:tc>
          <w:tcPr>
            <w:tcW w:type="dxa" w:w="1656"/>
            <w:shd w:fill="FFFFFF"/>
          </w:tcPr>
          <w:p>
            <w:pPr>
              <w:spacing w:before="0" w:after="0" w:line="240" w:lineRule="auto"/>
            </w:pPr>
            <w:r>
              <w:rPr>
                <w:rFonts w:ascii="Noto Sans" w:hAnsi="Noto Sans"/>
                <w:b w:val="0"/>
                <w:color w:val="000000"/>
                <w:sz w:val="20"/>
              </w:rPr>
              <w:t>61.0</w:t>
            </w:r>
          </w:p>
        </w:tc>
      </w:tr>
      <w:tr>
        <w:trPr>
          <w:cantSplit/>
        </w:trPr>
        <w:tc>
          <w:tcPr>
            <w:tcW w:type="dxa" w:w="3816"/>
            <w:shd w:fill="F4F4F2"/>
          </w:tcPr>
          <w:p>
            <w:pPr>
              <w:spacing w:before="0" w:after="0" w:line="240" w:lineRule="auto"/>
            </w:pPr>
            <w:r>
              <w:rPr>
                <w:rFonts w:ascii="Noto Sans" w:hAnsi="Noto Sans"/>
                <w:b w:val="0"/>
                <w:color w:val="000000"/>
                <w:sz w:val="20"/>
              </w:rPr>
              <w:t>Comercio</w:t>
            </w:r>
          </w:p>
        </w:tc>
        <w:tc>
          <w:tcPr>
            <w:tcW w:type="dxa" w:w="1656"/>
            <w:shd w:fill="F4F4F2"/>
          </w:tcPr>
          <w:p>
            <w:pPr>
              <w:spacing w:before="0" w:after="0" w:line="240" w:lineRule="auto"/>
            </w:pPr>
            <w:r>
              <w:rPr>
                <w:rFonts w:ascii="Noto Sans" w:hAnsi="Noto Sans"/>
                <w:b w:val="0"/>
                <w:color w:val="000000"/>
                <w:sz w:val="20"/>
              </w:rPr>
              <w:t>32.1</w:t>
            </w:r>
          </w:p>
        </w:tc>
        <w:tc>
          <w:tcPr>
            <w:tcW w:type="dxa" w:w="1656"/>
            <w:shd w:fill="F4F4F2"/>
          </w:tcPr>
          <w:p>
            <w:pPr>
              <w:spacing w:before="0" w:after="0" w:line="240" w:lineRule="auto"/>
            </w:pPr>
            <w:r>
              <w:rPr>
                <w:rFonts w:ascii="Noto Sans" w:hAnsi="Noto Sans"/>
                <w:b w:val="0"/>
                <w:color w:val="000000"/>
                <w:sz w:val="20"/>
              </w:rPr>
              <w:t>51.4</w:t>
            </w:r>
          </w:p>
        </w:tc>
        <w:tc>
          <w:tcPr>
            <w:tcW w:type="dxa" w:w="1656"/>
            <w:shd w:fill="F4F4F2"/>
          </w:tcPr>
          <w:p>
            <w:pPr>
              <w:spacing w:before="0" w:after="0" w:line="240" w:lineRule="auto"/>
            </w:pPr>
            <w:r>
              <w:rPr>
                <w:rFonts w:ascii="Noto Sans" w:hAnsi="Noto Sans"/>
                <w:b w:val="0"/>
                <w:color w:val="000000"/>
                <w:sz w:val="20"/>
              </w:rPr>
              <w:t>58.6</w:t>
            </w:r>
          </w:p>
        </w:tc>
      </w:tr>
      <w:tr>
        <w:trPr>
          <w:cantSplit/>
        </w:trPr>
        <w:tc>
          <w:tcPr>
            <w:tcW w:type="dxa" w:w="3816"/>
            <w:shd w:fill="FFFFFF"/>
          </w:tcPr>
          <w:p>
            <w:pPr>
              <w:spacing w:before="0" w:after="0" w:line="240" w:lineRule="auto"/>
            </w:pPr>
            <w:r>
              <w:rPr>
                <w:rFonts w:ascii="Noto Sans" w:hAnsi="Noto Sans"/>
                <w:b w:val="0"/>
                <w:color w:val="000000"/>
                <w:sz w:val="20"/>
              </w:rPr>
              <w:t>Servicios no financieros</w:t>
            </w:r>
          </w:p>
        </w:tc>
        <w:tc>
          <w:tcPr>
            <w:tcW w:type="dxa" w:w="1656"/>
            <w:shd w:fill="FFFFFF"/>
          </w:tcPr>
          <w:p>
            <w:pPr>
              <w:spacing w:before="0" w:after="0" w:line="240" w:lineRule="auto"/>
            </w:pPr>
            <w:r>
              <w:rPr>
                <w:rFonts w:ascii="Noto Sans" w:hAnsi="Noto Sans"/>
                <w:b w:val="0"/>
                <w:color w:val="000000"/>
                <w:sz w:val="20"/>
              </w:rPr>
              <w:t>33.1</w:t>
            </w:r>
          </w:p>
        </w:tc>
        <w:tc>
          <w:tcPr>
            <w:tcW w:type="dxa" w:w="1656"/>
            <w:shd w:fill="FFFFFF"/>
          </w:tcPr>
          <w:p>
            <w:pPr>
              <w:spacing w:before="0" w:after="0" w:line="240" w:lineRule="auto"/>
            </w:pPr>
            <w:r>
              <w:rPr>
                <w:rFonts w:ascii="Noto Sans" w:hAnsi="Noto Sans"/>
                <w:b w:val="0"/>
                <w:color w:val="000000"/>
                <w:sz w:val="20"/>
              </w:rPr>
              <w:t>50.6</w:t>
            </w:r>
          </w:p>
        </w:tc>
        <w:tc>
          <w:tcPr>
            <w:tcW w:type="dxa" w:w="1656"/>
            <w:shd w:fill="FFFFFF"/>
          </w:tcPr>
          <w:p>
            <w:pPr>
              <w:spacing w:before="0" w:after="0" w:line="240" w:lineRule="auto"/>
            </w:pPr>
            <w:r>
              <w:rPr>
                <w:rFonts w:ascii="Noto Sans" w:hAnsi="Noto Sans"/>
                <w:b w:val="0"/>
                <w:color w:val="000000"/>
                <w:sz w:val="20"/>
              </w:rPr>
              <w:t>57.1</w:t>
            </w:r>
          </w:p>
        </w:tc>
      </w:tr>
    </w:tbl>
    <w:p>
      <w:pPr>
        <w:keepNext w:val="0"/>
        <w:spacing w:before="0" w:after="0" w:line="240" w:lineRule="auto"/>
        <w:jc w:val="both"/>
      </w:pPr>
      <w:r>
        <w:rPr>
          <w:rFonts w:ascii="Noto Sans" w:hAnsi="Noto Sans"/>
          <w:b w:val="0"/>
          <w:color w:val="666666"/>
          <w:sz w:val="16"/>
        </w:rPr>
        <w:t>Niveles en puntos. ¹ Inversión: manufacturas y construcción ajustadas; comercio y servicios originales. Empresa presente y futura: originales en los cuatro sectores. Fuente: cuadros 1–4.</w:t>
      </w:r>
    </w:p>
    <w:p>
      <w:r>
        <w:drawing>
          <wp:inline xmlns:a="http://schemas.openxmlformats.org/drawingml/2006/main" xmlns:pic="http://schemas.openxmlformats.org/drawingml/2006/picture">
            <wp:extent cx="5532120" cy="1587084"/>
            <wp:docPr id="2" name="Picture 2"/>
            <wp:cNvGraphicFramePr>
              <a:graphicFrameLocks noChangeAspect="1"/>
            </wp:cNvGraphicFramePr>
            <a:graphic>
              <a:graphicData uri="http://schemas.openxmlformats.org/drawingml/2006/picture">
                <pic:pic>
                  <pic:nvPicPr>
                    <pic:cNvPr id="0" name="expectativas.png"/>
                    <pic:cNvPicPr/>
                  </pic:nvPicPr>
                  <pic:blipFill>
                    <a:blip r:embed="rId15"/>
                    <a:stretch>
                      <a:fillRect/>
                    </a:stretch>
                  </pic:blipFill>
                  <pic:spPr>
                    <a:xfrm>
                      <a:off x="0" y="0"/>
                      <a:ext cx="5532120" cy="1587084"/>
                    </a:xfrm>
                    <a:prstGeom prst="rect"/>
                  </pic:spPr>
                </pic:pic>
              </a:graphicData>
            </a:graphic>
          </wp:inline>
        </w:drawing>
      </w:r>
    </w:p>
    <w:p>
      <w:pPr>
        <w:keepNext w:val="0"/>
        <w:spacing w:before="0" w:after="0" w:line="240" w:lineRule="auto"/>
        <w:jc w:val="both"/>
      </w:pPr>
      <w:r>
        <w:rPr>
          <w:rFonts w:ascii="Noto Sans" w:hAnsi="Noto Sans"/>
          <w:b w:val="0"/>
          <w:color w:val="000000"/>
          <w:sz w:val="13"/>
        </w:rPr>
      </w:r>
    </w:p>
    <w:p>
      <w:pPr>
        <w:keepNext/>
        <w:spacing w:before="0" w:after="0" w:line="240" w:lineRule="auto"/>
        <w:jc w:val="both"/>
      </w:pPr>
      <w:r>
        <w:rPr>
          <w:rFonts w:ascii="Noto Sans" w:hAnsi="Noto Sans"/>
          <w:b/>
          <w:color w:val="235B4C"/>
          <w:sz w:val="22"/>
        </w:rPr>
        <w:t>Balance de expectativas</w:t>
      </w:r>
    </w:p>
    <w:p>
      <w:pPr>
        <w:keepNext w:val="0"/>
        <w:spacing w:before="0" w:after="0" w:line="240" w:lineRule="auto"/>
        <w:jc w:val="both"/>
        <w:numPr>
          <w:ilvl w:val="0"/>
          <w:numId w:val="36"/>
        </w:numPr>
      </w:pPr>
      <w:r>
        <w:rPr>
          <w:rFonts w:ascii="Noto Sans" w:hAnsi="Noto Sans"/>
          <w:b w:val="0"/>
          <w:color w:val="000000"/>
          <w:sz w:val="22"/>
        </w:rPr>
        <w:t>La situación futura de la empresa se ubicó sobre 50 puntos en 4 de cuatro sectores; la presente, en 3. Son respuestas a preguntas distintas, no una previsión de crecimiento.</w:t>
      </w:r>
    </w:p>
    <w:p>
      <w:pPr>
        <w:keepNext w:val="0"/>
        <w:spacing w:before="0" w:after="0" w:line="240" w:lineRule="auto"/>
        <w:jc w:val="both"/>
        <w:numPr>
          <w:ilvl w:val="0"/>
          <w:numId w:val="36"/>
        </w:numPr>
      </w:pPr>
      <w:r>
        <w:rPr>
          <w:rFonts w:ascii="Noto Sans" w:hAnsi="Noto Sans"/>
          <w:b w:val="0"/>
          <w:color w:val="000000"/>
          <w:sz w:val="22"/>
        </w:rPr>
        <w:t>El componente de momento adecuado para invertir estuvo bajo 50 puntos en 4 de cuatro sectores. El nivel expresa la opinión sobre invertir, no una medición de inversión realizada.</w:t>
      </w:r>
    </w:p>
    <w:p>
      <w:pPr>
        <w:keepNext w:val="0"/>
        <w:spacing w:before="0" w:after="0" w:line="240" w:lineRule="auto"/>
        <w:jc w:val="both"/>
      </w:pPr>
      <w:r>
        <w:rPr>
          <w:rFonts w:ascii="Noto Sans" w:hAnsi="Noto Sans"/>
          <w:b w:val="0"/>
          <w:color w:val="000000"/>
          <w:sz w:val="13"/>
        </w:rPr>
      </w:r>
    </w:p>
    <w:p>
      <w:pPr>
        <w:keepNext/>
        <w:spacing w:before="0" w:after="0" w:line="240" w:lineRule="auto"/>
        <w:jc w:val="both"/>
      </w:pPr>
      <w:r>
        <w:rPr>
          <w:rFonts w:ascii="Noto Sans" w:hAnsi="Noto Sans"/>
          <w:b/>
          <w:color w:val="235B4C"/>
          <w:sz w:val="22"/>
        </w:rPr>
        <w:t>Notas metodológicas</w:t>
      </w:r>
    </w:p>
    <w:p>
      <w:pPr>
        <w:keepNext w:val="0"/>
        <w:spacing w:before="0" w:after="0" w:line="240" w:lineRule="auto"/>
        <w:jc w:val="both"/>
      </w:pPr>
      <w:r>
        <w:rPr>
          <w:rFonts w:ascii="Noto Sans" w:hAnsi="Noto Sans"/>
          <w:b w:val="0"/>
          <w:color w:val="000000"/>
          <w:sz w:val="22"/>
        </w:rPr>
        <w:t>El módulo corresponde al boletín de confianza derivado de la EMOE. No mezcla los indicadores de pedidos ni de tendencia. Las diferencias publicadas se calculan con todos los decimales de los indicadores; pueden diferir de restar niveles redondeados.</w:t>
      </w:r>
    </w:p>
    <w:p>
      <w:pPr>
        <w:keepNext w:val="0"/>
        <w:spacing w:before="0" w:after="0" w:line="240" w:lineRule="auto"/>
        <w:jc w:val="both"/>
      </w:pPr>
      <w:r>
        <w:rPr>
          <w:rFonts w:ascii="Noto Sans" w:hAnsi="Noto Sans"/>
          <w:b w:val="0"/>
          <w:color w:val="000000"/>
          <w:sz w:val="22"/>
        </w:rPr>
        <w:t>En esta edición, el ICE manufacturero y el IGOEC se presentan ajustados; construcción, comercio y servicios utilizan cifras originales. La clasificación de cada componente se conserva por separado. Los resultados originales del mes son preliminares.</w:t>
      </w:r>
    </w:p>
    <w:p>
      <w:pPr>
        <w:keepNext w:val="0"/>
        <w:spacing w:before="0" w:after="0" w:line="240" w:lineRule="auto"/>
        <w:jc w:val="both"/>
      </w:pPr>
      <w:r>
        <w:rPr>
          <w:rFonts w:ascii="Noto Sans" w:hAnsi="Noto Sans"/>
          <w:b w:val="0"/>
          <w:color w:val="666666"/>
          <w:sz w:val="16"/>
        </w:rPr>
        <w:t>La situación presente de la empresa es una percepción del informante; la situación futura es una expectativa. No se atribuyen causalidad, crecimiento observado ni aportaciones sectoriales a estos índices.</w:t>
      </w:r>
    </w:p>
    <w:p>
      <w:pPr>
        <w:keepNext w:val="0"/>
        <w:spacing w:before="0" w:after="0" w:line="240" w:lineRule="auto"/>
        <w:jc w:val="both"/>
      </w:pPr>
      <w:r>
        <w:rPr>
          <w:rFonts w:ascii="Noto Sans" w:hAnsi="Noto Sans"/>
          <w:b w:val="0"/>
          <w:color w:val="000000"/>
          <w:sz w:val="13"/>
        </w:rPr>
      </w:r>
    </w:p>
    <w:p>
      <w:pPr>
        <w:keepNext w:val="0"/>
        <w:spacing w:before="0" w:after="0" w:line="240" w:lineRule="auto"/>
        <w:jc w:val="both"/>
      </w:pPr>
      <w:r>
        <w:rPr>
          <w:rFonts w:ascii="Noto Sans" w:hAnsi="Noto Sans"/>
          <w:b w:val="0"/>
          <w:color w:val="666666"/>
          <w:sz w:val="16"/>
        </w:rPr>
        <w:t>INEGI, boletín 611/26, publicado el 2026-10-01. Cuadros y metodología de la misma edición. Cifras sujetas a revisión.</w:t>
      </w:r>
    </w:p>
    <w:p>
      <w:pPr>
        <w:keepNext w:val="0"/>
        <w:spacing w:before="0" w:after="0" w:line="240" w:lineRule="auto"/>
        <w:jc w:val="both"/>
      </w:pPr>
      <w:r>
        <w:rPr>
          <w:rFonts w:ascii="Noto Sans" w:hAnsi="Noto Sans"/>
          <w:b w:val="0"/>
          <w:color w:val="666666"/>
          <w:sz w:val="16"/>
        </w:rPr>
        <w:t>https://www.inegi.org.mx/contenidos/saladeprensa/boletines/2026/ice/ice2026_10.pdf</w:t>
      </w:r>
    </w:p>
    <w:sectPr w:rsidR="00246E09" w:rsidRPr="00494C1B">
      <w:headerReference w:type="default" r:id="rId10"/>
      <w:footerReference w:type="even" r:id="rId11"/>
      <w:footerReference w:type="default" r:id="rId12"/>
      <w:pgSz w:w="12240" w:h="15840"/>
      <w:pgMar w:top="1134" w:right="1701"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B300B" w:rsidRDefault="001B300B" w:rsidP="00E32E74">
      <w:r>
        <w:separator/>
      </w:r>
    </w:p>
  </w:endnote>
  <w:endnote w:type="continuationSeparator" w:id="0">
    <w:p w:rsidR="001B300B" w:rsidRDefault="001B300B" w:rsidP="00E32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w:panose1 w:val="020B0502040504020204"/>
    <w:charset w:val="00"/>
    <w:family w:val="swiss"/>
    <w:pitch w:val="variable"/>
    <w:sig w:usb0="E00002FF" w:usb1="4000201F" w:usb2="08000029" w:usb3="00000000" w:csb0="0000019F" w:csb1="00000000"/>
  </w:font>
  <w:font w:name="Montserrat Light">
    <w:altName w:val="Calibri"/>
    <w:panose1 w:val="020B0604020202020204"/>
    <w:charset w:val="4D"/>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Segoe UI">
    <w:altName w:val="Arial"/>
    <w:panose1 w:val="020B0604020202020204"/>
    <w:charset w:val="00"/>
    <w:family w:val="swiss"/>
    <w:pitch w:val="variable"/>
    <w:sig w:usb0="E4002EFF" w:usb1="C000E47F" w:usb2="00000009" w:usb3="00000000" w:csb0="000001FF" w:csb1="00000000"/>
  </w:font>
  <w:font w:name="Montserrat">
    <w:altName w:val="Calibri"/>
    <w:panose1 w:val="020B0604020202020204"/>
    <w:charset w:val="4D"/>
    <w:family w:val="auto"/>
    <w:pitch w:val="variable"/>
    <w:sig w:usb0="2000020F" w:usb1="00000003" w:usb2="00000000" w:usb3="00000000" w:csb0="00000197" w:csb1="00000000"/>
  </w:font>
  <w:font w:name="Univers (W1)">
    <w:altName w:val="Arial"/>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merodepgina"/>
      </w:rPr>
      <w:id w:val="1445275167"/>
      <w:docPartObj>
        <w:docPartGallery w:val="Page Numbers (Bottom of Page)"/>
        <w:docPartUnique/>
      </w:docPartObj>
    </w:sdtPr>
    <w:sdtEndPr>
      <w:rPr>
        <w:rStyle w:val="Nmerodepgina"/>
      </w:rPr>
    </w:sdtEndPr>
    <w:sdtContent>
      <w:p w:rsidR="008544E1" w:rsidRDefault="008544E1" w:rsidP="00DA379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E633D">
          <w:rPr>
            <w:rStyle w:val="Nmerodepgina"/>
            <w:noProof/>
          </w:rPr>
          <w:t>1</w:t>
        </w:r>
        <w:r>
          <w:rPr>
            <w:rStyle w:val="Nmerodepgina"/>
          </w:rPr>
          <w:fldChar w:fldCharType="end"/>
        </w:r>
      </w:p>
    </w:sdtContent>
  </w:sdt>
  <w:p w:rsidR="008544E1" w:rsidRDefault="008544E1" w:rsidP="008544E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54A2" w:rsidRDefault="00D60BF7" w:rsidP="008544E1">
    <w:pPr>
      <w:ind w:right="360"/>
    </w:pPr>
    <w:r>
      <w:rPr>
        <w:noProof/>
        <w:color w:val="000000"/>
      </w:rPr>
      <w:drawing>
        <wp:anchor distT="0" distB="0" distL="114300" distR="114300" simplePos="0" relativeHeight="251660288" behindDoc="1" locked="0" layoutInCell="1" allowOverlap="1" wp14:anchorId="093B9EEA" wp14:editId="414DD1FB">
          <wp:simplePos x="0" y="0"/>
          <wp:positionH relativeFrom="page">
            <wp:posOffset>-121920</wp:posOffset>
          </wp:positionH>
          <wp:positionV relativeFrom="paragraph">
            <wp:posOffset>-45085</wp:posOffset>
          </wp:positionV>
          <wp:extent cx="7894873" cy="1293628"/>
          <wp:effectExtent l="0" t="0" r="5080" b="1905"/>
          <wp:wrapNone/>
          <wp:docPr id="441815502" name="Imagen 1" descr="Imagen que contiene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35576" name="Imagen 1" descr="Imagen que contiene Aplicación  El contenido generado por IA puede ser incorrecto."/>
                  <pic:cNvPicPr/>
                </pic:nvPicPr>
                <pic:blipFill rotWithShape="1">
                  <a:blip r:embed="rId1">
                    <a:extLst>
                      <a:ext uri="{28A0092B-C50C-407E-A947-70E740481C1C}">
                        <a14:useLocalDpi xmlns:a14="http://schemas.microsoft.com/office/drawing/2010/main" val="0"/>
                      </a:ext>
                    </a:extLst>
                  </a:blip>
                  <a:srcRect t="88139"/>
                  <a:stretch>
                    <a:fillRect/>
                  </a:stretch>
                </pic:blipFill>
                <pic:spPr bwMode="auto">
                  <a:xfrm>
                    <a:off x="0" y="0"/>
                    <a:ext cx="7894873" cy="12936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B54A2" w:rsidRPr="00E7262E" w:rsidRDefault="00DB54A2" w:rsidP="00A27EAB">
    <w:pPr>
      <w:jc w:val="right"/>
    </w:pPr>
  </w:p>
  <w:p w:rsidR="00B62B90" w:rsidRDefault="00B62B90" w:rsidP="00E32E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B300B" w:rsidRDefault="001B300B" w:rsidP="00E32E74">
      <w:r>
        <w:separator/>
      </w:r>
    </w:p>
  </w:footnote>
  <w:footnote w:type="continuationSeparator" w:id="0">
    <w:p w:rsidR="001B300B" w:rsidRDefault="001B300B" w:rsidP="00E32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54A2" w:rsidRDefault="00EA49C5" w:rsidP="00E32E74">
    <w:r>
      <w:rPr>
        <w:noProof/>
      </w:rPr>
      <w:drawing>
        <wp:anchor distT="0" distB="0" distL="0" distR="0" simplePos="0" relativeHeight="251658240" behindDoc="1" locked="0" layoutInCell="1" hidden="0" allowOverlap="1" wp14:anchorId="3C194DD2" wp14:editId="09349DB6">
          <wp:simplePos x="0" y="0"/>
          <wp:positionH relativeFrom="page">
            <wp:posOffset>-12700</wp:posOffset>
          </wp:positionH>
          <wp:positionV relativeFrom="paragraph">
            <wp:posOffset>-436626</wp:posOffset>
          </wp:positionV>
          <wp:extent cx="7753939" cy="1257300"/>
          <wp:effectExtent l="0" t="0" r="6350" b="0"/>
          <wp:wrapNone/>
          <wp:docPr id="949743675"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b="16596"/>
                  <a:stretch>
                    <a:fillRect/>
                  </a:stretch>
                </pic:blipFill>
                <pic:spPr>
                  <a:xfrm>
                    <a:off x="0" y="0"/>
                    <a:ext cx="7753939" cy="1257300"/>
                  </a:xfrm>
                  <a:prstGeom prst="rect">
                    <a:avLst/>
                  </a:prstGeom>
                  <a:ln/>
                </pic:spPr>
              </pic:pic>
            </a:graphicData>
          </a:graphic>
          <wp14:sizeRelH relativeFrom="margin">
            <wp14:pctWidth>0</wp14:pctWidth>
          </wp14:sizeRelH>
          <wp14:sizeRelV relativeFrom="margin">
            <wp14:pctHeight>0</wp14:pctHeight>
          </wp14:sizeRelV>
        </wp:anchor>
      </w:drawing>
    </w:r>
  </w:p>
  <w:p w:rsidR="00DB54A2" w:rsidRDefault="00DB54A2" w:rsidP="00E32E74"/>
  <w:p w:rsidR="00DB54A2" w:rsidRDefault="00DB54A2" w:rsidP="00E32E74"/>
  <w:p w:rsidR="00F859CD" w:rsidRDefault="00F859CD" w:rsidP="00E32E74"/>
  <w:p w:rsidR="00EA51AD" w:rsidRDefault="009966CB" w:rsidP="00FE6B8B">
    <w:pPr>
      <w:ind w:left="-426"/>
      <w:rPr>
        <w:rFonts w:ascii="Calibri" w:hAnsi="Calibri" w:cs="Calibri"/>
        <w:b/>
        <w:sz w:val="22"/>
      </w:rPr>
    </w:pPr>
    <w:r>
      <w:rPr>
        <w:rFonts w:ascii="Noto Sans" w:hAnsi="Noto Sans"/>
        <w:b/>
        <w:sz w:val="22"/>
      </w:rPr>
      <w:t>S</w:t>
    </w:r>
    <w:r w:rsidR="00F05BFD">
      <w:rPr>
        <w:rFonts w:ascii="Noto Sans" w:hAnsi="Noto Sans"/>
        <w:b/>
        <w:sz w:val="22"/>
      </w:rPr>
      <w:t>ubs</w:t>
    </w:r>
    <w:r>
      <w:rPr>
        <w:rFonts w:ascii="Noto Sans" w:hAnsi="Noto Sans"/>
        <w:b/>
        <w:sz w:val="22"/>
      </w:rPr>
      <w:t xml:space="preserve">ecretaría de </w:t>
    </w:r>
    <w:r w:rsidR="00F05BFD">
      <w:rPr>
        <w:rFonts w:ascii="Noto Sans" w:hAnsi="Noto Sans"/>
        <w:b/>
        <w:sz w:val="22"/>
      </w:rPr>
      <w:t>Industria y Comercio</w:t>
    </w:r>
  </w:p>
  <w:p w:rsidR="009966CB" w:rsidRPr="009966CB" w:rsidRDefault="009966CB" w:rsidP="00FE6B8B">
    <w:pPr>
      <w:ind w:left="-426"/>
      <w:rPr>
        <w:rFonts w:ascii="Calibri" w:hAnsi="Calibri" w:cs="Calibri"/>
        <w:b/>
        <w:bC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66058"/>
    <w:multiLevelType w:val="multilevel"/>
    <w:tmpl w:val="CF0EF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00E73"/>
    <w:multiLevelType w:val="multilevel"/>
    <w:tmpl w:val="F8E64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C74F6"/>
    <w:multiLevelType w:val="hybridMultilevel"/>
    <w:tmpl w:val="BD24C636"/>
    <w:lvl w:ilvl="0" w:tplc="040A0001">
      <w:start w:val="1"/>
      <w:numFmt w:val="bullet"/>
      <w:lvlText w:val=""/>
      <w:lvlJc w:val="left"/>
      <w:pPr>
        <w:ind w:left="864" w:hanging="360"/>
      </w:pPr>
      <w:rPr>
        <w:rFonts w:ascii="Symbol" w:hAnsi="Symbol" w:hint="default"/>
      </w:rPr>
    </w:lvl>
    <w:lvl w:ilvl="1" w:tplc="040A0003" w:tentative="1">
      <w:start w:val="1"/>
      <w:numFmt w:val="bullet"/>
      <w:lvlText w:val="o"/>
      <w:lvlJc w:val="left"/>
      <w:pPr>
        <w:ind w:left="1584" w:hanging="360"/>
      </w:pPr>
      <w:rPr>
        <w:rFonts w:ascii="Courier New" w:hAnsi="Courier New" w:cs="Courier New" w:hint="default"/>
      </w:rPr>
    </w:lvl>
    <w:lvl w:ilvl="2" w:tplc="040A0005" w:tentative="1">
      <w:start w:val="1"/>
      <w:numFmt w:val="bullet"/>
      <w:lvlText w:val=""/>
      <w:lvlJc w:val="left"/>
      <w:pPr>
        <w:ind w:left="2304" w:hanging="360"/>
      </w:pPr>
      <w:rPr>
        <w:rFonts w:ascii="Wingdings" w:hAnsi="Wingdings" w:hint="default"/>
      </w:rPr>
    </w:lvl>
    <w:lvl w:ilvl="3" w:tplc="040A0001" w:tentative="1">
      <w:start w:val="1"/>
      <w:numFmt w:val="bullet"/>
      <w:lvlText w:val=""/>
      <w:lvlJc w:val="left"/>
      <w:pPr>
        <w:ind w:left="3024" w:hanging="360"/>
      </w:pPr>
      <w:rPr>
        <w:rFonts w:ascii="Symbol" w:hAnsi="Symbol" w:hint="default"/>
      </w:rPr>
    </w:lvl>
    <w:lvl w:ilvl="4" w:tplc="040A0003" w:tentative="1">
      <w:start w:val="1"/>
      <w:numFmt w:val="bullet"/>
      <w:lvlText w:val="o"/>
      <w:lvlJc w:val="left"/>
      <w:pPr>
        <w:ind w:left="3744" w:hanging="360"/>
      </w:pPr>
      <w:rPr>
        <w:rFonts w:ascii="Courier New" w:hAnsi="Courier New" w:cs="Courier New" w:hint="default"/>
      </w:rPr>
    </w:lvl>
    <w:lvl w:ilvl="5" w:tplc="040A0005" w:tentative="1">
      <w:start w:val="1"/>
      <w:numFmt w:val="bullet"/>
      <w:lvlText w:val=""/>
      <w:lvlJc w:val="left"/>
      <w:pPr>
        <w:ind w:left="4464" w:hanging="360"/>
      </w:pPr>
      <w:rPr>
        <w:rFonts w:ascii="Wingdings" w:hAnsi="Wingdings" w:hint="default"/>
      </w:rPr>
    </w:lvl>
    <w:lvl w:ilvl="6" w:tplc="040A0001" w:tentative="1">
      <w:start w:val="1"/>
      <w:numFmt w:val="bullet"/>
      <w:lvlText w:val=""/>
      <w:lvlJc w:val="left"/>
      <w:pPr>
        <w:ind w:left="5184" w:hanging="360"/>
      </w:pPr>
      <w:rPr>
        <w:rFonts w:ascii="Symbol" w:hAnsi="Symbol" w:hint="default"/>
      </w:rPr>
    </w:lvl>
    <w:lvl w:ilvl="7" w:tplc="040A0003" w:tentative="1">
      <w:start w:val="1"/>
      <w:numFmt w:val="bullet"/>
      <w:lvlText w:val="o"/>
      <w:lvlJc w:val="left"/>
      <w:pPr>
        <w:ind w:left="5904" w:hanging="360"/>
      </w:pPr>
      <w:rPr>
        <w:rFonts w:ascii="Courier New" w:hAnsi="Courier New" w:cs="Courier New" w:hint="default"/>
      </w:rPr>
    </w:lvl>
    <w:lvl w:ilvl="8" w:tplc="040A0005" w:tentative="1">
      <w:start w:val="1"/>
      <w:numFmt w:val="bullet"/>
      <w:lvlText w:val=""/>
      <w:lvlJc w:val="left"/>
      <w:pPr>
        <w:ind w:left="6624" w:hanging="360"/>
      </w:pPr>
      <w:rPr>
        <w:rFonts w:ascii="Wingdings" w:hAnsi="Wingdings" w:hint="default"/>
      </w:rPr>
    </w:lvl>
  </w:abstractNum>
  <w:abstractNum w:abstractNumId="3" w15:restartNumberingAfterBreak="0">
    <w:nsid w:val="09B5062C"/>
    <w:multiLevelType w:val="multilevel"/>
    <w:tmpl w:val="E0D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B75AF"/>
    <w:multiLevelType w:val="multilevel"/>
    <w:tmpl w:val="F990A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A051B"/>
    <w:multiLevelType w:val="multilevel"/>
    <w:tmpl w:val="F70C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26045"/>
    <w:multiLevelType w:val="hybridMultilevel"/>
    <w:tmpl w:val="2886F9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C4B1544"/>
    <w:multiLevelType w:val="multilevel"/>
    <w:tmpl w:val="1DC4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E7BD5"/>
    <w:multiLevelType w:val="multilevel"/>
    <w:tmpl w:val="E21E2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70303"/>
    <w:multiLevelType w:val="hybridMultilevel"/>
    <w:tmpl w:val="77764E7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613076"/>
    <w:multiLevelType w:val="multilevel"/>
    <w:tmpl w:val="DC60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37F62"/>
    <w:multiLevelType w:val="hybridMultilevel"/>
    <w:tmpl w:val="491E8574"/>
    <w:lvl w:ilvl="0" w:tplc="47363282">
      <w:start w:val="1"/>
      <w:numFmt w:val="bullet"/>
      <w:lvlText w:val=""/>
      <w:lvlJc w:val="left"/>
      <w:pPr>
        <w:ind w:left="720" w:hanging="360"/>
      </w:pPr>
      <w:rPr>
        <w:rFonts w:ascii="Symbol" w:hAnsi="Symbol" w:hint="default"/>
        <w:sz w:val="20"/>
        <w:szCs w:val="2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27D72D51"/>
    <w:multiLevelType w:val="hybridMultilevel"/>
    <w:tmpl w:val="B27E3374"/>
    <w:lvl w:ilvl="0" w:tplc="3A18FCBA">
      <w:start w:val="1"/>
      <w:numFmt w:val="decimal"/>
      <w:lvlText w:val="%1."/>
      <w:lvlJc w:val="left"/>
      <w:pPr>
        <w:ind w:left="720" w:hanging="360"/>
      </w:pPr>
      <w:rPr>
        <w:rFonts w:hint="default"/>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97E7B97"/>
    <w:multiLevelType w:val="hybridMultilevel"/>
    <w:tmpl w:val="2A4A9C34"/>
    <w:lvl w:ilvl="0" w:tplc="BE928576">
      <w:numFmt w:val="bullet"/>
      <w:lvlText w:val="•"/>
      <w:lvlJc w:val="left"/>
      <w:pPr>
        <w:ind w:left="504"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2B0F28E7"/>
    <w:multiLevelType w:val="multilevel"/>
    <w:tmpl w:val="B01CB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0E56A7"/>
    <w:multiLevelType w:val="multilevel"/>
    <w:tmpl w:val="2B92D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F13CCD"/>
    <w:multiLevelType w:val="multilevel"/>
    <w:tmpl w:val="AEEE5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731D8"/>
    <w:multiLevelType w:val="hybridMultilevel"/>
    <w:tmpl w:val="E58CE21C"/>
    <w:lvl w:ilvl="0" w:tplc="0C348DAA">
      <w:start w:val="1"/>
      <w:numFmt w:val="upperRoman"/>
      <w:pStyle w:val="Ttulo4"/>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D270ACC"/>
    <w:multiLevelType w:val="multilevel"/>
    <w:tmpl w:val="DDDE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F1DE7"/>
    <w:multiLevelType w:val="multilevel"/>
    <w:tmpl w:val="AF8E5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45AEF"/>
    <w:multiLevelType w:val="multilevel"/>
    <w:tmpl w:val="7770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90047D"/>
    <w:multiLevelType w:val="hybridMultilevel"/>
    <w:tmpl w:val="A822CF98"/>
    <w:lvl w:ilvl="0" w:tplc="BE928576">
      <w:numFmt w:val="bullet"/>
      <w:lvlText w:val="•"/>
      <w:lvlJc w:val="left"/>
      <w:pPr>
        <w:ind w:left="504" w:hanging="360"/>
      </w:pPr>
      <w:rPr>
        <w:rFonts w:ascii="Arial" w:eastAsia="Times New Roman" w:hAnsi="Arial" w:cs="Arial" w:hint="default"/>
      </w:rPr>
    </w:lvl>
    <w:lvl w:ilvl="1" w:tplc="040A0003" w:tentative="1">
      <w:start w:val="1"/>
      <w:numFmt w:val="bullet"/>
      <w:lvlText w:val="o"/>
      <w:lvlJc w:val="left"/>
      <w:pPr>
        <w:ind w:left="1224" w:hanging="360"/>
      </w:pPr>
      <w:rPr>
        <w:rFonts w:ascii="Courier New" w:hAnsi="Courier New" w:cs="Courier New" w:hint="default"/>
      </w:rPr>
    </w:lvl>
    <w:lvl w:ilvl="2" w:tplc="040A0005" w:tentative="1">
      <w:start w:val="1"/>
      <w:numFmt w:val="bullet"/>
      <w:lvlText w:val=""/>
      <w:lvlJc w:val="left"/>
      <w:pPr>
        <w:ind w:left="1944" w:hanging="360"/>
      </w:pPr>
      <w:rPr>
        <w:rFonts w:ascii="Wingdings" w:hAnsi="Wingdings" w:hint="default"/>
      </w:rPr>
    </w:lvl>
    <w:lvl w:ilvl="3" w:tplc="040A0001" w:tentative="1">
      <w:start w:val="1"/>
      <w:numFmt w:val="bullet"/>
      <w:lvlText w:val=""/>
      <w:lvlJc w:val="left"/>
      <w:pPr>
        <w:ind w:left="2664" w:hanging="360"/>
      </w:pPr>
      <w:rPr>
        <w:rFonts w:ascii="Symbol" w:hAnsi="Symbol" w:hint="default"/>
      </w:rPr>
    </w:lvl>
    <w:lvl w:ilvl="4" w:tplc="040A0003" w:tentative="1">
      <w:start w:val="1"/>
      <w:numFmt w:val="bullet"/>
      <w:lvlText w:val="o"/>
      <w:lvlJc w:val="left"/>
      <w:pPr>
        <w:ind w:left="3384" w:hanging="360"/>
      </w:pPr>
      <w:rPr>
        <w:rFonts w:ascii="Courier New" w:hAnsi="Courier New" w:cs="Courier New" w:hint="default"/>
      </w:rPr>
    </w:lvl>
    <w:lvl w:ilvl="5" w:tplc="040A0005" w:tentative="1">
      <w:start w:val="1"/>
      <w:numFmt w:val="bullet"/>
      <w:lvlText w:val=""/>
      <w:lvlJc w:val="left"/>
      <w:pPr>
        <w:ind w:left="4104" w:hanging="360"/>
      </w:pPr>
      <w:rPr>
        <w:rFonts w:ascii="Wingdings" w:hAnsi="Wingdings" w:hint="default"/>
      </w:rPr>
    </w:lvl>
    <w:lvl w:ilvl="6" w:tplc="040A0001" w:tentative="1">
      <w:start w:val="1"/>
      <w:numFmt w:val="bullet"/>
      <w:lvlText w:val=""/>
      <w:lvlJc w:val="left"/>
      <w:pPr>
        <w:ind w:left="4824" w:hanging="360"/>
      </w:pPr>
      <w:rPr>
        <w:rFonts w:ascii="Symbol" w:hAnsi="Symbol" w:hint="default"/>
      </w:rPr>
    </w:lvl>
    <w:lvl w:ilvl="7" w:tplc="040A0003" w:tentative="1">
      <w:start w:val="1"/>
      <w:numFmt w:val="bullet"/>
      <w:lvlText w:val="o"/>
      <w:lvlJc w:val="left"/>
      <w:pPr>
        <w:ind w:left="5544" w:hanging="360"/>
      </w:pPr>
      <w:rPr>
        <w:rFonts w:ascii="Courier New" w:hAnsi="Courier New" w:cs="Courier New" w:hint="default"/>
      </w:rPr>
    </w:lvl>
    <w:lvl w:ilvl="8" w:tplc="040A0005" w:tentative="1">
      <w:start w:val="1"/>
      <w:numFmt w:val="bullet"/>
      <w:lvlText w:val=""/>
      <w:lvlJc w:val="left"/>
      <w:pPr>
        <w:ind w:left="6264" w:hanging="360"/>
      </w:pPr>
      <w:rPr>
        <w:rFonts w:ascii="Wingdings" w:hAnsi="Wingdings" w:hint="default"/>
      </w:rPr>
    </w:lvl>
  </w:abstractNum>
  <w:abstractNum w:abstractNumId="22" w15:restartNumberingAfterBreak="0">
    <w:nsid w:val="62203C88"/>
    <w:multiLevelType w:val="multilevel"/>
    <w:tmpl w:val="CC1C0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68072D"/>
    <w:multiLevelType w:val="hybridMultilevel"/>
    <w:tmpl w:val="050879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3157499"/>
    <w:multiLevelType w:val="multilevel"/>
    <w:tmpl w:val="C582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6C00BF"/>
    <w:multiLevelType w:val="multilevel"/>
    <w:tmpl w:val="9810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327C8"/>
    <w:multiLevelType w:val="hybridMultilevel"/>
    <w:tmpl w:val="4BBA90AE"/>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AA16731"/>
    <w:multiLevelType w:val="multilevel"/>
    <w:tmpl w:val="0A64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B60062"/>
    <w:multiLevelType w:val="hybridMultilevel"/>
    <w:tmpl w:val="F4BA4BB8"/>
    <w:lvl w:ilvl="0" w:tplc="47363282">
      <w:start w:val="1"/>
      <w:numFmt w:val="bullet"/>
      <w:lvlText w:val=""/>
      <w:lvlJc w:val="left"/>
      <w:pPr>
        <w:ind w:left="720" w:hanging="360"/>
      </w:pPr>
      <w:rPr>
        <w:rFonts w:ascii="Symbol" w:hAnsi="Symbol" w:hint="default"/>
        <w:sz w:val="20"/>
        <w:szCs w:val="20"/>
      </w:rPr>
    </w:lvl>
    <w:lvl w:ilvl="1" w:tplc="60E2529C">
      <w:numFmt w:val="bullet"/>
      <w:lvlText w:val="•"/>
      <w:lvlJc w:val="left"/>
      <w:pPr>
        <w:ind w:left="1440" w:hanging="360"/>
      </w:pPr>
      <w:rPr>
        <w:rFonts w:ascii="Times New Roman" w:eastAsia="Times New Roman" w:hAnsi="Times New Roman" w:cs="Times New Roman"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6C55585F"/>
    <w:multiLevelType w:val="multilevel"/>
    <w:tmpl w:val="EE7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F537A"/>
    <w:multiLevelType w:val="multilevel"/>
    <w:tmpl w:val="4F38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536124"/>
    <w:multiLevelType w:val="multilevel"/>
    <w:tmpl w:val="F65C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B2C3D"/>
    <w:multiLevelType w:val="hybridMultilevel"/>
    <w:tmpl w:val="7A1B2C3E"/>
    <w:lvl w:ilvl="0" w:tplc="F266E762">
      <w:start w:val="1"/>
      <w:numFmt w:val="bullet"/>
      <w:lvlText w:val=""/>
      <w:lvlJc w:val="left"/>
      <w:pPr>
        <w:ind w:left="432" w:hanging="288"/>
      </w:pPr>
      <w:rPr>
        <w:rFonts w:ascii="Symbol" w:hAnsi="Symbol" w:hint="default"/>
      </w:rPr>
    </w:lvl>
    <w:lvl w:ilvl="1" w:tplc="1A44F988">
      <w:numFmt w:val="decimal"/>
      <w:lvlText w:val=""/>
      <w:lvlJc w:val="left"/>
    </w:lvl>
    <w:lvl w:ilvl="2" w:tplc="784A313A">
      <w:numFmt w:val="decimal"/>
      <w:lvlText w:val=""/>
      <w:lvlJc w:val="left"/>
    </w:lvl>
    <w:lvl w:ilvl="3" w:tplc="E940B9BA">
      <w:numFmt w:val="decimal"/>
      <w:lvlText w:val=""/>
      <w:lvlJc w:val="left"/>
    </w:lvl>
    <w:lvl w:ilvl="4" w:tplc="CE9E15B0">
      <w:numFmt w:val="decimal"/>
      <w:lvlText w:val=""/>
      <w:lvlJc w:val="left"/>
    </w:lvl>
    <w:lvl w:ilvl="5" w:tplc="803CE1A8">
      <w:numFmt w:val="decimal"/>
      <w:lvlText w:val=""/>
      <w:lvlJc w:val="left"/>
    </w:lvl>
    <w:lvl w:ilvl="6" w:tplc="7EBEE4BC">
      <w:numFmt w:val="decimal"/>
      <w:lvlText w:val=""/>
      <w:lvlJc w:val="left"/>
    </w:lvl>
    <w:lvl w:ilvl="7" w:tplc="AD3C62DA">
      <w:numFmt w:val="decimal"/>
      <w:lvlText w:val=""/>
      <w:lvlJc w:val="left"/>
    </w:lvl>
    <w:lvl w:ilvl="8" w:tplc="C35E76F4">
      <w:numFmt w:val="decimal"/>
      <w:lvlText w:val=""/>
      <w:lvlJc w:val="left"/>
    </w:lvl>
  </w:abstractNum>
  <w:abstractNum w:abstractNumId="33" w15:restartNumberingAfterBreak="0">
    <w:nsid w:val="7B7C15D2"/>
    <w:multiLevelType w:val="hybridMultilevel"/>
    <w:tmpl w:val="9E94116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B7C1AA1"/>
    <w:multiLevelType w:val="multilevel"/>
    <w:tmpl w:val="749C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6"/>
  </w:num>
  <w:num w:numId="3">
    <w:abstractNumId w:val="20"/>
  </w:num>
  <w:num w:numId="4">
    <w:abstractNumId w:val="34"/>
  </w:num>
  <w:num w:numId="5">
    <w:abstractNumId w:val="27"/>
  </w:num>
  <w:num w:numId="6">
    <w:abstractNumId w:val="10"/>
  </w:num>
  <w:num w:numId="7">
    <w:abstractNumId w:val="30"/>
  </w:num>
  <w:num w:numId="8">
    <w:abstractNumId w:val="8"/>
  </w:num>
  <w:num w:numId="9">
    <w:abstractNumId w:val="5"/>
  </w:num>
  <w:num w:numId="10">
    <w:abstractNumId w:val="16"/>
  </w:num>
  <w:num w:numId="11">
    <w:abstractNumId w:val="19"/>
  </w:num>
  <w:num w:numId="12">
    <w:abstractNumId w:val="18"/>
  </w:num>
  <w:num w:numId="13">
    <w:abstractNumId w:val="7"/>
  </w:num>
  <w:num w:numId="14">
    <w:abstractNumId w:val="14"/>
  </w:num>
  <w:num w:numId="15">
    <w:abstractNumId w:val="31"/>
  </w:num>
  <w:num w:numId="16">
    <w:abstractNumId w:val="0"/>
  </w:num>
  <w:num w:numId="17">
    <w:abstractNumId w:val="24"/>
  </w:num>
  <w:num w:numId="18">
    <w:abstractNumId w:val="15"/>
  </w:num>
  <w:num w:numId="19">
    <w:abstractNumId w:val="23"/>
  </w:num>
  <w:num w:numId="20">
    <w:abstractNumId w:val="26"/>
  </w:num>
  <w:num w:numId="21">
    <w:abstractNumId w:val="12"/>
  </w:num>
  <w:num w:numId="22">
    <w:abstractNumId w:val="1"/>
  </w:num>
  <w:num w:numId="23">
    <w:abstractNumId w:val="22"/>
  </w:num>
  <w:num w:numId="24">
    <w:abstractNumId w:val="25"/>
  </w:num>
  <w:num w:numId="25">
    <w:abstractNumId w:val="3"/>
  </w:num>
  <w:num w:numId="26">
    <w:abstractNumId w:val="4"/>
  </w:num>
  <w:num w:numId="27">
    <w:abstractNumId w:val="29"/>
  </w:num>
  <w:num w:numId="28">
    <w:abstractNumId w:val="9"/>
  </w:num>
  <w:num w:numId="29">
    <w:abstractNumId w:val="33"/>
  </w:num>
  <w:num w:numId="30">
    <w:abstractNumId w:val="32"/>
  </w:num>
  <w:num w:numId="31">
    <w:abstractNumId w:val="2"/>
  </w:num>
  <w:num w:numId="32">
    <w:abstractNumId w:val="21"/>
  </w:num>
  <w:num w:numId="33">
    <w:abstractNumId w:val="13"/>
  </w:num>
  <w:num w:numId="34">
    <w:abstractNumId w:val="11"/>
  </w:num>
  <w:num w:numId="35">
    <w:abstractNumId w:val="28"/>
  </w:num>
  <w:numIdMacAtCleanup w:val="1"/>
  <w:abstractNum w:abstractNumId="35">
    <w:lvl w:ilvl="0">
      <w:numFmt w:val="bullet"/>
      <w:lvlText w:val="•"/>
      <w:suff w:val="space"/>
    </w:lvl>
  </w:abstract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94C"/>
    <w:rsid w:val="00002027"/>
    <w:rsid w:val="00003EA0"/>
    <w:rsid w:val="0000545B"/>
    <w:rsid w:val="000258F9"/>
    <w:rsid w:val="00025A89"/>
    <w:rsid w:val="00030E8C"/>
    <w:rsid w:val="0003237D"/>
    <w:rsid w:val="000377A6"/>
    <w:rsid w:val="00041BD6"/>
    <w:rsid w:val="000438FF"/>
    <w:rsid w:val="00043F02"/>
    <w:rsid w:val="00046781"/>
    <w:rsid w:val="00050586"/>
    <w:rsid w:val="00054CA4"/>
    <w:rsid w:val="00054FB9"/>
    <w:rsid w:val="000571C6"/>
    <w:rsid w:val="0006003F"/>
    <w:rsid w:val="000A3591"/>
    <w:rsid w:val="000A46AA"/>
    <w:rsid w:val="000A71DD"/>
    <w:rsid w:val="000B3C45"/>
    <w:rsid w:val="000D126D"/>
    <w:rsid w:val="000D5B48"/>
    <w:rsid w:val="000D796F"/>
    <w:rsid w:val="000E1551"/>
    <w:rsid w:val="000E263D"/>
    <w:rsid w:val="001106F9"/>
    <w:rsid w:val="00113971"/>
    <w:rsid w:val="00113ADD"/>
    <w:rsid w:val="001259AE"/>
    <w:rsid w:val="001317EA"/>
    <w:rsid w:val="00136317"/>
    <w:rsid w:val="0013733B"/>
    <w:rsid w:val="001410AA"/>
    <w:rsid w:val="00147D41"/>
    <w:rsid w:val="00151B05"/>
    <w:rsid w:val="00153B11"/>
    <w:rsid w:val="00154DA5"/>
    <w:rsid w:val="00155DFB"/>
    <w:rsid w:val="00177001"/>
    <w:rsid w:val="0018050E"/>
    <w:rsid w:val="00193DC0"/>
    <w:rsid w:val="00197050"/>
    <w:rsid w:val="00197ADD"/>
    <w:rsid w:val="001A6402"/>
    <w:rsid w:val="001B2972"/>
    <w:rsid w:val="001B300B"/>
    <w:rsid w:val="001B64D3"/>
    <w:rsid w:val="001C2D90"/>
    <w:rsid w:val="001C5436"/>
    <w:rsid w:val="001D27D6"/>
    <w:rsid w:val="001D4DE9"/>
    <w:rsid w:val="001E072F"/>
    <w:rsid w:val="001F561B"/>
    <w:rsid w:val="00204B82"/>
    <w:rsid w:val="00220619"/>
    <w:rsid w:val="002360E8"/>
    <w:rsid w:val="00246E09"/>
    <w:rsid w:val="00254C67"/>
    <w:rsid w:val="00290C17"/>
    <w:rsid w:val="00294C95"/>
    <w:rsid w:val="002B3D15"/>
    <w:rsid w:val="002C459E"/>
    <w:rsid w:val="002E0889"/>
    <w:rsid w:val="002E131D"/>
    <w:rsid w:val="002E3C28"/>
    <w:rsid w:val="002F4E7A"/>
    <w:rsid w:val="00320CA1"/>
    <w:rsid w:val="00341FF9"/>
    <w:rsid w:val="00344789"/>
    <w:rsid w:val="00360F50"/>
    <w:rsid w:val="0036312B"/>
    <w:rsid w:val="003817DF"/>
    <w:rsid w:val="003919F7"/>
    <w:rsid w:val="003B7AF4"/>
    <w:rsid w:val="003E400C"/>
    <w:rsid w:val="003E7119"/>
    <w:rsid w:val="003F7434"/>
    <w:rsid w:val="004135C9"/>
    <w:rsid w:val="00424E7E"/>
    <w:rsid w:val="0042728A"/>
    <w:rsid w:val="00431758"/>
    <w:rsid w:val="004362C5"/>
    <w:rsid w:val="00437209"/>
    <w:rsid w:val="00465707"/>
    <w:rsid w:val="004676E4"/>
    <w:rsid w:val="00470257"/>
    <w:rsid w:val="0047264F"/>
    <w:rsid w:val="004869A7"/>
    <w:rsid w:val="00486FFD"/>
    <w:rsid w:val="00491EE7"/>
    <w:rsid w:val="0049299F"/>
    <w:rsid w:val="00494C1B"/>
    <w:rsid w:val="00495548"/>
    <w:rsid w:val="004A74A4"/>
    <w:rsid w:val="004A78F6"/>
    <w:rsid w:val="004B221D"/>
    <w:rsid w:val="004C2B18"/>
    <w:rsid w:val="004D104B"/>
    <w:rsid w:val="004D2236"/>
    <w:rsid w:val="004D5A8C"/>
    <w:rsid w:val="004E388B"/>
    <w:rsid w:val="004E776E"/>
    <w:rsid w:val="004F3817"/>
    <w:rsid w:val="004F590A"/>
    <w:rsid w:val="0050130F"/>
    <w:rsid w:val="00502F3D"/>
    <w:rsid w:val="005267AC"/>
    <w:rsid w:val="00527411"/>
    <w:rsid w:val="005279B6"/>
    <w:rsid w:val="00550647"/>
    <w:rsid w:val="00580B12"/>
    <w:rsid w:val="00586B57"/>
    <w:rsid w:val="00587300"/>
    <w:rsid w:val="00591184"/>
    <w:rsid w:val="00591B3A"/>
    <w:rsid w:val="00593514"/>
    <w:rsid w:val="00593D76"/>
    <w:rsid w:val="005A57CC"/>
    <w:rsid w:val="005A6B97"/>
    <w:rsid w:val="005C3EB9"/>
    <w:rsid w:val="005D105A"/>
    <w:rsid w:val="00625F36"/>
    <w:rsid w:val="00646C52"/>
    <w:rsid w:val="00655D4F"/>
    <w:rsid w:val="0065662B"/>
    <w:rsid w:val="00661ED1"/>
    <w:rsid w:val="006626AF"/>
    <w:rsid w:val="00662863"/>
    <w:rsid w:val="00667278"/>
    <w:rsid w:val="00671DD9"/>
    <w:rsid w:val="0068031A"/>
    <w:rsid w:val="006808CC"/>
    <w:rsid w:val="00697E37"/>
    <w:rsid w:val="006A0811"/>
    <w:rsid w:val="006A1F60"/>
    <w:rsid w:val="006A3BB6"/>
    <w:rsid w:val="006F4646"/>
    <w:rsid w:val="00705DC8"/>
    <w:rsid w:val="007462AF"/>
    <w:rsid w:val="007471F1"/>
    <w:rsid w:val="0075390E"/>
    <w:rsid w:val="007759A6"/>
    <w:rsid w:val="007816C7"/>
    <w:rsid w:val="0078392B"/>
    <w:rsid w:val="0079704D"/>
    <w:rsid w:val="007B7560"/>
    <w:rsid w:val="007C74E0"/>
    <w:rsid w:val="007D06F1"/>
    <w:rsid w:val="007D3385"/>
    <w:rsid w:val="007F60B5"/>
    <w:rsid w:val="00810EC6"/>
    <w:rsid w:val="00815835"/>
    <w:rsid w:val="0082026B"/>
    <w:rsid w:val="00830352"/>
    <w:rsid w:val="00832176"/>
    <w:rsid w:val="0083711C"/>
    <w:rsid w:val="008544E1"/>
    <w:rsid w:val="0086418A"/>
    <w:rsid w:val="00864D64"/>
    <w:rsid w:val="00887FBD"/>
    <w:rsid w:val="00897B8A"/>
    <w:rsid w:val="00897E86"/>
    <w:rsid w:val="008A56B9"/>
    <w:rsid w:val="008B36BF"/>
    <w:rsid w:val="008B5764"/>
    <w:rsid w:val="008D09CA"/>
    <w:rsid w:val="008E3CE4"/>
    <w:rsid w:val="008F0109"/>
    <w:rsid w:val="008F2DC2"/>
    <w:rsid w:val="008F54BD"/>
    <w:rsid w:val="009117FA"/>
    <w:rsid w:val="009208B2"/>
    <w:rsid w:val="00927F12"/>
    <w:rsid w:val="00930605"/>
    <w:rsid w:val="00954E52"/>
    <w:rsid w:val="00964ACF"/>
    <w:rsid w:val="009667A4"/>
    <w:rsid w:val="009716AD"/>
    <w:rsid w:val="009755F8"/>
    <w:rsid w:val="00981CAC"/>
    <w:rsid w:val="00994331"/>
    <w:rsid w:val="00995175"/>
    <w:rsid w:val="009966CB"/>
    <w:rsid w:val="00997820"/>
    <w:rsid w:val="009B2B04"/>
    <w:rsid w:val="009D1660"/>
    <w:rsid w:val="009D513B"/>
    <w:rsid w:val="009D662C"/>
    <w:rsid w:val="009E6351"/>
    <w:rsid w:val="00A03BBA"/>
    <w:rsid w:val="00A25E9B"/>
    <w:rsid w:val="00A27EAB"/>
    <w:rsid w:val="00A34818"/>
    <w:rsid w:val="00A503BD"/>
    <w:rsid w:val="00A71E98"/>
    <w:rsid w:val="00A73CF4"/>
    <w:rsid w:val="00A84A08"/>
    <w:rsid w:val="00A8694C"/>
    <w:rsid w:val="00A87331"/>
    <w:rsid w:val="00A91676"/>
    <w:rsid w:val="00AA572B"/>
    <w:rsid w:val="00AA5821"/>
    <w:rsid w:val="00AE45C4"/>
    <w:rsid w:val="00B00ACC"/>
    <w:rsid w:val="00B109F8"/>
    <w:rsid w:val="00B131F1"/>
    <w:rsid w:val="00B2245F"/>
    <w:rsid w:val="00B23CE9"/>
    <w:rsid w:val="00B273F4"/>
    <w:rsid w:val="00B449E9"/>
    <w:rsid w:val="00B50C16"/>
    <w:rsid w:val="00B62B90"/>
    <w:rsid w:val="00B64AE2"/>
    <w:rsid w:val="00B72087"/>
    <w:rsid w:val="00B93C35"/>
    <w:rsid w:val="00B94BFE"/>
    <w:rsid w:val="00B96CD0"/>
    <w:rsid w:val="00BA690B"/>
    <w:rsid w:val="00BA7AF6"/>
    <w:rsid w:val="00BB1DC9"/>
    <w:rsid w:val="00BB3B44"/>
    <w:rsid w:val="00BB4307"/>
    <w:rsid w:val="00BC0BB8"/>
    <w:rsid w:val="00BC0F57"/>
    <w:rsid w:val="00BC2D1D"/>
    <w:rsid w:val="00BD38B1"/>
    <w:rsid w:val="00BE2C85"/>
    <w:rsid w:val="00BF5F01"/>
    <w:rsid w:val="00C0087D"/>
    <w:rsid w:val="00C062EB"/>
    <w:rsid w:val="00C122A4"/>
    <w:rsid w:val="00C176D8"/>
    <w:rsid w:val="00C2663E"/>
    <w:rsid w:val="00C33446"/>
    <w:rsid w:val="00C42F66"/>
    <w:rsid w:val="00C43081"/>
    <w:rsid w:val="00C619F7"/>
    <w:rsid w:val="00C62995"/>
    <w:rsid w:val="00C639EA"/>
    <w:rsid w:val="00C63AAF"/>
    <w:rsid w:val="00C65A1B"/>
    <w:rsid w:val="00C66897"/>
    <w:rsid w:val="00C67180"/>
    <w:rsid w:val="00C821D5"/>
    <w:rsid w:val="00C9207B"/>
    <w:rsid w:val="00CA567C"/>
    <w:rsid w:val="00CB13F4"/>
    <w:rsid w:val="00CB38B3"/>
    <w:rsid w:val="00CB70C5"/>
    <w:rsid w:val="00CD4A23"/>
    <w:rsid w:val="00CD7369"/>
    <w:rsid w:val="00CE633D"/>
    <w:rsid w:val="00D10BEE"/>
    <w:rsid w:val="00D2057E"/>
    <w:rsid w:val="00D2376F"/>
    <w:rsid w:val="00D23B89"/>
    <w:rsid w:val="00D2506F"/>
    <w:rsid w:val="00D263C6"/>
    <w:rsid w:val="00D60BF7"/>
    <w:rsid w:val="00D70252"/>
    <w:rsid w:val="00D70D18"/>
    <w:rsid w:val="00D83A01"/>
    <w:rsid w:val="00D90AAA"/>
    <w:rsid w:val="00D92277"/>
    <w:rsid w:val="00D974FD"/>
    <w:rsid w:val="00DA0C65"/>
    <w:rsid w:val="00DA44B8"/>
    <w:rsid w:val="00DB54A2"/>
    <w:rsid w:val="00DD2599"/>
    <w:rsid w:val="00DD4B7F"/>
    <w:rsid w:val="00DD6CF3"/>
    <w:rsid w:val="00DE64C2"/>
    <w:rsid w:val="00DE76A7"/>
    <w:rsid w:val="00E0538C"/>
    <w:rsid w:val="00E1407E"/>
    <w:rsid w:val="00E32E74"/>
    <w:rsid w:val="00E413F0"/>
    <w:rsid w:val="00E56F00"/>
    <w:rsid w:val="00E61388"/>
    <w:rsid w:val="00E7262E"/>
    <w:rsid w:val="00E76409"/>
    <w:rsid w:val="00E94CD4"/>
    <w:rsid w:val="00EA2751"/>
    <w:rsid w:val="00EA49C5"/>
    <w:rsid w:val="00EA51AD"/>
    <w:rsid w:val="00EB1C36"/>
    <w:rsid w:val="00EB1FB8"/>
    <w:rsid w:val="00ED0B2E"/>
    <w:rsid w:val="00F0340D"/>
    <w:rsid w:val="00F05BFD"/>
    <w:rsid w:val="00F05F40"/>
    <w:rsid w:val="00F06026"/>
    <w:rsid w:val="00F16AAF"/>
    <w:rsid w:val="00F231FC"/>
    <w:rsid w:val="00F26202"/>
    <w:rsid w:val="00F3290F"/>
    <w:rsid w:val="00F367B6"/>
    <w:rsid w:val="00F37BF3"/>
    <w:rsid w:val="00F43BA1"/>
    <w:rsid w:val="00F45090"/>
    <w:rsid w:val="00F53CD8"/>
    <w:rsid w:val="00F715E8"/>
    <w:rsid w:val="00F73ED8"/>
    <w:rsid w:val="00F83769"/>
    <w:rsid w:val="00F859CD"/>
    <w:rsid w:val="00F95ABF"/>
    <w:rsid w:val="00F9737C"/>
    <w:rsid w:val="00FA6B54"/>
    <w:rsid w:val="00FB178F"/>
    <w:rsid w:val="00FD0DC2"/>
    <w:rsid w:val="00FE2C1E"/>
    <w:rsid w:val="00FE6B8B"/>
    <w:rsid w:val="00FF06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88DCC13-AF70-4DF6-8663-0D0C6439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7434"/>
    <w:rPr>
      <w:rFonts w:ascii="Noto Sans" w:eastAsia="Times New Roman" w:hAnsi="Noto Sans" w:cs="Times New Roman"/>
      <w:sz w:val="22"/>
      <w:lang w:eastAsia="es-ES_tradnl"/>
    </w:rPr>
  </w:style>
  <w:style w:type="paragraph" w:styleId="Ttulo1">
    <w:name w:val="heading 1"/>
    <w:basedOn w:val="Normal"/>
    <w:next w:val="Normal"/>
    <w:uiPriority w:val="9"/>
    <w:qFormat/>
    <w:rsid w:val="00CD7369"/>
    <w:pPr>
      <w:jc w:val="center"/>
      <w:outlineLvl w:val="0"/>
    </w:pPr>
    <w:rPr>
      <w:rFonts w:eastAsia="Noto Sans" w:cs="Noto Sans" w:ascii="Noto Sans" w:hAnsi="Noto Sans"/>
      <w:b/>
      <w:color w:val="670E35"/>
      <w:sz w:val="22"/>
      <w:lang w:eastAsia="es-MX"/>
    </w:rPr>
  </w:style>
  <w:style w:type="paragraph" w:styleId="Ttulo2">
    <w:name w:val="heading 2"/>
    <w:basedOn w:val="Normal"/>
    <w:next w:val="Normal"/>
    <w:uiPriority w:val="9"/>
    <w:unhideWhenUsed/>
    <w:qFormat/>
    <w:rsid w:val="00D70252"/>
    <w:pPr>
      <w:jc w:val="center"/>
      <w:outlineLvl w:val="1"/>
    </w:pPr>
    <w:rPr>
      <w:rFonts w:eastAsia="Montserrat Light" w:cs="Montserrat Light" w:ascii="Noto Sans" w:hAnsi="Noto Sans"/>
      <w:b/>
      <w:color w:val="666666"/>
      <w:sz w:val="22"/>
      <w:lang w:eastAsia="es-MX"/>
    </w:rPr>
  </w:style>
  <w:style w:type="paragraph" w:styleId="Ttulo3">
    <w:name w:val="heading 3"/>
    <w:basedOn w:val="Normal"/>
    <w:next w:val="Normal"/>
    <w:uiPriority w:val="9"/>
    <w:unhideWhenUsed/>
    <w:qFormat/>
    <w:rsid w:val="00CD7369"/>
    <w:pPr>
      <w:shd w:val="clear" w:color="auto" w:fill="670E35"/>
      <w:outlineLvl w:val="2"/>
    </w:pPr>
    <w:rPr>
      <w:rFonts w:ascii="Noto Sans" w:hAnsi="Noto Sans"/>
      <w:b/>
      <w:color w:val="FFFFFF"/>
      <w:sz w:val="22"/>
      <w:lang w:eastAsia="es-MX"/>
    </w:rPr>
  </w:style>
  <w:style w:type="paragraph" w:styleId="Ttulo4">
    <w:name w:val="heading 4"/>
    <w:basedOn w:val="Normal"/>
    <w:next w:val="Normal"/>
    <w:uiPriority w:val="9"/>
    <w:unhideWhenUsed/>
    <w:qFormat/>
    <w:rsid w:val="00D70252"/>
    <w:pPr>
      <w:keepNext/>
      <w:keepLines/>
      <w:numPr>
        <w:numId w:val="1"/>
      </w:numPr>
      <w:spacing w:before="240" w:after="40"/>
      <w:ind w:left="709" w:hanging="709"/>
      <w:outlineLvl w:val="3"/>
    </w:pPr>
    <w:rPr>
      <w:rFonts w:ascii="Noto Sans" w:hAnsi="Noto Sans"/>
      <w:b/>
      <w:sz w:val="22"/>
      <w:lang w:eastAsia="es-MX"/>
    </w:rPr>
  </w:style>
  <w:style w:type="paragraph" w:styleId="Ttulo5">
    <w:name w:val="heading 5"/>
    <w:basedOn w:val="Ttulo2"/>
    <w:next w:val="Normal"/>
    <w:uiPriority w:val="9"/>
    <w:unhideWhenUsed/>
    <w:qFormat/>
    <w:rsid w:val="00D70252"/>
    <w:pPr>
      <w:jc w:val="right"/>
      <w:outlineLvl w:val="4"/>
    </w:pPr>
    <w:rPr>
      <w:rFonts w:ascii="Noto Sans" w:hAnsi="Noto Sans"/>
      <w:b w:val="0"/>
      <w:sz w:val="22"/>
    </w:rPr>
  </w:style>
  <w:style w:type="paragraph" w:styleId="Ttulo6">
    <w:name w:val="heading 6"/>
    <w:basedOn w:val="Normal"/>
    <w:next w:val="Normal"/>
    <w:uiPriority w:val="9"/>
    <w:semiHidden/>
    <w:unhideWhenUsed/>
    <w:qFormat/>
    <w:pPr>
      <w:keepNext/>
      <w:keepLines/>
      <w:spacing w:before="200" w:after="40"/>
      <w:outlineLvl w:val="5"/>
    </w:pPr>
    <w:rPr>
      <w:rFonts w:ascii="Noto Sans" w:hAnsi="Noto Sans"/>
      <w:b/>
      <w:sz w:val="22"/>
      <w:szCs w:val="20"/>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rFonts w:ascii="Noto Sans" w:hAnsi="Noto Sans"/>
      <w:b/>
      <w:sz w:val="22"/>
      <w:szCs w:val="72"/>
      <w:lang w:eastAsia="es-MX"/>
    </w:rPr>
  </w:style>
  <w:style w:type="table" w:customStyle="1" w:styleId="TableNormal2">
    <w:name w:val="Table Normal2"/>
    <w:tblPr>
      <w:tblCellMar>
        <w:top w:w="0" w:type="dxa"/>
        <w:left w:w="0" w:type="dxa"/>
        <w:bottom w:w="0" w:type="dxa"/>
        <w:right w:w="0" w:type="dxa"/>
      </w:tblCellMar>
    </w:tblPr>
  </w:style>
  <w:style w:type="paragraph" w:styleId="Encabezado">
    <w:name w:val="header"/>
    <w:basedOn w:val="Normal"/>
    <w:link w:val="EncabezadoCar"/>
    <w:uiPriority w:val="99"/>
    <w:unhideWhenUsed/>
    <w:rsid w:val="00A73D65"/>
    <w:pPr>
      <w:tabs>
        <w:tab w:val="center" w:pos="4419"/>
        <w:tab w:val="right" w:pos="8838"/>
      </w:tabs>
    </w:pPr>
    <w:rPr>
      <w:rFonts w:ascii="Noto Sans" w:hAnsi="Noto Sans"/>
      <w:sz w:val="22"/>
      <w:lang w:eastAsia="es-MX"/>
    </w:rPr>
  </w:style>
  <w:style w:type="character" w:customStyle="1" w:styleId="EncabezadoCar">
    <w:name w:val="Encabezado Car"/>
    <w:basedOn w:val="Fuentedeprrafopredeter"/>
    <w:link w:val="Encabezado"/>
    <w:uiPriority w:val="99"/>
    <w:rsid w:val="00A73D65"/>
    <w:rPr>
      <w:rFonts w:eastAsiaTheme="minorEastAsia"/>
      <w:lang w:val="es-ES"/>
    </w:rPr>
  </w:style>
  <w:style w:type="paragraph" w:styleId="Piedepgina">
    <w:name w:val="footer"/>
    <w:basedOn w:val="Normal"/>
    <w:link w:val="PiedepginaCar"/>
    <w:uiPriority w:val="99"/>
    <w:unhideWhenUsed/>
    <w:rsid w:val="00A73D65"/>
    <w:pPr>
      <w:tabs>
        <w:tab w:val="center" w:pos="4419"/>
        <w:tab w:val="right" w:pos="8838"/>
      </w:tabs>
    </w:pPr>
    <w:rPr>
      <w:rFonts w:ascii="Noto Sans" w:hAnsi="Noto Sans"/>
      <w:sz w:val="22"/>
      <w:lang w:eastAsia="es-MX"/>
    </w:rPr>
  </w:style>
  <w:style w:type="character" w:customStyle="1" w:styleId="PiedepginaCar">
    <w:name w:val="Pie de página Car"/>
    <w:basedOn w:val="Fuentedeprrafopredeter"/>
    <w:link w:val="Piedepgina"/>
    <w:uiPriority w:val="99"/>
    <w:rsid w:val="00A73D65"/>
    <w:rPr>
      <w:rFonts w:eastAsiaTheme="minorEastAsia"/>
      <w:lang w:val="es-ES"/>
    </w:rPr>
  </w:style>
  <w:style w:type="paragraph" w:styleId="Subttulo">
    <w:name w:val="Subtitle"/>
    <w:basedOn w:val="Normal"/>
    <w:next w:val="Normal"/>
    <w:pPr>
      <w:keepNext/>
      <w:keepLines/>
      <w:spacing w:before="360" w:after="80"/>
    </w:pPr>
    <w:rPr>
      <w:rFonts w:ascii="Noto Sans" w:eastAsia="Georgia" w:hAnsi="Noto Sans" w:cs="Georgia"/>
      <w:i/>
      <w:color w:val="666666"/>
      <w:sz w:val="22"/>
      <w:szCs w:val="48"/>
      <w:lang w:eastAsia="es-MX"/>
    </w:rPr>
  </w:style>
  <w:style w:type="paragraph" w:styleId="NormalWeb">
    <w:name w:val="Normal (Web)"/>
    <w:basedOn w:val="Normal"/>
    <w:uiPriority w:val="99"/>
    <w:unhideWhenUsed/>
    <w:rsid w:val="00C84662"/>
    <w:pPr>
      <w:spacing w:before="100" w:beforeAutospacing="1" w:after="100" w:afterAutospacing="1"/>
    </w:pPr>
    <w:rPr>
      <w:rFonts w:ascii="Noto Sans" w:hAnsi="Noto Sans"/>
      <w:sz w:val="22"/>
      <w:lang w:eastAsia="es-MX"/>
    </w:rPr>
  </w:style>
  <w:style w:type="paragraph" w:styleId="Prrafodelista">
    <w:name w:val="List Paragraph"/>
    <w:basedOn w:val="Normal"/>
    <w:uiPriority w:val="34"/>
    <w:qFormat/>
    <w:rsid w:val="001E119D"/>
    <w:pPr>
      <w:ind w:left="720"/>
      <w:contextualSpacing/>
    </w:pPr>
    <w:rPr>
      <w:rFonts w:ascii="Noto Sans" w:hAnsi="Noto Sans"/>
      <w:sz w:val="22"/>
      <w:lang w:eastAsia="es-MX"/>
    </w:rPr>
  </w:style>
  <w:style w:type="paragraph" w:styleId="Textodeglobo">
    <w:name w:val="Balloon Text"/>
    <w:basedOn w:val="Normal"/>
    <w:link w:val="TextodegloboCar"/>
    <w:uiPriority w:val="99"/>
    <w:semiHidden/>
    <w:unhideWhenUsed/>
    <w:rsid w:val="001E119D"/>
    <w:rPr>
      <w:rFonts w:ascii="Noto Sans" w:hAnsi="Noto Sans" w:cs="Segoe UI"/>
      <w:sz w:val="22"/>
      <w:szCs w:val="18"/>
      <w:lang w:eastAsia="es-MX"/>
    </w:rPr>
  </w:style>
  <w:style w:type="character" w:customStyle="1" w:styleId="TextodegloboCar">
    <w:name w:val="Texto de globo Car"/>
    <w:basedOn w:val="Fuentedeprrafopredeter"/>
    <w:link w:val="Textodeglobo"/>
    <w:uiPriority w:val="99"/>
    <w:semiHidden/>
    <w:rsid w:val="001E119D"/>
    <w:rPr>
      <w:rFonts w:ascii="Segoe UI" w:eastAsiaTheme="minorEastAsia" w:hAnsi="Segoe UI" w:cs="Segoe UI"/>
      <w:sz w:val="18"/>
      <w:szCs w:val="18"/>
      <w:lang w:val="es-ES"/>
    </w:rPr>
  </w:style>
  <w:style w:type="character" w:styleId="Hipervnculo">
    <w:name w:val="Hyperlink"/>
    <w:basedOn w:val="Fuentedeprrafopredeter"/>
    <w:uiPriority w:val="99"/>
    <w:unhideWhenUsed/>
    <w:rsid w:val="00021984"/>
    <w:rPr>
      <w:color w:val="0000FF"/>
      <w:u w:val="single"/>
    </w:rPr>
  </w:style>
  <w:style w:type="character" w:styleId="Textoennegrita">
    <w:name w:val="Strong"/>
    <w:basedOn w:val="Fuentedeprrafopredeter"/>
    <w:uiPriority w:val="22"/>
    <w:qFormat/>
    <w:rsid w:val="008D09CA"/>
    <w:rPr>
      <w:b/>
      <w:bCs/>
    </w:rPr>
  </w:style>
  <w:style w:type="paragraph" w:styleId="Textonotapie">
    <w:name w:val="footnote text"/>
    <w:basedOn w:val="Normal"/>
    <w:link w:val="TextonotapieCar"/>
    <w:uiPriority w:val="99"/>
    <w:semiHidden/>
    <w:unhideWhenUsed/>
    <w:rsid w:val="008D09CA"/>
    <w:rPr>
      <w:rFonts w:ascii="Noto Sans" w:hAnsi="Noto Sans"/>
      <w:sz w:val="22"/>
      <w:szCs w:val="20"/>
      <w:lang w:eastAsia="es-MX"/>
    </w:rPr>
  </w:style>
  <w:style w:type="character" w:customStyle="1" w:styleId="TextonotapieCar">
    <w:name w:val="Texto nota pie Car"/>
    <w:basedOn w:val="Fuentedeprrafopredeter"/>
    <w:link w:val="Textonotapie"/>
    <w:uiPriority w:val="99"/>
    <w:semiHidden/>
    <w:rsid w:val="008D09CA"/>
    <w:rPr>
      <w:rFonts w:ascii="Montserrat" w:eastAsia="Montserrat" w:hAnsi="Montserrat" w:cs="Montserrat"/>
      <w:sz w:val="20"/>
      <w:szCs w:val="20"/>
      <w:lang w:val="es-ES"/>
    </w:rPr>
  </w:style>
  <w:style w:type="character" w:styleId="Refdenotaalpie">
    <w:name w:val="footnote reference"/>
    <w:basedOn w:val="Fuentedeprrafopredeter"/>
    <w:uiPriority w:val="99"/>
    <w:semiHidden/>
    <w:unhideWhenUsed/>
    <w:rsid w:val="008D09CA"/>
    <w:rPr>
      <w:vertAlign w:val="superscript"/>
    </w:rPr>
  </w:style>
  <w:style w:type="table" w:styleId="Tablaconcuadrcula">
    <w:name w:val="Table Grid"/>
    <w:basedOn w:val="Tablanormal"/>
    <w:uiPriority w:val="39"/>
    <w:rsid w:val="00E764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3">
    <w:name w:val="Grid Table 4 Accent 3"/>
    <w:basedOn w:val="Tablanormal"/>
    <w:uiPriority w:val="49"/>
    <w:rsid w:val="00C176D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Textodelmarcadordeposicin">
    <w:name w:val="Placeholder Text"/>
    <w:basedOn w:val="Fuentedeprrafopredeter"/>
    <w:uiPriority w:val="99"/>
    <w:semiHidden/>
    <w:rsid w:val="00810EC6"/>
    <w:rPr>
      <w:color w:val="666666"/>
    </w:rPr>
  </w:style>
  <w:style w:type="character" w:styleId="Mencinsinresolver">
    <w:name w:val="Unresolved Mention"/>
    <w:basedOn w:val="Fuentedeprrafopredeter"/>
    <w:uiPriority w:val="99"/>
    <w:semiHidden/>
    <w:unhideWhenUsed/>
    <w:rsid w:val="0013733B"/>
    <w:rPr>
      <w:color w:val="605E5C"/>
      <w:shd w:val="clear" w:color="auto" w:fill="E1DFDD"/>
    </w:rPr>
  </w:style>
  <w:style w:type="paragraph" w:customStyle="1" w:styleId="n01">
    <w:name w:val="n01"/>
    <w:basedOn w:val="Normal"/>
    <w:rsid w:val="00431758"/>
    <w:pPr>
      <w:keepLines/>
      <w:spacing w:before="240"/>
      <w:ind w:left="720" w:hanging="720"/>
    </w:pPr>
    <w:rPr>
      <w:rFonts w:ascii="Noto Sans" w:hAnsi="Noto Sans" w:cs="Arial"/>
      <w:color w:val="800080"/>
      <w:sz w:val="22"/>
      <w:lang w:val="es-ES_tradnl" w:eastAsia="es-ES"/>
    </w:rPr>
  </w:style>
  <w:style w:type="table" w:styleId="Tablaconcuadrcula1clara-nfasis6">
    <w:name w:val="Grid Table 1 Light Accent 6"/>
    <w:basedOn w:val="Tablanormal"/>
    <w:uiPriority w:val="46"/>
    <w:rsid w:val="00054FB9"/>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2-nfasis6">
    <w:name w:val="Grid Table 2 Accent 6"/>
    <w:basedOn w:val="Tablanormal"/>
    <w:uiPriority w:val="47"/>
    <w:rsid w:val="00054FB9"/>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merodepgina">
    <w:name w:val="page number"/>
    <w:basedOn w:val="Fuentedeprrafopredeter"/>
    <w:uiPriority w:val="99"/>
    <w:semiHidden/>
    <w:unhideWhenUsed/>
    <w:rsid w:val="008544E1"/>
  </w:style>
  <w:style w:type="character" w:styleId="Hipervnculovisitado">
    <w:name w:val="FollowedHyperlink"/>
    <w:basedOn w:val="Fuentedeprrafopredeter"/>
    <w:uiPriority w:val="99"/>
    <w:semiHidden/>
    <w:unhideWhenUsed/>
    <w:rsid w:val="00502F3D"/>
    <w:rPr>
      <w:color w:val="96607D"/>
      <w:u w:val="single"/>
    </w:rPr>
  </w:style>
  <w:style w:type="paragraph" w:customStyle="1" w:styleId="msonormal0">
    <w:name w:val="msonormal"/>
    <w:basedOn w:val="Normal"/>
    <w:rsid w:val="00502F3D"/>
    <w:pPr>
      <w:spacing w:before="100" w:beforeAutospacing="1" w:after="100" w:afterAutospacing="1"/>
    </w:pPr>
    <w:rPr>
      <w:rFonts w:ascii="Noto Sans" w:hAnsi="Noto Sans"/>
      <w:sz w:val="22"/>
      <w:lang w:eastAsia="es-MX"/>
    </w:rPr>
  </w:style>
  <w:style w:type="paragraph" w:customStyle="1" w:styleId="xl65">
    <w:name w:val="xl65"/>
    <w:basedOn w:val="Normal"/>
    <w:rsid w:val="00502F3D"/>
    <w:pPr>
      <w:spacing w:before="100" w:beforeAutospacing="1" w:after="100" w:afterAutospacing="1"/>
    </w:pPr>
    <w:rPr>
      <w:rFonts w:ascii="Noto Sans" w:hAnsi="Noto Sans"/>
      <w:sz w:val="22"/>
      <w:lang w:eastAsia="es-MX"/>
    </w:rPr>
  </w:style>
  <w:style w:type="paragraph" w:customStyle="1" w:styleId="xl66">
    <w:name w:val="xl66"/>
    <w:basedOn w:val="Normal"/>
    <w:rsid w:val="00502F3D"/>
    <w:pPr>
      <w:spacing w:before="100" w:beforeAutospacing="1" w:after="100" w:afterAutospacing="1"/>
    </w:pPr>
    <w:rPr>
      <w:rFonts w:ascii="Noto Sans" w:hAnsi="Noto Sans" w:cs="Calibri"/>
      <w:color w:val="000000"/>
      <w:sz w:val="22"/>
      <w:lang w:eastAsia="es-MX"/>
    </w:rPr>
  </w:style>
  <w:style w:type="table" w:styleId="Tablaconcuadrcula4-nfasis6">
    <w:name w:val="Grid Table 4 Accent 6"/>
    <w:basedOn w:val="Tablanormal"/>
    <w:uiPriority w:val="49"/>
    <w:rsid w:val="00502F3D"/>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xl67">
    <w:name w:val="xl67"/>
    <w:basedOn w:val="Normal"/>
    <w:rsid w:val="00E94CD4"/>
    <w:pPr>
      <w:spacing w:before="100" w:beforeAutospacing="1" w:after="100" w:afterAutospacing="1"/>
    </w:pPr>
    <w:rPr>
      <w:rFonts w:ascii="Noto Sans" w:hAnsi="Noto Sans"/>
      <w:sz w:val="22"/>
      <w:lang w:eastAsia="es-MX"/>
    </w:rPr>
  </w:style>
  <w:style w:type="paragraph" w:customStyle="1" w:styleId="xl68">
    <w:name w:val="xl68"/>
    <w:basedOn w:val="Normal"/>
    <w:rsid w:val="00E94CD4"/>
    <w:pPr>
      <w:spacing w:before="100" w:beforeAutospacing="1" w:after="100" w:afterAutospacing="1"/>
    </w:pPr>
    <w:rPr>
      <w:rFonts w:ascii="Noto Sans" w:hAnsi="Noto Sans" w:cs="Calibri"/>
      <w:color w:val="000000"/>
      <w:sz w:val="22"/>
      <w:lang w:eastAsia="es-MX"/>
    </w:rPr>
  </w:style>
  <w:style w:type="paragraph" w:customStyle="1" w:styleId="pdq2pgselectionanchorcontainer">
    <w:name w:val="pdq2pg_selectionanchorcontainer"/>
    <w:basedOn w:val="Normal"/>
    <w:rsid w:val="00360F50"/>
    <w:pPr>
      <w:spacing w:before="100" w:beforeAutospacing="1" w:after="100" w:afterAutospacing="1"/>
    </w:pPr>
    <w:rPr>
      <w:rFonts w:ascii="Noto Sans" w:hAnsi="Noto San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8942">
      <w:bodyDiv w:val="1"/>
      <w:marLeft w:val="0"/>
      <w:marRight w:val="0"/>
      <w:marTop w:val="0"/>
      <w:marBottom w:val="0"/>
      <w:divBdr>
        <w:top w:val="none" w:sz="0" w:space="0" w:color="auto"/>
        <w:left w:val="none" w:sz="0" w:space="0" w:color="auto"/>
        <w:bottom w:val="none" w:sz="0" w:space="0" w:color="auto"/>
        <w:right w:val="none" w:sz="0" w:space="0" w:color="auto"/>
      </w:divBdr>
    </w:div>
    <w:div w:id="15810080">
      <w:bodyDiv w:val="1"/>
      <w:marLeft w:val="0"/>
      <w:marRight w:val="0"/>
      <w:marTop w:val="0"/>
      <w:marBottom w:val="0"/>
      <w:divBdr>
        <w:top w:val="none" w:sz="0" w:space="0" w:color="auto"/>
        <w:left w:val="none" w:sz="0" w:space="0" w:color="auto"/>
        <w:bottom w:val="none" w:sz="0" w:space="0" w:color="auto"/>
        <w:right w:val="none" w:sz="0" w:space="0" w:color="auto"/>
      </w:divBdr>
    </w:div>
    <w:div w:id="55663023">
      <w:bodyDiv w:val="1"/>
      <w:marLeft w:val="0"/>
      <w:marRight w:val="0"/>
      <w:marTop w:val="0"/>
      <w:marBottom w:val="0"/>
      <w:divBdr>
        <w:top w:val="none" w:sz="0" w:space="0" w:color="auto"/>
        <w:left w:val="none" w:sz="0" w:space="0" w:color="auto"/>
        <w:bottom w:val="none" w:sz="0" w:space="0" w:color="auto"/>
        <w:right w:val="none" w:sz="0" w:space="0" w:color="auto"/>
      </w:divBdr>
    </w:div>
    <w:div w:id="62608974">
      <w:bodyDiv w:val="1"/>
      <w:marLeft w:val="0"/>
      <w:marRight w:val="0"/>
      <w:marTop w:val="0"/>
      <w:marBottom w:val="0"/>
      <w:divBdr>
        <w:top w:val="none" w:sz="0" w:space="0" w:color="auto"/>
        <w:left w:val="none" w:sz="0" w:space="0" w:color="auto"/>
        <w:bottom w:val="none" w:sz="0" w:space="0" w:color="auto"/>
        <w:right w:val="none" w:sz="0" w:space="0" w:color="auto"/>
      </w:divBdr>
    </w:div>
    <w:div w:id="65422157">
      <w:bodyDiv w:val="1"/>
      <w:marLeft w:val="0"/>
      <w:marRight w:val="0"/>
      <w:marTop w:val="0"/>
      <w:marBottom w:val="0"/>
      <w:divBdr>
        <w:top w:val="none" w:sz="0" w:space="0" w:color="auto"/>
        <w:left w:val="none" w:sz="0" w:space="0" w:color="auto"/>
        <w:bottom w:val="none" w:sz="0" w:space="0" w:color="auto"/>
        <w:right w:val="none" w:sz="0" w:space="0" w:color="auto"/>
      </w:divBdr>
    </w:div>
    <w:div w:id="127865966">
      <w:bodyDiv w:val="1"/>
      <w:marLeft w:val="0"/>
      <w:marRight w:val="0"/>
      <w:marTop w:val="0"/>
      <w:marBottom w:val="0"/>
      <w:divBdr>
        <w:top w:val="none" w:sz="0" w:space="0" w:color="auto"/>
        <w:left w:val="none" w:sz="0" w:space="0" w:color="auto"/>
        <w:bottom w:val="none" w:sz="0" w:space="0" w:color="auto"/>
        <w:right w:val="none" w:sz="0" w:space="0" w:color="auto"/>
      </w:divBdr>
    </w:div>
    <w:div w:id="173880736">
      <w:bodyDiv w:val="1"/>
      <w:marLeft w:val="0"/>
      <w:marRight w:val="0"/>
      <w:marTop w:val="0"/>
      <w:marBottom w:val="0"/>
      <w:divBdr>
        <w:top w:val="none" w:sz="0" w:space="0" w:color="auto"/>
        <w:left w:val="none" w:sz="0" w:space="0" w:color="auto"/>
        <w:bottom w:val="none" w:sz="0" w:space="0" w:color="auto"/>
        <w:right w:val="none" w:sz="0" w:space="0" w:color="auto"/>
      </w:divBdr>
    </w:div>
    <w:div w:id="183180050">
      <w:bodyDiv w:val="1"/>
      <w:marLeft w:val="0"/>
      <w:marRight w:val="0"/>
      <w:marTop w:val="0"/>
      <w:marBottom w:val="0"/>
      <w:divBdr>
        <w:top w:val="none" w:sz="0" w:space="0" w:color="auto"/>
        <w:left w:val="none" w:sz="0" w:space="0" w:color="auto"/>
        <w:bottom w:val="none" w:sz="0" w:space="0" w:color="auto"/>
        <w:right w:val="none" w:sz="0" w:space="0" w:color="auto"/>
      </w:divBdr>
    </w:div>
    <w:div w:id="257836087">
      <w:bodyDiv w:val="1"/>
      <w:marLeft w:val="0"/>
      <w:marRight w:val="0"/>
      <w:marTop w:val="0"/>
      <w:marBottom w:val="0"/>
      <w:divBdr>
        <w:top w:val="none" w:sz="0" w:space="0" w:color="auto"/>
        <w:left w:val="none" w:sz="0" w:space="0" w:color="auto"/>
        <w:bottom w:val="none" w:sz="0" w:space="0" w:color="auto"/>
        <w:right w:val="none" w:sz="0" w:space="0" w:color="auto"/>
      </w:divBdr>
    </w:div>
    <w:div w:id="291257348">
      <w:bodyDiv w:val="1"/>
      <w:marLeft w:val="0"/>
      <w:marRight w:val="0"/>
      <w:marTop w:val="0"/>
      <w:marBottom w:val="0"/>
      <w:divBdr>
        <w:top w:val="none" w:sz="0" w:space="0" w:color="auto"/>
        <w:left w:val="none" w:sz="0" w:space="0" w:color="auto"/>
        <w:bottom w:val="none" w:sz="0" w:space="0" w:color="auto"/>
        <w:right w:val="none" w:sz="0" w:space="0" w:color="auto"/>
      </w:divBdr>
      <w:divsChild>
        <w:div w:id="1573585854">
          <w:marLeft w:val="0"/>
          <w:marRight w:val="0"/>
          <w:marTop w:val="0"/>
          <w:marBottom w:val="0"/>
          <w:divBdr>
            <w:top w:val="none" w:sz="0" w:space="0" w:color="auto"/>
            <w:left w:val="none" w:sz="0" w:space="0" w:color="auto"/>
            <w:bottom w:val="none" w:sz="0" w:space="0" w:color="auto"/>
            <w:right w:val="none" w:sz="0" w:space="0" w:color="auto"/>
          </w:divBdr>
          <w:divsChild>
            <w:div w:id="646397101">
              <w:marLeft w:val="0"/>
              <w:marRight w:val="0"/>
              <w:marTop w:val="0"/>
              <w:marBottom w:val="0"/>
              <w:divBdr>
                <w:top w:val="none" w:sz="0" w:space="0" w:color="auto"/>
                <w:left w:val="none" w:sz="0" w:space="0" w:color="auto"/>
                <w:bottom w:val="none" w:sz="0" w:space="0" w:color="auto"/>
                <w:right w:val="none" w:sz="0" w:space="0" w:color="auto"/>
              </w:divBdr>
              <w:divsChild>
                <w:div w:id="1852524984">
                  <w:marLeft w:val="0"/>
                  <w:marRight w:val="0"/>
                  <w:marTop w:val="0"/>
                  <w:marBottom w:val="0"/>
                  <w:divBdr>
                    <w:top w:val="none" w:sz="0" w:space="0" w:color="auto"/>
                    <w:left w:val="none" w:sz="0" w:space="0" w:color="auto"/>
                    <w:bottom w:val="none" w:sz="0" w:space="0" w:color="auto"/>
                    <w:right w:val="none" w:sz="0" w:space="0" w:color="auto"/>
                  </w:divBdr>
                  <w:divsChild>
                    <w:div w:id="199579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488921">
      <w:bodyDiv w:val="1"/>
      <w:marLeft w:val="0"/>
      <w:marRight w:val="0"/>
      <w:marTop w:val="0"/>
      <w:marBottom w:val="0"/>
      <w:divBdr>
        <w:top w:val="none" w:sz="0" w:space="0" w:color="auto"/>
        <w:left w:val="none" w:sz="0" w:space="0" w:color="auto"/>
        <w:bottom w:val="none" w:sz="0" w:space="0" w:color="auto"/>
        <w:right w:val="none" w:sz="0" w:space="0" w:color="auto"/>
      </w:divBdr>
    </w:div>
    <w:div w:id="452526275">
      <w:bodyDiv w:val="1"/>
      <w:marLeft w:val="0"/>
      <w:marRight w:val="0"/>
      <w:marTop w:val="0"/>
      <w:marBottom w:val="0"/>
      <w:divBdr>
        <w:top w:val="none" w:sz="0" w:space="0" w:color="auto"/>
        <w:left w:val="none" w:sz="0" w:space="0" w:color="auto"/>
        <w:bottom w:val="none" w:sz="0" w:space="0" w:color="auto"/>
        <w:right w:val="none" w:sz="0" w:space="0" w:color="auto"/>
      </w:divBdr>
    </w:div>
    <w:div w:id="473763447">
      <w:bodyDiv w:val="1"/>
      <w:marLeft w:val="0"/>
      <w:marRight w:val="0"/>
      <w:marTop w:val="0"/>
      <w:marBottom w:val="0"/>
      <w:divBdr>
        <w:top w:val="none" w:sz="0" w:space="0" w:color="auto"/>
        <w:left w:val="none" w:sz="0" w:space="0" w:color="auto"/>
        <w:bottom w:val="none" w:sz="0" w:space="0" w:color="auto"/>
        <w:right w:val="none" w:sz="0" w:space="0" w:color="auto"/>
      </w:divBdr>
    </w:div>
    <w:div w:id="493571862">
      <w:bodyDiv w:val="1"/>
      <w:marLeft w:val="0"/>
      <w:marRight w:val="0"/>
      <w:marTop w:val="0"/>
      <w:marBottom w:val="0"/>
      <w:divBdr>
        <w:top w:val="none" w:sz="0" w:space="0" w:color="auto"/>
        <w:left w:val="none" w:sz="0" w:space="0" w:color="auto"/>
        <w:bottom w:val="none" w:sz="0" w:space="0" w:color="auto"/>
        <w:right w:val="none" w:sz="0" w:space="0" w:color="auto"/>
      </w:divBdr>
      <w:divsChild>
        <w:div w:id="1841002512">
          <w:marLeft w:val="0"/>
          <w:marRight w:val="0"/>
          <w:marTop w:val="0"/>
          <w:marBottom w:val="0"/>
          <w:divBdr>
            <w:top w:val="none" w:sz="0" w:space="0" w:color="auto"/>
            <w:left w:val="none" w:sz="0" w:space="0" w:color="auto"/>
            <w:bottom w:val="none" w:sz="0" w:space="0" w:color="auto"/>
            <w:right w:val="none" w:sz="0" w:space="0" w:color="auto"/>
          </w:divBdr>
          <w:divsChild>
            <w:div w:id="384911074">
              <w:marLeft w:val="0"/>
              <w:marRight w:val="0"/>
              <w:marTop w:val="0"/>
              <w:marBottom w:val="0"/>
              <w:divBdr>
                <w:top w:val="none" w:sz="0" w:space="0" w:color="auto"/>
                <w:left w:val="none" w:sz="0" w:space="0" w:color="auto"/>
                <w:bottom w:val="none" w:sz="0" w:space="0" w:color="auto"/>
                <w:right w:val="none" w:sz="0" w:space="0" w:color="auto"/>
              </w:divBdr>
              <w:divsChild>
                <w:div w:id="202974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014997">
      <w:bodyDiv w:val="1"/>
      <w:marLeft w:val="0"/>
      <w:marRight w:val="0"/>
      <w:marTop w:val="0"/>
      <w:marBottom w:val="0"/>
      <w:divBdr>
        <w:top w:val="none" w:sz="0" w:space="0" w:color="auto"/>
        <w:left w:val="none" w:sz="0" w:space="0" w:color="auto"/>
        <w:bottom w:val="none" w:sz="0" w:space="0" w:color="auto"/>
        <w:right w:val="none" w:sz="0" w:space="0" w:color="auto"/>
      </w:divBdr>
      <w:divsChild>
        <w:div w:id="2087914074">
          <w:marLeft w:val="0"/>
          <w:marRight w:val="0"/>
          <w:marTop w:val="0"/>
          <w:marBottom w:val="0"/>
          <w:divBdr>
            <w:top w:val="none" w:sz="0" w:space="0" w:color="auto"/>
            <w:left w:val="none" w:sz="0" w:space="0" w:color="auto"/>
            <w:bottom w:val="none" w:sz="0" w:space="0" w:color="auto"/>
            <w:right w:val="none" w:sz="0" w:space="0" w:color="auto"/>
          </w:divBdr>
          <w:divsChild>
            <w:div w:id="241259099">
              <w:marLeft w:val="0"/>
              <w:marRight w:val="0"/>
              <w:marTop w:val="0"/>
              <w:marBottom w:val="0"/>
              <w:divBdr>
                <w:top w:val="none" w:sz="0" w:space="0" w:color="auto"/>
                <w:left w:val="none" w:sz="0" w:space="0" w:color="auto"/>
                <w:bottom w:val="none" w:sz="0" w:space="0" w:color="auto"/>
                <w:right w:val="none" w:sz="0" w:space="0" w:color="auto"/>
              </w:divBdr>
              <w:divsChild>
                <w:div w:id="95329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220463">
      <w:bodyDiv w:val="1"/>
      <w:marLeft w:val="0"/>
      <w:marRight w:val="0"/>
      <w:marTop w:val="0"/>
      <w:marBottom w:val="0"/>
      <w:divBdr>
        <w:top w:val="none" w:sz="0" w:space="0" w:color="auto"/>
        <w:left w:val="none" w:sz="0" w:space="0" w:color="auto"/>
        <w:bottom w:val="none" w:sz="0" w:space="0" w:color="auto"/>
        <w:right w:val="none" w:sz="0" w:space="0" w:color="auto"/>
      </w:divBdr>
    </w:div>
    <w:div w:id="567768720">
      <w:bodyDiv w:val="1"/>
      <w:marLeft w:val="0"/>
      <w:marRight w:val="0"/>
      <w:marTop w:val="0"/>
      <w:marBottom w:val="0"/>
      <w:divBdr>
        <w:top w:val="none" w:sz="0" w:space="0" w:color="auto"/>
        <w:left w:val="none" w:sz="0" w:space="0" w:color="auto"/>
        <w:bottom w:val="none" w:sz="0" w:space="0" w:color="auto"/>
        <w:right w:val="none" w:sz="0" w:space="0" w:color="auto"/>
      </w:divBdr>
    </w:div>
    <w:div w:id="586961220">
      <w:bodyDiv w:val="1"/>
      <w:marLeft w:val="0"/>
      <w:marRight w:val="0"/>
      <w:marTop w:val="0"/>
      <w:marBottom w:val="0"/>
      <w:divBdr>
        <w:top w:val="none" w:sz="0" w:space="0" w:color="auto"/>
        <w:left w:val="none" w:sz="0" w:space="0" w:color="auto"/>
        <w:bottom w:val="none" w:sz="0" w:space="0" w:color="auto"/>
        <w:right w:val="none" w:sz="0" w:space="0" w:color="auto"/>
      </w:divBdr>
    </w:div>
    <w:div w:id="613437882">
      <w:bodyDiv w:val="1"/>
      <w:marLeft w:val="0"/>
      <w:marRight w:val="0"/>
      <w:marTop w:val="0"/>
      <w:marBottom w:val="0"/>
      <w:divBdr>
        <w:top w:val="none" w:sz="0" w:space="0" w:color="auto"/>
        <w:left w:val="none" w:sz="0" w:space="0" w:color="auto"/>
        <w:bottom w:val="none" w:sz="0" w:space="0" w:color="auto"/>
        <w:right w:val="none" w:sz="0" w:space="0" w:color="auto"/>
      </w:divBdr>
    </w:div>
    <w:div w:id="615212400">
      <w:bodyDiv w:val="1"/>
      <w:marLeft w:val="0"/>
      <w:marRight w:val="0"/>
      <w:marTop w:val="0"/>
      <w:marBottom w:val="0"/>
      <w:divBdr>
        <w:top w:val="none" w:sz="0" w:space="0" w:color="auto"/>
        <w:left w:val="none" w:sz="0" w:space="0" w:color="auto"/>
        <w:bottom w:val="none" w:sz="0" w:space="0" w:color="auto"/>
        <w:right w:val="none" w:sz="0" w:space="0" w:color="auto"/>
      </w:divBdr>
    </w:div>
    <w:div w:id="629743817">
      <w:bodyDiv w:val="1"/>
      <w:marLeft w:val="0"/>
      <w:marRight w:val="0"/>
      <w:marTop w:val="0"/>
      <w:marBottom w:val="0"/>
      <w:divBdr>
        <w:top w:val="none" w:sz="0" w:space="0" w:color="auto"/>
        <w:left w:val="none" w:sz="0" w:space="0" w:color="auto"/>
        <w:bottom w:val="none" w:sz="0" w:space="0" w:color="auto"/>
        <w:right w:val="none" w:sz="0" w:space="0" w:color="auto"/>
      </w:divBdr>
    </w:div>
    <w:div w:id="652681413">
      <w:bodyDiv w:val="1"/>
      <w:marLeft w:val="0"/>
      <w:marRight w:val="0"/>
      <w:marTop w:val="0"/>
      <w:marBottom w:val="0"/>
      <w:divBdr>
        <w:top w:val="none" w:sz="0" w:space="0" w:color="auto"/>
        <w:left w:val="none" w:sz="0" w:space="0" w:color="auto"/>
        <w:bottom w:val="none" w:sz="0" w:space="0" w:color="auto"/>
        <w:right w:val="none" w:sz="0" w:space="0" w:color="auto"/>
      </w:divBdr>
    </w:div>
    <w:div w:id="747534116">
      <w:bodyDiv w:val="1"/>
      <w:marLeft w:val="0"/>
      <w:marRight w:val="0"/>
      <w:marTop w:val="0"/>
      <w:marBottom w:val="0"/>
      <w:divBdr>
        <w:top w:val="none" w:sz="0" w:space="0" w:color="auto"/>
        <w:left w:val="none" w:sz="0" w:space="0" w:color="auto"/>
        <w:bottom w:val="none" w:sz="0" w:space="0" w:color="auto"/>
        <w:right w:val="none" w:sz="0" w:space="0" w:color="auto"/>
      </w:divBdr>
      <w:divsChild>
        <w:div w:id="2094620396">
          <w:marLeft w:val="0"/>
          <w:marRight w:val="0"/>
          <w:marTop w:val="0"/>
          <w:marBottom w:val="0"/>
          <w:divBdr>
            <w:top w:val="none" w:sz="0" w:space="0" w:color="auto"/>
            <w:left w:val="none" w:sz="0" w:space="0" w:color="auto"/>
            <w:bottom w:val="none" w:sz="0" w:space="0" w:color="auto"/>
            <w:right w:val="none" w:sz="0" w:space="0" w:color="auto"/>
          </w:divBdr>
          <w:divsChild>
            <w:div w:id="393705480">
              <w:marLeft w:val="0"/>
              <w:marRight w:val="0"/>
              <w:marTop w:val="0"/>
              <w:marBottom w:val="0"/>
              <w:divBdr>
                <w:top w:val="none" w:sz="0" w:space="0" w:color="auto"/>
                <w:left w:val="none" w:sz="0" w:space="0" w:color="auto"/>
                <w:bottom w:val="none" w:sz="0" w:space="0" w:color="auto"/>
                <w:right w:val="none" w:sz="0" w:space="0" w:color="auto"/>
              </w:divBdr>
              <w:divsChild>
                <w:div w:id="1015230468">
                  <w:marLeft w:val="0"/>
                  <w:marRight w:val="0"/>
                  <w:marTop w:val="0"/>
                  <w:marBottom w:val="0"/>
                  <w:divBdr>
                    <w:top w:val="none" w:sz="0" w:space="0" w:color="auto"/>
                    <w:left w:val="none" w:sz="0" w:space="0" w:color="auto"/>
                    <w:bottom w:val="none" w:sz="0" w:space="0" w:color="auto"/>
                    <w:right w:val="none" w:sz="0" w:space="0" w:color="auto"/>
                  </w:divBdr>
                  <w:divsChild>
                    <w:div w:id="344677764">
                      <w:marLeft w:val="0"/>
                      <w:marRight w:val="0"/>
                      <w:marTop w:val="0"/>
                      <w:marBottom w:val="0"/>
                      <w:divBdr>
                        <w:top w:val="none" w:sz="0" w:space="0" w:color="auto"/>
                        <w:left w:val="none" w:sz="0" w:space="0" w:color="auto"/>
                        <w:bottom w:val="none" w:sz="0" w:space="0" w:color="auto"/>
                        <w:right w:val="none" w:sz="0" w:space="0" w:color="auto"/>
                      </w:divBdr>
                      <w:divsChild>
                        <w:div w:id="1198198946">
                          <w:marLeft w:val="0"/>
                          <w:marRight w:val="0"/>
                          <w:marTop w:val="0"/>
                          <w:marBottom w:val="0"/>
                          <w:divBdr>
                            <w:top w:val="none" w:sz="0" w:space="0" w:color="auto"/>
                            <w:left w:val="none" w:sz="0" w:space="0" w:color="auto"/>
                            <w:bottom w:val="none" w:sz="0" w:space="0" w:color="auto"/>
                            <w:right w:val="none" w:sz="0" w:space="0" w:color="auto"/>
                          </w:divBdr>
                          <w:divsChild>
                            <w:div w:id="15893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028814">
      <w:bodyDiv w:val="1"/>
      <w:marLeft w:val="0"/>
      <w:marRight w:val="0"/>
      <w:marTop w:val="0"/>
      <w:marBottom w:val="0"/>
      <w:divBdr>
        <w:top w:val="none" w:sz="0" w:space="0" w:color="auto"/>
        <w:left w:val="none" w:sz="0" w:space="0" w:color="auto"/>
        <w:bottom w:val="none" w:sz="0" w:space="0" w:color="auto"/>
        <w:right w:val="none" w:sz="0" w:space="0" w:color="auto"/>
      </w:divBdr>
      <w:divsChild>
        <w:div w:id="39400596">
          <w:marLeft w:val="0"/>
          <w:marRight w:val="0"/>
          <w:marTop w:val="0"/>
          <w:marBottom w:val="0"/>
          <w:divBdr>
            <w:top w:val="none" w:sz="0" w:space="0" w:color="auto"/>
            <w:left w:val="none" w:sz="0" w:space="0" w:color="auto"/>
            <w:bottom w:val="none" w:sz="0" w:space="0" w:color="auto"/>
            <w:right w:val="none" w:sz="0" w:space="0" w:color="auto"/>
          </w:divBdr>
          <w:divsChild>
            <w:div w:id="1605840903">
              <w:marLeft w:val="0"/>
              <w:marRight w:val="0"/>
              <w:marTop w:val="0"/>
              <w:marBottom w:val="0"/>
              <w:divBdr>
                <w:top w:val="none" w:sz="0" w:space="0" w:color="auto"/>
                <w:left w:val="none" w:sz="0" w:space="0" w:color="auto"/>
                <w:bottom w:val="none" w:sz="0" w:space="0" w:color="auto"/>
                <w:right w:val="none" w:sz="0" w:space="0" w:color="auto"/>
              </w:divBdr>
              <w:divsChild>
                <w:div w:id="12206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602052">
      <w:bodyDiv w:val="1"/>
      <w:marLeft w:val="0"/>
      <w:marRight w:val="0"/>
      <w:marTop w:val="0"/>
      <w:marBottom w:val="0"/>
      <w:divBdr>
        <w:top w:val="none" w:sz="0" w:space="0" w:color="auto"/>
        <w:left w:val="none" w:sz="0" w:space="0" w:color="auto"/>
        <w:bottom w:val="none" w:sz="0" w:space="0" w:color="auto"/>
        <w:right w:val="none" w:sz="0" w:space="0" w:color="auto"/>
      </w:divBdr>
    </w:div>
    <w:div w:id="845632249">
      <w:bodyDiv w:val="1"/>
      <w:marLeft w:val="0"/>
      <w:marRight w:val="0"/>
      <w:marTop w:val="0"/>
      <w:marBottom w:val="0"/>
      <w:divBdr>
        <w:top w:val="none" w:sz="0" w:space="0" w:color="auto"/>
        <w:left w:val="none" w:sz="0" w:space="0" w:color="auto"/>
        <w:bottom w:val="none" w:sz="0" w:space="0" w:color="auto"/>
        <w:right w:val="none" w:sz="0" w:space="0" w:color="auto"/>
      </w:divBdr>
    </w:div>
    <w:div w:id="876621203">
      <w:bodyDiv w:val="1"/>
      <w:marLeft w:val="0"/>
      <w:marRight w:val="0"/>
      <w:marTop w:val="0"/>
      <w:marBottom w:val="0"/>
      <w:divBdr>
        <w:top w:val="none" w:sz="0" w:space="0" w:color="auto"/>
        <w:left w:val="none" w:sz="0" w:space="0" w:color="auto"/>
        <w:bottom w:val="none" w:sz="0" w:space="0" w:color="auto"/>
        <w:right w:val="none" w:sz="0" w:space="0" w:color="auto"/>
      </w:divBdr>
    </w:div>
    <w:div w:id="942608765">
      <w:bodyDiv w:val="1"/>
      <w:marLeft w:val="0"/>
      <w:marRight w:val="0"/>
      <w:marTop w:val="0"/>
      <w:marBottom w:val="0"/>
      <w:divBdr>
        <w:top w:val="none" w:sz="0" w:space="0" w:color="auto"/>
        <w:left w:val="none" w:sz="0" w:space="0" w:color="auto"/>
        <w:bottom w:val="none" w:sz="0" w:space="0" w:color="auto"/>
        <w:right w:val="none" w:sz="0" w:space="0" w:color="auto"/>
      </w:divBdr>
    </w:div>
    <w:div w:id="955063243">
      <w:bodyDiv w:val="1"/>
      <w:marLeft w:val="0"/>
      <w:marRight w:val="0"/>
      <w:marTop w:val="0"/>
      <w:marBottom w:val="0"/>
      <w:divBdr>
        <w:top w:val="none" w:sz="0" w:space="0" w:color="auto"/>
        <w:left w:val="none" w:sz="0" w:space="0" w:color="auto"/>
        <w:bottom w:val="none" w:sz="0" w:space="0" w:color="auto"/>
        <w:right w:val="none" w:sz="0" w:space="0" w:color="auto"/>
      </w:divBdr>
    </w:div>
    <w:div w:id="975569483">
      <w:bodyDiv w:val="1"/>
      <w:marLeft w:val="0"/>
      <w:marRight w:val="0"/>
      <w:marTop w:val="0"/>
      <w:marBottom w:val="0"/>
      <w:divBdr>
        <w:top w:val="none" w:sz="0" w:space="0" w:color="auto"/>
        <w:left w:val="none" w:sz="0" w:space="0" w:color="auto"/>
        <w:bottom w:val="none" w:sz="0" w:space="0" w:color="auto"/>
        <w:right w:val="none" w:sz="0" w:space="0" w:color="auto"/>
      </w:divBdr>
    </w:div>
    <w:div w:id="976760688">
      <w:bodyDiv w:val="1"/>
      <w:marLeft w:val="0"/>
      <w:marRight w:val="0"/>
      <w:marTop w:val="0"/>
      <w:marBottom w:val="0"/>
      <w:divBdr>
        <w:top w:val="none" w:sz="0" w:space="0" w:color="auto"/>
        <w:left w:val="none" w:sz="0" w:space="0" w:color="auto"/>
        <w:bottom w:val="none" w:sz="0" w:space="0" w:color="auto"/>
        <w:right w:val="none" w:sz="0" w:space="0" w:color="auto"/>
      </w:divBdr>
    </w:div>
    <w:div w:id="994645087">
      <w:bodyDiv w:val="1"/>
      <w:marLeft w:val="0"/>
      <w:marRight w:val="0"/>
      <w:marTop w:val="0"/>
      <w:marBottom w:val="0"/>
      <w:divBdr>
        <w:top w:val="none" w:sz="0" w:space="0" w:color="auto"/>
        <w:left w:val="none" w:sz="0" w:space="0" w:color="auto"/>
        <w:bottom w:val="none" w:sz="0" w:space="0" w:color="auto"/>
        <w:right w:val="none" w:sz="0" w:space="0" w:color="auto"/>
      </w:divBdr>
    </w:div>
    <w:div w:id="1012799610">
      <w:bodyDiv w:val="1"/>
      <w:marLeft w:val="0"/>
      <w:marRight w:val="0"/>
      <w:marTop w:val="0"/>
      <w:marBottom w:val="0"/>
      <w:divBdr>
        <w:top w:val="none" w:sz="0" w:space="0" w:color="auto"/>
        <w:left w:val="none" w:sz="0" w:space="0" w:color="auto"/>
        <w:bottom w:val="none" w:sz="0" w:space="0" w:color="auto"/>
        <w:right w:val="none" w:sz="0" w:space="0" w:color="auto"/>
      </w:divBdr>
    </w:div>
    <w:div w:id="1032920242">
      <w:bodyDiv w:val="1"/>
      <w:marLeft w:val="0"/>
      <w:marRight w:val="0"/>
      <w:marTop w:val="0"/>
      <w:marBottom w:val="0"/>
      <w:divBdr>
        <w:top w:val="none" w:sz="0" w:space="0" w:color="auto"/>
        <w:left w:val="none" w:sz="0" w:space="0" w:color="auto"/>
        <w:bottom w:val="none" w:sz="0" w:space="0" w:color="auto"/>
        <w:right w:val="none" w:sz="0" w:space="0" w:color="auto"/>
      </w:divBdr>
    </w:div>
    <w:div w:id="1075936584">
      <w:bodyDiv w:val="1"/>
      <w:marLeft w:val="0"/>
      <w:marRight w:val="0"/>
      <w:marTop w:val="0"/>
      <w:marBottom w:val="0"/>
      <w:divBdr>
        <w:top w:val="none" w:sz="0" w:space="0" w:color="auto"/>
        <w:left w:val="none" w:sz="0" w:space="0" w:color="auto"/>
        <w:bottom w:val="none" w:sz="0" w:space="0" w:color="auto"/>
        <w:right w:val="none" w:sz="0" w:space="0" w:color="auto"/>
      </w:divBdr>
    </w:div>
    <w:div w:id="1080100041">
      <w:bodyDiv w:val="1"/>
      <w:marLeft w:val="0"/>
      <w:marRight w:val="0"/>
      <w:marTop w:val="0"/>
      <w:marBottom w:val="0"/>
      <w:divBdr>
        <w:top w:val="none" w:sz="0" w:space="0" w:color="auto"/>
        <w:left w:val="none" w:sz="0" w:space="0" w:color="auto"/>
        <w:bottom w:val="none" w:sz="0" w:space="0" w:color="auto"/>
        <w:right w:val="none" w:sz="0" w:space="0" w:color="auto"/>
      </w:divBdr>
    </w:div>
    <w:div w:id="1116680095">
      <w:bodyDiv w:val="1"/>
      <w:marLeft w:val="0"/>
      <w:marRight w:val="0"/>
      <w:marTop w:val="0"/>
      <w:marBottom w:val="0"/>
      <w:divBdr>
        <w:top w:val="none" w:sz="0" w:space="0" w:color="auto"/>
        <w:left w:val="none" w:sz="0" w:space="0" w:color="auto"/>
        <w:bottom w:val="none" w:sz="0" w:space="0" w:color="auto"/>
        <w:right w:val="none" w:sz="0" w:space="0" w:color="auto"/>
      </w:divBdr>
    </w:div>
    <w:div w:id="1124614059">
      <w:bodyDiv w:val="1"/>
      <w:marLeft w:val="0"/>
      <w:marRight w:val="0"/>
      <w:marTop w:val="0"/>
      <w:marBottom w:val="0"/>
      <w:divBdr>
        <w:top w:val="none" w:sz="0" w:space="0" w:color="auto"/>
        <w:left w:val="none" w:sz="0" w:space="0" w:color="auto"/>
        <w:bottom w:val="none" w:sz="0" w:space="0" w:color="auto"/>
        <w:right w:val="none" w:sz="0" w:space="0" w:color="auto"/>
      </w:divBdr>
    </w:div>
    <w:div w:id="1205604638">
      <w:bodyDiv w:val="1"/>
      <w:marLeft w:val="0"/>
      <w:marRight w:val="0"/>
      <w:marTop w:val="0"/>
      <w:marBottom w:val="0"/>
      <w:divBdr>
        <w:top w:val="none" w:sz="0" w:space="0" w:color="auto"/>
        <w:left w:val="none" w:sz="0" w:space="0" w:color="auto"/>
        <w:bottom w:val="none" w:sz="0" w:space="0" w:color="auto"/>
        <w:right w:val="none" w:sz="0" w:space="0" w:color="auto"/>
      </w:divBdr>
    </w:div>
    <w:div w:id="1218709677">
      <w:bodyDiv w:val="1"/>
      <w:marLeft w:val="0"/>
      <w:marRight w:val="0"/>
      <w:marTop w:val="0"/>
      <w:marBottom w:val="0"/>
      <w:divBdr>
        <w:top w:val="none" w:sz="0" w:space="0" w:color="auto"/>
        <w:left w:val="none" w:sz="0" w:space="0" w:color="auto"/>
        <w:bottom w:val="none" w:sz="0" w:space="0" w:color="auto"/>
        <w:right w:val="none" w:sz="0" w:space="0" w:color="auto"/>
      </w:divBdr>
      <w:divsChild>
        <w:div w:id="1930918575">
          <w:marLeft w:val="0"/>
          <w:marRight w:val="0"/>
          <w:marTop w:val="0"/>
          <w:marBottom w:val="0"/>
          <w:divBdr>
            <w:top w:val="none" w:sz="0" w:space="0" w:color="auto"/>
            <w:left w:val="none" w:sz="0" w:space="0" w:color="auto"/>
            <w:bottom w:val="none" w:sz="0" w:space="0" w:color="auto"/>
            <w:right w:val="none" w:sz="0" w:space="0" w:color="auto"/>
          </w:divBdr>
          <w:divsChild>
            <w:div w:id="110587043">
              <w:marLeft w:val="0"/>
              <w:marRight w:val="0"/>
              <w:marTop w:val="0"/>
              <w:marBottom w:val="0"/>
              <w:divBdr>
                <w:top w:val="none" w:sz="0" w:space="0" w:color="auto"/>
                <w:left w:val="none" w:sz="0" w:space="0" w:color="auto"/>
                <w:bottom w:val="none" w:sz="0" w:space="0" w:color="auto"/>
                <w:right w:val="none" w:sz="0" w:space="0" w:color="auto"/>
              </w:divBdr>
              <w:divsChild>
                <w:div w:id="407968353">
                  <w:marLeft w:val="0"/>
                  <w:marRight w:val="0"/>
                  <w:marTop w:val="0"/>
                  <w:marBottom w:val="0"/>
                  <w:divBdr>
                    <w:top w:val="none" w:sz="0" w:space="0" w:color="auto"/>
                    <w:left w:val="none" w:sz="0" w:space="0" w:color="auto"/>
                    <w:bottom w:val="none" w:sz="0" w:space="0" w:color="auto"/>
                    <w:right w:val="none" w:sz="0" w:space="0" w:color="auto"/>
                  </w:divBdr>
                </w:div>
              </w:divsChild>
            </w:div>
            <w:div w:id="449788885">
              <w:marLeft w:val="0"/>
              <w:marRight w:val="0"/>
              <w:marTop w:val="0"/>
              <w:marBottom w:val="0"/>
              <w:divBdr>
                <w:top w:val="none" w:sz="0" w:space="0" w:color="auto"/>
                <w:left w:val="none" w:sz="0" w:space="0" w:color="auto"/>
                <w:bottom w:val="none" w:sz="0" w:space="0" w:color="auto"/>
                <w:right w:val="none" w:sz="0" w:space="0" w:color="auto"/>
              </w:divBdr>
              <w:divsChild>
                <w:div w:id="163767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769321">
      <w:bodyDiv w:val="1"/>
      <w:marLeft w:val="0"/>
      <w:marRight w:val="0"/>
      <w:marTop w:val="0"/>
      <w:marBottom w:val="0"/>
      <w:divBdr>
        <w:top w:val="none" w:sz="0" w:space="0" w:color="auto"/>
        <w:left w:val="none" w:sz="0" w:space="0" w:color="auto"/>
        <w:bottom w:val="none" w:sz="0" w:space="0" w:color="auto"/>
        <w:right w:val="none" w:sz="0" w:space="0" w:color="auto"/>
      </w:divBdr>
    </w:div>
    <w:div w:id="1272710479">
      <w:bodyDiv w:val="1"/>
      <w:marLeft w:val="0"/>
      <w:marRight w:val="0"/>
      <w:marTop w:val="0"/>
      <w:marBottom w:val="0"/>
      <w:divBdr>
        <w:top w:val="none" w:sz="0" w:space="0" w:color="auto"/>
        <w:left w:val="none" w:sz="0" w:space="0" w:color="auto"/>
        <w:bottom w:val="none" w:sz="0" w:space="0" w:color="auto"/>
        <w:right w:val="none" w:sz="0" w:space="0" w:color="auto"/>
      </w:divBdr>
    </w:div>
    <w:div w:id="1326133059">
      <w:bodyDiv w:val="1"/>
      <w:marLeft w:val="0"/>
      <w:marRight w:val="0"/>
      <w:marTop w:val="0"/>
      <w:marBottom w:val="0"/>
      <w:divBdr>
        <w:top w:val="none" w:sz="0" w:space="0" w:color="auto"/>
        <w:left w:val="none" w:sz="0" w:space="0" w:color="auto"/>
        <w:bottom w:val="none" w:sz="0" w:space="0" w:color="auto"/>
        <w:right w:val="none" w:sz="0" w:space="0" w:color="auto"/>
      </w:divBdr>
    </w:div>
    <w:div w:id="1354769096">
      <w:bodyDiv w:val="1"/>
      <w:marLeft w:val="0"/>
      <w:marRight w:val="0"/>
      <w:marTop w:val="0"/>
      <w:marBottom w:val="0"/>
      <w:divBdr>
        <w:top w:val="none" w:sz="0" w:space="0" w:color="auto"/>
        <w:left w:val="none" w:sz="0" w:space="0" w:color="auto"/>
        <w:bottom w:val="none" w:sz="0" w:space="0" w:color="auto"/>
        <w:right w:val="none" w:sz="0" w:space="0" w:color="auto"/>
      </w:divBdr>
    </w:div>
    <w:div w:id="1372651986">
      <w:bodyDiv w:val="1"/>
      <w:marLeft w:val="0"/>
      <w:marRight w:val="0"/>
      <w:marTop w:val="0"/>
      <w:marBottom w:val="0"/>
      <w:divBdr>
        <w:top w:val="none" w:sz="0" w:space="0" w:color="auto"/>
        <w:left w:val="none" w:sz="0" w:space="0" w:color="auto"/>
        <w:bottom w:val="none" w:sz="0" w:space="0" w:color="auto"/>
        <w:right w:val="none" w:sz="0" w:space="0" w:color="auto"/>
      </w:divBdr>
    </w:div>
    <w:div w:id="1379548938">
      <w:bodyDiv w:val="1"/>
      <w:marLeft w:val="0"/>
      <w:marRight w:val="0"/>
      <w:marTop w:val="0"/>
      <w:marBottom w:val="0"/>
      <w:divBdr>
        <w:top w:val="none" w:sz="0" w:space="0" w:color="auto"/>
        <w:left w:val="none" w:sz="0" w:space="0" w:color="auto"/>
        <w:bottom w:val="none" w:sz="0" w:space="0" w:color="auto"/>
        <w:right w:val="none" w:sz="0" w:space="0" w:color="auto"/>
      </w:divBdr>
    </w:div>
    <w:div w:id="1435981506">
      <w:bodyDiv w:val="1"/>
      <w:marLeft w:val="0"/>
      <w:marRight w:val="0"/>
      <w:marTop w:val="0"/>
      <w:marBottom w:val="0"/>
      <w:divBdr>
        <w:top w:val="none" w:sz="0" w:space="0" w:color="auto"/>
        <w:left w:val="none" w:sz="0" w:space="0" w:color="auto"/>
        <w:bottom w:val="none" w:sz="0" w:space="0" w:color="auto"/>
        <w:right w:val="none" w:sz="0" w:space="0" w:color="auto"/>
      </w:divBdr>
    </w:div>
    <w:div w:id="1442383527">
      <w:bodyDiv w:val="1"/>
      <w:marLeft w:val="0"/>
      <w:marRight w:val="0"/>
      <w:marTop w:val="0"/>
      <w:marBottom w:val="0"/>
      <w:divBdr>
        <w:top w:val="none" w:sz="0" w:space="0" w:color="auto"/>
        <w:left w:val="none" w:sz="0" w:space="0" w:color="auto"/>
        <w:bottom w:val="none" w:sz="0" w:space="0" w:color="auto"/>
        <w:right w:val="none" w:sz="0" w:space="0" w:color="auto"/>
      </w:divBdr>
    </w:div>
    <w:div w:id="1454250616">
      <w:bodyDiv w:val="1"/>
      <w:marLeft w:val="0"/>
      <w:marRight w:val="0"/>
      <w:marTop w:val="0"/>
      <w:marBottom w:val="0"/>
      <w:divBdr>
        <w:top w:val="none" w:sz="0" w:space="0" w:color="auto"/>
        <w:left w:val="none" w:sz="0" w:space="0" w:color="auto"/>
        <w:bottom w:val="none" w:sz="0" w:space="0" w:color="auto"/>
        <w:right w:val="none" w:sz="0" w:space="0" w:color="auto"/>
      </w:divBdr>
      <w:divsChild>
        <w:div w:id="2061663873">
          <w:marLeft w:val="0"/>
          <w:marRight w:val="0"/>
          <w:marTop w:val="0"/>
          <w:marBottom w:val="0"/>
          <w:divBdr>
            <w:top w:val="none" w:sz="0" w:space="0" w:color="auto"/>
            <w:left w:val="none" w:sz="0" w:space="0" w:color="auto"/>
            <w:bottom w:val="none" w:sz="0" w:space="0" w:color="auto"/>
            <w:right w:val="none" w:sz="0" w:space="0" w:color="auto"/>
          </w:divBdr>
          <w:divsChild>
            <w:div w:id="1522548964">
              <w:marLeft w:val="0"/>
              <w:marRight w:val="0"/>
              <w:marTop w:val="0"/>
              <w:marBottom w:val="0"/>
              <w:divBdr>
                <w:top w:val="none" w:sz="0" w:space="0" w:color="auto"/>
                <w:left w:val="none" w:sz="0" w:space="0" w:color="auto"/>
                <w:bottom w:val="none" w:sz="0" w:space="0" w:color="auto"/>
                <w:right w:val="none" w:sz="0" w:space="0" w:color="auto"/>
              </w:divBdr>
              <w:divsChild>
                <w:div w:id="190343648">
                  <w:marLeft w:val="0"/>
                  <w:marRight w:val="0"/>
                  <w:marTop w:val="0"/>
                  <w:marBottom w:val="0"/>
                  <w:divBdr>
                    <w:top w:val="none" w:sz="0" w:space="0" w:color="auto"/>
                    <w:left w:val="none" w:sz="0" w:space="0" w:color="auto"/>
                    <w:bottom w:val="none" w:sz="0" w:space="0" w:color="auto"/>
                    <w:right w:val="none" w:sz="0" w:space="0" w:color="auto"/>
                  </w:divBdr>
                  <w:divsChild>
                    <w:div w:id="487525093">
                      <w:marLeft w:val="0"/>
                      <w:marRight w:val="0"/>
                      <w:marTop w:val="0"/>
                      <w:marBottom w:val="0"/>
                      <w:divBdr>
                        <w:top w:val="none" w:sz="0" w:space="0" w:color="auto"/>
                        <w:left w:val="none" w:sz="0" w:space="0" w:color="auto"/>
                        <w:bottom w:val="none" w:sz="0" w:space="0" w:color="auto"/>
                        <w:right w:val="none" w:sz="0" w:space="0" w:color="auto"/>
                      </w:divBdr>
                      <w:divsChild>
                        <w:div w:id="1225795634">
                          <w:marLeft w:val="0"/>
                          <w:marRight w:val="0"/>
                          <w:marTop w:val="0"/>
                          <w:marBottom w:val="0"/>
                          <w:divBdr>
                            <w:top w:val="none" w:sz="0" w:space="0" w:color="auto"/>
                            <w:left w:val="none" w:sz="0" w:space="0" w:color="auto"/>
                            <w:bottom w:val="none" w:sz="0" w:space="0" w:color="auto"/>
                            <w:right w:val="none" w:sz="0" w:space="0" w:color="auto"/>
                          </w:divBdr>
                          <w:divsChild>
                            <w:div w:id="7180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840801">
      <w:bodyDiv w:val="1"/>
      <w:marLeft w:val="0"/>
      <w:marRight w:val="0"/>
      <w:marTop w:val="0"/>
      <w:marBottom w:val="0"/>
      <w:divBdr>
        <w:top w:val="none" w:sz="0" w:space="0" w:color="auto"/>
        <w:left w:val="none" w:sz="0" w:space="0" w:color="auto"/>
        <w:bottom w:val="none" w:sz="0" w:space="0" w:color="auto"/>
        <w:right w:val="none" w:sz="0" w:space="0" w:color="auto"/>
      </w:divBdr>
    </w:div>
    <w:div w:id="1497457679">
      <w:bodyDiv w:val="1"/>
      <w:marLeft w:val="0"/>
      <w:marRight w:val="0"/>
      <w:marTop w:val="0"/>
      <w:marBottom w:val="0"/>
      <w:divBdr>
        <w:top w:val="none" w:sz="0" w:space="0" w:color="auto"/>
        <w:left w:val="none" w:sz="0" w:space="0" w:color="auto"/>
        <w:bottom w:val="none" w:sz="0" w:space="0" w:color="auto"/>
        <w:right w:val="none" w:sz="0" w:space="0" w:color="auto"/>
      </w:divBdr>
    </w:div>
    <w:div w:id="1505588299">
      <w:bodyDiv w:val="1"/>
      <w:marLeft w:val="0"/>
      <w:marRight w:val="0"/>
      <w:marTop w:val="0"/>
      <w:marBottom w:val="0"/>
      <w:divBdr>
        <w:top w:val="none" w:sz="0" w:space="0" w:color="auto"/>
        <w:left w:val="none" w:sz="0" w:space="0" w:color="auto"/>
        <w:bottom w:val="none" w:sz="0" w:space="0" w:color="auto"/>
        <w:right w:val="none" w:sz="0" w:space="0" w:color="auto"/>
      </w:divBdr>
    </w:div>
    <w:div w:id="1510220572">
      <w:bodyDiv w:val="1"/>
      <w:marLeft w:val="0"/>
      <w:marRight w:val="0"/>
      <w:marTop w:val="0"/>
      <w:marBottom w:val="0"/>
      <w:divBdr>
        <w:top w:val="none" w:sz="0" w:space="0" w:color="auto"/>
        <w:left w:val="none" w:sz="0" w:space="0" w:color="auto"/>
        <w:bottom w:val="none" w:sz="0" w:space="0" w:color="auto"/>
        <w:right w:val="none" w:sz="0" w:space="0" w:color="auto"/>
      </w:divBdr>
    </w:div>
    <w:div w:id="1547792422">
      <w:bodyDiv w:val="1"/>
      <w:marLeft w:val="0"/>
      <w:marRight w:val="0"/>
      <w:marTop w:val="0"/>
      <w:marBottom w:val="0"/>
      <w:divBdr>
        <w:top w:val="none" w:sz="0" w:space="0" w:color="auto"/>
        <w:left w:val="none" w:sz="0" w:space="0" w:color="auto"/>
        <w:bottom w:val="none" w:sz="0" w:space="0" w:color="auto"/>
        <w:right w:val="none" w:sz="0" w:space="0" w:color="auto"/>
      </w:divBdr>
    </w:div>
    <w:div w:id="1562398507">
      <w:bodyDiv w:val="1"/>
      <w:marLeft w:val="0"/>
      <w:marRight w:val="0"/>
      <w:marTop w:val="0"/>
      <w:marBottom w:val="0"/>
      <w:divBdr>
        <w:top w:val="none" w:sz="0" w:space="0" w:color="auto"/>
        <w:left w:val="none" w:sz="0" w:space="0" w:color="auto"/>
        <w:bottom w:val="none" w:sz="0" w:space="0" w:color="auto"/>
        <w:right w:val="none" w:sz="0" w:space="0" w:color="auto"/>
      </w:divBdr>
    </w:div>
    <w:div w:id="1579246904">
      <w:bodyDiv w:val="1"/>
      <w:marLeft w:val="0"/>
      <w:marRight w:val="0"/>
      <w:marTop w:val="0"/>
      <w:marBottom w:val="0"/>
      <w:divBdr>
        <w:top w:val="none" w:sz="0" w:space="0" w:color="auto"/>
        <w:left w:val="none" w:sz="0" w:space="0" w:color="auto"/>
        <w:bottom w:val="none" w:sz="0" w:space="0" w:color="auto"/>
        <w:right w:val="none" w:sz="0" w:space="0" w:color="auto"/>
      </w:divBdr>
      <w:divsChild>
        <w:div w:id="1609853995">
          <w:marLeft w:val="0"/>
          <w:marRight w:val="0"/>
          <w:marTop w:val="0"/>
          <w:marBottom w:val="0"/>
          <w:divBdr>
            <w:top w:val="none" w:sz="0" w:space="0" w:color="auto"/>
            <w:left w:val="none" w:sz="0" w:space="0" w:color="auto"/>
            <w:bottom w:val="none" w:sz="0" w:space="0" w:color="auto"/>
            <w:right w:val="none" w:sz="0" w:space="0" w:color="auto"/>
          </w:divBdr>
          <w:divsChild>
            <w:div w:id="520513662">
              <w:marLeft w:val="0"/>
              <w:marRight w:val="0"/>
              <w:marTop w:val="0"/>
              <w:marBottom w:val="0"/>
              <w:divBdr>
                <w:top w:val="none" w:sz="0" w:space="0" w:color="auto"/>
                <w:left w:val="none" w:sz="0" w:space="0" w:color="auto"/>
                <w:bottom w:val="none" w:sz="0" w:space="0" w:color="auto"/>
                <w:right w:val="none" w:sz="0" w:space="0" w:color="auto"/>
              </w:divBdr>
              <w:divsChild>
                <w:div w:id="1905214865">
                  <w:marLeft w:val="0"/>
                  <w:marRight w:val="0"/>
                  <w:marTop w:val="0"/>
                  <w:marBottom w:val="0"/>
                  <w:divBdr>
                    <w:top w:val="none" w:sz="0" w:space="0" w:color="auto"/>
                    <w:left w:val="none" w:sz="0" w:space="0" w:color="auto"/>
                    <w:bottom w:val="none" w:sz="0" w:space="0" w:color="auto"/>
                    <w:right w:val="none" w:sz="0" w:space="0" w:color="auto"/>
                  </w:divBdr>
                  <w:divsChild>
                    <w:div w:id="1078554892">
                      <w:marLeft w:val="0"/>
                      <w:marRight w:val="0"/>
                      <w:marTop w:val="0"/>
                      <w:marBottom w:val="0"/>
                      <w:divBdr>
                        <w:top w:val="none" w:sz="0" w:space="0" w:color="auto"/>
                        <w:left w:val="none" w:sz="0" w:space="0" w:color="auto"/>
                        <w:bottom w:val="none" w:sz="0" w:space="0" w:color="auto"/>
                        <w:right w:val="none" w:sz="0" w:space="0" w:color="auto"/>
                      </w:divBdr>
                    </w:div>
                    <w:div w:id="2053728319">
                      <w:marLeft w:val="0"/>
                      <w:marRight w:val="0"/>
                      <w:marTop w:val="0"/>
                      <w:marBottom w:val="0"/>
                      <w:divBdr>
                        <w:top w:val="none" w:sz="0" w:space="0" w:color="auto"/>
                        <w:left w:val="none" w:sz="0" w:space="0" w:color="auto"/>
                        <w:bottom w:val="none" w:sz="0" w:space="0" w:color="auto"/>
                        <w:right w:val="none" w:sz="0" w:space="0" w:color="auto"/>
                      </w:divBdr>
                    </w:div>
                  </w:divsChild>
                </w:div>
                <w:div w:id="854926803">
                  <w:marLeft w:val="0"/>
                  <w:marRight w:val="0"/>
                  <w:marTop w:val="0"/>
                  <w:marBottom w:val="0"/>
                  <w:divBdr>
                    <w:top w:val="none" w:sz="0" w:space="0" w:color="auto"/>
                    <w:left w:val="none" w:sz="0" w:space="0" w:color="auto"/>
                    <w:bottom w:val="none" w:sz="0" w:space="0" w:color="auto"/>
                    <w:right w:val="none" w:sz="0" w:space="0" w:color="auto"/>
                  </w:divBdr>
                  <w:divsChild>
                    <w:div w:id="17236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268843">
      <w:bodyDiv w:val="1"/>
      <w:marLeft w:val="0"/>
      <w:marRight w:val="0"/>
      <w:marTop w:val="0"/>
      <w:marBottom w:val="0"/>
      <w:divBdr>
        <w:top w:val="none" w:sz="0" w:space="0" w:color="auto"/>
        <w:left w:val="none" w:sz="0" w:space="0" w:color="auto"/>
        <w:bottom w:val="none" w:sz="0" w:space="0" w:color="auto"/>
        <w:right w:val="none" w:sz="0" w:space="0" w:color="auto"/>
      </w:divBdr>
    </w:div>
    <w:div w:id="1650093106">
      <w:bodyDiv w:val="1"/>
      <w:marLeft w:val="0"/>
      <w:marRight w:val="0"/>
      <w:marTop w:val="0"/>
      <w:marBottom w:val="0"/>
      <w:divBdr>
        <w:top w:val="none" w:sz="0" w:space="0" w:color="auto"/>
        <w:left w:val="none" w:sz="0" w:space="0" w:color="auto"/>
        <w:bottom w:val="none" w:sz="0" w:space="0" w:color="auto"/>
        <w:right w:val="none" w:sz="0" w:space="0" w:color="auto"/>
      </w:divBdr>
    </w:div>
    <w:div w:id="1674334936">
      <w:bodyDiv w:val="1"/>
      <w:marLeft w:val="0"/>
      <w:marRight w:val="0"/>
      <w:marTop w:val="0"/>
      <w:marBottom w:val="0"/>
      <w:divBdr>
        <w:top w:val="none" w:sz="0" w:space="0" w:color="auto"/>
        <w:left w:val="none" w:sz="0" w:space="0" w:color="auto"/>
        <w:bottom w:val="none" w:sz="0" w:space="0" w:color="auto"/>
        <w:right w:val="none" w:sz="0" w:space="0" w:color="auto"/>
      </w:divBdr>
    </w:div>
    <w:div w:id="1706171806">
      <w:bodyDiv w:val="1"/>
      <w:marLeft w:val="0"/>
      <w:marRight w:val="0"/>
      <w:marTop w:val="0"/>
      <w:marBottom w:val="0"/>
      <w:divBdr>
        <w:top w:val="none" w:sz="0" w:space="0" w:color="auto"/>
        <w:left w:val="none" w:sz="0" w:space="0" w:color="auto"/>
        <w:bottom w:val="none" w:sz="0" w:space="0" w:color="auto"/>
        <w:right w:val="none" w:sz="0" w:space="0" w:color="auto"/>
      </w:divBdr>
    </w:div>
    <w:div w:id="1713654392">
      <w:bodyDiv w:val="1"/>
      <w:marLeft w:val="0"/>
      <w:marRight w:val="0"/>
      <w:marTop w:val="0"/>
      <w:marBottom w:val="0"/>
      <w:divBdr>
        <w:top w:val="none" w:sz="0" w:space="0" w:color="auto"/>
        <w:left w:val="none" w:sz="0" w:space="0" w:color="auto"/>
        <w:bottom w:val="none" w:sz="0" w:space="0" w:color="auto"/>
        <w:right w:val="none" w:sz="0" w:space="0" w:color="auto"/>
      </w:divBdr>
    </w:div>
    <w:div w:id="1723750023">
      <w:bodyDiv w:val="1"/>
      <w:marLeft w:val="0"/>
      <w:marRight w:val="0"/>
      <w:marTop w:val="0"/>
      <w:marBottom w:val="0"/>
      <w:divBdr>
        <w:top w:val="none" w:sz="0" w:space="0" w:color="auto"/>
        <w:left w:val="none" w:sz="0" w:space="0" w:color="auto"/>
        <w:bottom w:val="none" w:sz="0" w:space="0" w:color="auto"/>
        <w:right w:val="none" w:sz="0" w:space="0" w:color="auto"/>
      </w:divBdr>
      <w:divsChild>
        <w:div w:id="1057822297">
          <w:marLeft w:val="0"/>
          <w:marRight w:val="0"/>
          <w:marTop w:val="0"/>
          <w:marBottom w:val="0"/>
          <w:divBdr>
            <w:top w:val="none" w:sz="0" w:space="0" w:color="auto"/>
            <w:left w:val="none" w:sz="0" w:space="0" w:color="auto"/>
            <w:bottom w:val="none" w:sz="0" w:space="0" w:color="auto"/>
            <w:right w:val="none" w:sz="0" w:space="0" w:color="auto"/>
          </w:divBdr>
          <w:divsChild>
            <w:div w:id="165675463">
              <w:marLeft w:val="0"/>
              <w:marRight w:val="0"/>
              <w:marTop w:val="0"/>
              <w:marBottom w:val="0"/>
              <w:divBdr>
                <w:top w:val="none" w:sz="0" w:space="0" w:color="auto"/>
                <w:left w:val="none" w:sz="0" w:space="0" w:color="auto"/>
                <w:bottom w:val="none" w:sz="0" w:space="0" w:color="auto"/>
                <w:right w:val="none" w:sz="0" w:space="0" w:color="auto"/>
              </w:divBdr>
              <w:divsChild>
                <w:div w:id="209277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477934">
      <w:bodyDiv w:val="1"/>
      <w:marLeft w:val="0"/>
      <w:marRight w:val="0"/>
      <w:marTop w:val="0"/>
      <w:marBottom w:val="0"/>
      <w:divBdr>
        <w:top w:val="none" w:sz="0" w:space="0" w:color="auto"/>
        <w:left w:val="none" w:sz="0" w:space="0" w:color="auto"/>
        <w:bottom w:val="none" w:sz="0" w:space="0" w:color="auto"/>
        <w:right w:val="none" w:sz="0" w:space="0" w:color="auto"/>
      </w:divBdr>
    </w:div>
    <w:div w:id="1756123865">
      <w:bodyDiv w:val="1"/>
      <w:marLeft w:val="0"/>
      <w:marRight w:val="0"/>
      <w:marTop w:val="0"/>
      <w:marBottom w:val="0"/>
      <w:divBdr>
        <w:top w:val="none" w:sz="0" w:space="0" w:color="auto"/>
        <w:left w:val="none" w:sz="0" w:space="0" w:color="auto"/>
        <w:bottom w:val="none" w:sz="0" w:space="0" w:color="auto"/>
        <w:right w:val="none" w:sz="0" w:space="0" w:color="auto"/>
      </w:divBdr>
    </w:div>
    <w:div w:id="1762337972">
      <w:bodyDiv w:val="1"/>
      <w:marLeft w:val="0"/>
      <w:marRight w:val="0"/>
      <w:marTop w:val="0"/>
      <w:marBottom w:val="0"/>
      <w:divBdr>
        <w:top w:val="none" w:sz="0" w:space="0" w:color="auto"/>
        <w:left w:val="none" w:sz="0" w:space="0" w:color="auto"/>
        <w:bottom w:val="none" w:sz="0" w:space="0" w:color="auto"/>
        <w:right w:val="none" w:sz="0" w:space="0" w:color="auto"/>
      </w:divBdr>
    </w:div>
    <w:div w:id="1797945536">
      <w:bodyDiv w:val="1"/>
      <w:marLeft w:val="0"/>
      <w:marRight w:val="0"/>
      <w:marTop w:val="0"/>
      <w:marBottom w:val="0"/>
      <w:divBdr>
        <w:top w:val="none" w:sz="0" w:space="0" w:color="auto"/>
        <w:left w:val="none" w:sz="0" w:space="0" w:color="auto"/>
        <w:bottom w:val="none" w:sz="0" w:space="0" w:color="auto"/>
        <w:right w:val="none" w:sz="0" w:space="0" w:color="auto"/>
      </w:divBdr>
    </w:div>
    <w:div w:id="1830826175">
      <w:bodyDiv w:val="1"/>
      <w:marLeft w:val="0"/>
      <w:marRight w:val="0"/>
      <w:marTop w:val="0"/>
      <w:marBottom w:val="0"/>
      <w:divBdr>
        <w:top w:val="none" w:sz="0" w:space="0" w:color="auto"/>
        <w:left w:val="none" w:sz="0" w:space="0" w:color="auto"/>
        <w:bottom w:val="none" w:sz="0" w:space="0" w:color="auto"/>
        <w:right w:val="none" w:sz="0" w:space="0" w:color="auto"/>
      </w:divBdr>
      <w:divsChild>
        <w:div w:id="1923878996">
          <w:marLeft w:val="0"/>
          <w:marRight w:val="0"/>
          <w:marTop w:val="0"/>
          <w:marBottom w:val="0"/>
          <w:divBdr>
            <w:top w:val="none" w:sz="0" w:space="0" w:color="auto"/>
            <w:left w:val="none" w:sz="0" w:space="0" w:color="auto"/>
            <w:bottom w:val="none" w:sz="0" w:space="0" w:color="auto"/>
            <w:right w:val="none" w:sz="0" w:space="0" w:color="auto"/>
          </w:divBdr>
          <w:divsChild>
            <w:div w:id="543637248">
              <w:marLeft w:val="0"/>
              <w:marRight w:val="0"/>
              <w:marTop w:val="0"/>
              <w:marBottom w:val="0"/>
              <w:divBdr>
                <w:top w:val="none" w:sz="0" w:space="0" w:color="auto"/>
                <w:left w:val="none" w:sz="0" w:space="0" w:color="auto"/>
                <w:bottom w:val="none" w:sz="0" w:space="0" w:color="auto"/>
                <w:right w:val="none" w:sz="0" w:space="0" w:color="auto"/>
              </w:divBdr>
              <w:divsChild>
                <w:div w:id="23266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52252">
      <w:bodyDiv w:val="1"/>
      <w:marLeft w:val="0"/>
      <w:marRight w:val="0"/>
      <w:marTop w:val="0"/>
      <w:marBottom w:val="0"/>
      <w:divBdr>
        <w:top w:val="none" w:sz="0" w:space="0" w:color="auto"/>
        <w:left w:val="none" w:sz="0" w:space="0" w:color="auto"/>
        <w:bottom w:val="none" w:sz="0" w:space="0" w:color="auto"/>
        <w:right w:val="none" w:sz="0" w:space="0" w:color="auto"/>
      </w:divBdr>
    </w:div>
    <w:div w:id="1860316828">
      <w:bodyDiv w:val="1"/>
      <w:marLeft w:val="0"/>
      <w:marRight w:val="0"/>
      <w:marTop w:val="0"/>
      <w:marBottom w:val="0"/>
      <w:divBdr>
        <w:top w:val="none" w:sz="0" w:space="0" w:color="auto"/>
        <w:left w:val="none" w:sz="0" w:space="0" w:color="auto"/>
        <w:bottom w:val="none" w:sz="0" w:space="0" w:color="auto"/>
        <w:right w:val="none" w:sz="0" w:space="0" w:color="auto"/>
      </w:divBdr>
    </w:div>
    <w:div w:id="1864199474">
      <w:bodyDiv w:val="1"/>
      <w:marLeft w:val="0"/>
      <w:marRight w:val="0"/>
      <w:marTop w:val="0"/>
      <w:marBottom w:val="0"/>
      <w:divBdr>
        <w:top w:val="none" w:sz="0" w:space="0" w:color="auto"/>
        <w:left w:val="none" w:sz="0" w:space="0" w:color="auto"/>
        <w:bottom w:val="none" w:sz="0" w:space="0" w:color="auto"/>
        <w:right w:val="none" w:sz="0" w:space="0" w:color="auto"/>
      </w:divBdr>
    </w:div>
    <w:div w:id="1867593581">
      <w:bodyDiv w:val="1"/>
      <w:marLeft w:val="0"/>
      <w:marRight w:val="0"/>
      <w:marTop w:val="0"/>
      <w:marBottom w:val="0"/>
      <w:divBdr>
        <w:top w:val="none" w:sz="0" w:space="0" w:color="auto"/>
        <w:left w:val="none" w:sz="0" w:space="0" w:color="auto"/>
        <w:bottom w:val="none" w:sz="0" w:space="0" w:color="auto"/>
        <w:right w:val="none" w:sz="0" w:space="0" w:color="auto"/>
      </w:divBdr>
    </w:div>
    <w:div w:id="1879275403">
      <w:bodyDiv w:val="1"/>
      <w:marLeft w:val="0"/>
      <w:marRight w:val="0"/>
      <w:marTop w:val="0"/>
      <w:marBottom w:val="0"/>
      <w:divBdr>
        <w:top w:val="none" w:sz="0" w:space="0" w:color="auto"/>
        <w:left w:val="none" w:sz="0" w:space="0" w:color="auto"/>
        <w:bottom w:val="none" w:sz="0" w:space="0" w:color="auto"/>
        <w:right w:val="none" w:sz="0" w:space="0" w:color="auto"/>
      </w:divBdr>
    </w:div>
    <w:div w:id="1882940883">
      <w:bodyDiv w:val="1"/>
      <w:marLeft w:val="0"/>
      <w:marRight w:val="0"/>
      <w:marTop w:val="0"/>
      <w:marBottom w:val="0"/>
      <w:divBdr>
        <w:top w:val="none" w:sz="0" w:space="0" w:color="auto"/>
        <w:left w:val="none" w:sz="0" w:space="0" w:color="auto"/>
        <w:bottom w:val="none" w:sz="0" w:space="0" w:color="auto"/>
        <w:right w:val="none" w:sz="0" w:space="0" w:color="auto"/>
      </w:divBdr>
    </w:div>
    <w:div w:id="1899969394">
      <w:bodyDiv w:val="1"/>
      <w:marLeft w:val="0"/>
      <w:marRight w:val="0"/>
      <w:marTop w:val="0"/>
      <w:marBottom w:val="0"/>
      <w:divBdr>
        <w:top w:val="none" w:sz="0" w:space="0" w:color="auto"/>
        <w:left w:val="none" w:sz="0" w:space="0" w:color="auto"/>
        <w:bottom w:val="none" w:sz="0" w:space="0" w:color="auto"/>
        <w:right w:val="none" w:sz="0" w:space="0" w:color="auto"/>
      </w:divBdr>
    </w:div>
    <w:div w:id="1946116492">
      <w:bodyDiv w:val="1"/>
      <w:marLeft w:val="0"/>
      <w:marRight w:val="0"/>
      <w:marTop w:val="0"/>
      <w:marBottom w:val="0"/>
      <w:divBdr>
        <w:top w:val="none" w:sz="0" w:space="0" w:color="auto"/>
        <w:left w:val="none" w:sz="0" w:space="0" w:color="auto"/>
        <w:bottom w:val="none" w:sz="0" w:space="0" w:color="auto"/>
        <w:right w:val="none" w:sz="0" w:space="0" w:color="auto"/>
      </w:divBdr>
    </w:div>
    <w:div w:id="1987004806">
      <w:bodyDiv w:val="1"/>
      <w:marLeft w:val="0"/>
      <w:marRight w:val="0"/>
      <w:marTop w:val="0"/>
      <w:marBottom w:val="0"/>
      <w:divBdr>
        <w:top w:val="none" w:sz="0" w:space="0" w:color="auto"/>
        <w:left w:val="none" w:sz="0" w:space="0" w:color="auto"/>
        <w:bottom w:val="none" w:sz="0" w:space="0" w:color="auto"/>
        <w:right w:val="none" w:sz="0" w:space="0" w:color="auto"/>
      </w:divBdr>
      <w:divsChild>
        <w:div w:id="1266890772">
          <w:marLeft w:val="0"/>
          <w:marRight w:val="0"/>
          <w:marTop w:val="0"/>
          <w:marBottom w:val="0"/>
          <w:divBdr>
            <w:top w:val="none" w:sz="0" w:space="0" w:color="auto"/>
            <w:left w:val="none" w:sz="0" w:space="0" w:color="auto"/>
            <w:bottom w:val="none" w:sz="0" w:space="0" w:color="auto"/>
            <w:right w:val="none" w:sz="0" w:space="0" w:color="auto"/>
          </w:divBdr>
          <w:divsChild>
            <w:div w:id="659122355">
              <w:marLeft w:val="0"/>
              <w:marRight w:val="0"/>
              <w:marTop w:val="0"/>
              <w:marBottom w:val="0"/>
              <w:divBdr>
                <w:top w:val="none" w:sz="0" w:space="0" w:color="auto"/>
                <w:left w:val="none" w:sz="0" w:space="0" w:color="auto"/>
                <w:bottom w:val="none" w:sz="0" w:space="0" w:color="auto"/>
                <w:right w:val="none" w:sz="0" w:space="0" w:color="auto"/>
              </w:divBdr>
              <w:divsChild>
                <w:div w:id="13965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89461">
      <w:bodyDiv w:val="1"/>
      <w:marLeft w:val="0"/>
      <w:marRight w:val="0"/>
      <w:marTop w:val="0"/>
      <w:marBottom w:val="0"/>
      <w:divBdr>
        <w:top w:val="none" w:sz="0" w:space="0" w:color="auto"/>
        <w:left w:val="none" w:sz="0" w:space="0" w:color="auto"/>
        <w:bottom w:val="none" w:sz="0" w:space="0" w:color="auto"/>
        <w:right w:val="none" w:sz="0" w:space="0" w:color="auto"/>
      </w:divBdr>
    </w:div>
    <w:div w:id="2009795456">
      <w:bodyDiv w:val="1"/>
      <w:marLeft w:val="0"/>
      <w:marRight w:val="0"/>
      <w:marTop w:val="0"/>
      <w:marBottom w:val="0"/>
      <w:divBdr>
        <w:top w:val="none" w:sz="0" w:space="0" w:color="auto"/>
        <w:left w:val="none" w:sz="0" w:space="0" w:color="auto"/>
        <w:bottom w:val="none" w:sz="0" w:space="0" w:color="auto"/>
        <w:right w:val="none" w:sz="0" w:space="0" w:color="auto"/>
      </w:divBdr>
    </w:div>
    <w:div w:id="2009869014">
      <w:bodyDiv w:val="1"/>
      <w:marLeft w:val="0"/>
      <w:marRight w:val="0"/>
      <w:marTop w:val="0"/>
      <w:marBottom w:val="0"/>
      <w:divBdr>
        <w:top w:val="none" w:sz="0" w:space="0" w:color="auto"/>
        <w:left w:val="none" w:sz="0" w:space="0" w:color="auto"/>
        <w:bottom w:val="none" w:sz="0" w:space="0" w:color="auto"/>
        <w:right w:val="none" w:sz="0" w:space="0" w:color="auto"/>
      </w:divBdr>
    </w:div>
    <w:div w:id="2014917231">
      <w:bodyDiv w:val="1"/>
      <w:marLeft w:val="0"/>
      <w:marRight w:val="0"/>
      <w:marTop w:val="0"/>
      <w:marBottom w:val="0"/>
      <w:divBdr>
        <w:top w:val="none" w:sz="0" w:space="0" w:color="auto"/>
        <w:left w:val="none" w:sz="0" w:space="0" w:color="auto"/>
        <w:bottom w:val="none" w:sz="0" w:space="0" w:color="auto"/>
        <w:right w:val="none" w:sz="0" w:space="0" w:color="auto"/>
      </w:divBdr>
    </w:div>
    <w:div w:id="2074693816">
      <w:bodyDiv w:val="1"/>
      <w:marLeft w:val="0"/>
      <w:marRight w:val="0"/>
      <w:marTop w:val="0"/>
      <w:marBottom w:val="0"/>
      <w:divBdr>
        <w:top w:val="none" w:sz="0" w:space="0" w:color="auto"/>
        <w:left w:val="none" w:sz="0" w:space="0" w:color="auto"/>
        <w:bottom w:val="none" w:sz="0" w:space="0" w:color="auto"/>
        <w:right w:val="none" w:sz="0" w:space="0" w:color="auto"/>
      </w:divBdr>
      <w:divsChild>
        <w:div w:id="1451313544">
          <w:marLeft w:val="0"/>
          <w:marRight w:val="0"/>
          <w:marTop w:val="0"/>
          <w:marBottom w:val="0"/>
          <w:divBdr>
            <w:top w:val="none" w:sz="0" w:space="0" w:color="auto"/>
            <w:left w:val="none" w:sz="0" w:space="0" w:color="auto"/>
            <w:bottom w:val="none" w:sz="0" w:space="0" w:color="auto"/>
            <w:right w:val="none" w:sz="0" w:space="0" w:color="auto"/>
          </w:divBdr>
          <w:divsChild>
            <w:div w:id="1940941573">
              <w:marLeft w:val="0"/>
              <w:marRight w:val="0"/>
              <w:marTop w:val="0"/>
              <w:marBottom w:val="0"/>
              <w:divBdr>
                <w:top w:val="none" w:sz="0" w:space="0" w:color="auto"/>
                <w:left w:val="none" w:sz="0" w:space="0" w:color="auto"/>
                <w:bottom w:val="none" w:sz="0" w:space="0" w:color="auto"/>
                <w:right w:val="none" w:sz="0" w:space="0" w:color="auto"/>
              </w:divBdr>
              <w:divsChild>
                <w:div w:id="65001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14" Type="http://schemas.openxmlformats.org/officeDocument/2006/relationships/theme" Target="theme/theme1.xml"/><Relationship Id="rId9" Type="http://schemas.openxmlformats.org/officeDocument/2006/relationships/image" Target="media/image1.png"/><Relationship Id="rId15"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pWPCfcsQFbrBypFpD4BWtRFLg==">CgMxLjA4AHIhMWpKWC1ZV1ZyUWxfelVTd2oxcUhWdVVqaW9sTHRWRGpD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6339060-3F28-D949-9895-241B815C1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209</Words>
  <Characters>1151</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Ximena Escobedo Juárez</dc:creator>
  <cp:lastModifiedBy>Luis Enrique Buendía</cp:lastModifiedBy>
  <cp:revision>29</cp:revision>
  <cp:lastPrinted>2026-06-17T17:31:00Z</cp:lastPrinted>
  <dcterms:created xsi:type="dcterms:W3CDTF">2026-07-24T04:18:00Z</dcterms:created>
  <dcterms:modified xsi:type="dcterms:W3CDTF">2026-09-25T04:20:00Z</dcterms:modified>
  <dc:title>EMOE Sep 26</dc:title>
  <dc:subject>Referencia visual aportada por el usuario — ENOE agosto 2026</dc:subject>
</cp:coreProperties>
</file>