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92"/>
        <w:gridCol w:w="4392"/>
      </w:tblGrid>
      <w:tr>
        <w:trPr>
          <w:cantSplit/>
        </w:trPr>
        <w:tc>
          <w:tcPr>
            <w:tcW w:type="dxa" w:w="4392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EMIM · Agosto de 2026</w:t>
            </w:r>
          </w:p>
        </w:tc>
        <w:tc>
          <w:tcPr>
            <w:tcW w:type="dxa" w:w="4392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Publicación 2026-10-16</w:t>
            </w:r>
          </w:p>
        </w:tc>
      </w:tr>
      <w:tr>
        <w:trPr>
          <w:cantSplit/>
        </w:trPr>
        <w:tc>
          <w:tcPr>
            <w:tcW w:type="dxa" w:w="4392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Producción mensual 1.7%</w:t>
            </w:r>
          </w:p>
        </w:tc>
        <w:tc>
          <w:tcPr>
            <w:tcW w:type="dxa" w:w="4392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Anual 4.1%</w:t>
            </w:r>
          </w:p>
        </w:tc>
      </w:tr>
    </w:tbl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/>
          <w:color w:val="10312B"/>
          <w:sz w:val="22"/>
        </w:rPr>
        <w:t>Encuesta Mensual de la Industria Manufacturera</w:t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000000"/>
          <w:sz w:val="13"/>
        </w:rPr>
      </w:r>
    </w:p>
    <w:p>
      <w:pPr>
        <w:keepNext/>
        <w:spacing w:before="0" w:after="0" w:line="240" w:lineRule="auto"/>
        <w:jc w:val="both"/>
      </w:pPr>
      <w:r>
        <w:rPr>
          <w:rFonts w:ascii="Noto Sans" w:hAnsi="Noto Sans"/>
          <w:b/>
          <w:color w:val="235B4C"/>
          <w:sz w:val="22"/>
        </w:rPr>
        <w:t>Resumen ejecutivo</w:t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000000"/>
          <w:sz w:val="22"/>
        </w:rPr>
        <w:t>En agosto de 2026, la producción manufacturera varió 1.7% mensual y 4.1% anual, con cifras desestacionalizadas.</w:t>
      </w:r>
    </w:p>
    <w:p>
      <w:pPr>
        <w:keepNext w:val="0"/>
        <w:spacing w:before="0" w:after="0" w:line="240" w:lineRule="auto"/>
        <w:jc w:val="both"/>
        <w:numPr>
          <w:ilvl w:val="0"/>
          <w:numId w:val="36"/>
        </w:numPr>
      </w:pPr>
      <w:r>
        <w:rPr>
          <w:rFonts w:ascii="Noto Sans" w:hAnsi="Noto Sans"/>
          <w:b w:val="0"/>
          <w:color w:val="000000"/>
          <w:sz w:val="22"/>
        </w:rPr>
        <w:t>Las remuneraciones medias reales registraron 2.7% anual; en el mes variaron -0.2%.</w:t>
      </w:r>
    </w:p>
    <w:p>
      <w:pPr>
        <w:keepNext w:val="0"/>
        <w:spacing w:before="0" w:after="0" w:line="240" w:lineRule="auto"/>
        <w:jc w:val="both"/>
        <w:numPr>
          <w:ilvl w:val="0"/>
          <w:numId w:val="36"/>
        </w:numPr>
      </w:pPr>
      <w:r>
        <w:rPr>
          <w:rFonts w:ascii="Noto Sans" w:hAnsi="Noto Sans"/>
          <w:b w:val="0"/>
          <w:color w:val="000000"/>
          <w:sz w:val="22"/>
        </w:rPr>
        <w:t>El personal ocupado varió -0.1% mensual y -1.0% anual; las horas trabajadas, 0.0% y -0.6%, respectivamente.</w:t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000000"/>
          <w:sz w:val="13"/>
        </w:rPr>
      </w:r>
    </w:p>
    <w:p>
      <w:pPr>
        <w:keepNext/>
        <w:spacing w:before="0" w:after="0" w:line="240" w:lineRule="auto"/>
        <w:jc w:val="both"/>
      </w:pPr>
      <w:r>
        <w:rPr>
          <w:rFonts w:ascii="Noto Sans" w:hAnsi="Noto Sans"/>
          <w:b/>
          <w:color w:val="235B4C"/>
          <w:sz w:val="22"/>
        </w:rPr>
        <w:t>Producción y condiciones laborales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464"/>
        <w:gridCol w:w="2160"/>
        <w:gridCol w:w="2160"/>
      </w:tblGrid>
      <w:tr>
        <w:trPr>
          <w:cantSplit/>
        </w:trPr>
        <w:tc>
          <w:tcPr>
            <w:tcW w:type="dxa" w:w="4464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160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Mensual (%)</w:t>
            </w:r>
          </w:p>
        </w:tc>
        <w:tc>
          <w:tcPr>
            <w:tcW w:type="dxa" w:w="2160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Anual (%)</w:t>
            </w:r>
          </w:p>
        </w:tc>
      </w:tr>
      <w:tr>
        <w:trPr>
          <w:cantSplit/>
        </w:trPr>
        <w:tc>
          <w:tcPr>
            <w:tcW w:type="dxa" w:w="4464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Producción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1.7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4.1</w:t>
            </w:r>
          </w:p>
        </w:tc>
      </w:tr>
      <w:tr>
        <w:trPr>
          <w:cantSplit/>
        </w:trPr>
        <w:tc>
          <w:tcPr>
            <w:tcW w:type="dxa" w:w="4464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Personal ocupado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-0.1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-1.0</w:t>
            </w:r>
          </w:p>
        </w:tc>
      </w:tr>
      <w:tr>
        <w:trPr>
          <w:cantSplit/>
        </w:trPr>
        <w:tc>
          <w:tcPr>
            <w:tcW w:type="dxa" w:w="4464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Horas trabajadas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0.0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-0.6</w:t>
            </w:r>
          </w:p>
        </w:tc>
      </w:tr>
      <w:tr>
        <w:trPr>
          <w:cantSplit/>
        </w:trPr>
        <w:tc>
          <w:tcPr>
            <w:tcW w:type="dxa" w:w="4464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Remuneraciones medias reales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-0.2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2.7</w:t>
            </w:r>
          </w:p>
        </w:tc>
      </w:tr>
    </w:tbl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666666"/>
          <w:sz w:val="16"/>
        </w:rPr>
        <w:t>Fuente: INEGI, cuadro 1, p. 3. Comparaciones desestacionalizadas; tasas publicadas, sin sumar componentes.</w:t>
      </w:r>
    </w:p>
    <w:p>
      <w:r>
        <w:drawing>
          <wp:inline xmlns:a="http://schemas.openxmlformats.org/drawingml/2006/main" xmlns:pic="http://schemas.openxmlformats.org/drawingml/2006/picture">
            <wp:extent cx="5532120" cy="1587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1587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000000"/>
          <w:sz w:val="13"/>
        </w:rPr>
      </w:r>
    </w:p>
    <w:p>
      <w:pPr>
        <w:keepNext/>
        <w:spacing w:before="0" w:after="0" w:line="240" w:lineRule="auto"/>
        <w:jc w:val="both"/>
      </w:pPr>
      <w:r>
        <w:rPr>
          <w:rFonts w:ascii="Noto Sans" w:hAnsi="Noto Sans"/>
          <w:b/>
          <w:color w:val="235B4C"/>
          <w:sz w:val="22"/>
        </w:rPr>
        <w:t>Cifras originales del sector manufacturero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464"/>
        <w:gridCol w:w="2160"/>
        <w:gridCol w:w="2160"/>
      </w:tblGrid>
      <w:tr>
        <w:trPr>
          <w:cantSplit/>
        </w:trPr>
        <w:tc>
          <w:tcPr>
            <w:tcW w:type="dxa" w:w="4464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160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Índice original</w:t>
            </w:r>
          </w:p>
        </w:tc>
        <w:tc>
          <w:tcPr>
            <w:tcW w:type="dxa" w:w="2160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Anual original (%)</w:t>
            </w:r>
          </w:p>
        </w:tc>
      </w:tr>
      <w:tr>
        <w:trPr>
          <w:cantSplit/>
        </w:trPr>
        <w:tc>
          <w:tcPr>
            <w:tcW w:type="dxa" w:w="4464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Producción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113.7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4.0</w:t>
            </w:r>
          </w:p>
        </w:tc>
      </w:tr>
      <w:tr>
        <w:trPr>
          <w:cantSplit/>
        </w:trPr>
        <w:tc>
          <w:tcPr>
            <w:tcW w:type="dxa" w:w="4464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Personal ocupado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98.2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-1.0</w:t>
            </w:r>
          </w:p>
        </w:tc>
      </w:tr>
      <w:tr>
        <w:trPr>
          <w:cantSplit/>
        </w:trPr>
        <w:tc>
          <w:tcPr>
            <w:tcW w:type="dxa" w:w="4464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Horas trabajadas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97.5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-1.0</w:t>
            </w:r>
          </w:p>
        </w:tc>
      </w:tr>
      <w:tr>
        <w:trPr>
          <w:cantSplit/>
        </w:trPr>
        <w:tc>
          <w:tcPr>
            <w:tcW w:type="dxa" w:w="4464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Remuneraciones medias reales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119.1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2.1</w:t>
            </w:r>
          </w:p>
        </w:tc>
      </w:tr>
    </w:tbl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666666"/>
          <w:sz w:val="16"/>
        </w:rPr>
        <w:t>Fuente: cuadro 2, p. 4. Índice 2018=100; cifras preliminares. No son los índices desestacionalizados de la gráfica.</w:t>
      </w:r>
    </w:p>
    <w:p>
      <w:r>
        <w:br w:type="page"/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000000"/>
          <w:sz w:val="13"/>
        </w:rPr>
      </w:r>
    </w:p>
    <w:p>
      <w:pPr>
        <w:keepNext/>
        <w:spacing w:before="0" w:after="0" w:line="240" w:lineRule="auto"/>
        <w:jc w:val="both"/>
      </w:pPr>
      <w:r>
        <w:rPr>
          <w:rFonts w:ascii="Noto Sans" w:hAnsi="Noto Sans"/>
          <w:b/>
          <w:color w:val="235B4C"/>
          <w:sz w:val="22"/>
        </w:rPr>
        <w:t>Desempeño por subsector</w:t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000000"/>
          <w:sz w:val="22"/>
        </w:rPr>
        <w:t>10 de 21 subsectores aumentaron su producción frente al mismo mes del año anterior; 5 registraron simultáneamente crecimiento de producción y empleo. Conteos no ponderados, en cifras originales.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464"/>
        <w:gridCol w:w="2160"/>
        <w:gridCol w:w="2160"/>
      </w:tblGrid>
      <w:tr>
        <w:trPr>
          <w:cantSplit/>
        </w:trPr>
        <w:tc>
          <w:tcPr>
            <w:tcW w:type="dxa" w:w="4464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Subsector</w:t>
            </w:r>
          </w:p>
        </w:tc>
        <w:tc>
          <w:tcPr>
            <w:tcW w:type="dxa" w:w="2160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Producción (%)</w:t>
            </w:r>
          </w:p>
        </w:tc>
        <w:tc>
          <w:tcPr>
            <w:tcW w:type="dxa" w:w="2160"/>
            <w:shd w:fill="10312B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/>
                <w:color w:val="FFFFFF"/>
                <w:sz w:val="20"/>
              </w:rPr>
              <w:t>Empleo (%)</w:t>
            </w:r>
          </w:p>
        </w:tc>
      </w:tr>
      <w:tr>
        <w:trPr>
          <w:cantSplit/>
        </w:trPr>
        <w:tc>
          <w:tcPr>
            <w:tcW w:type="dxa" w:w="4464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Petróleo y carbón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23.5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4464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Computación y electrónica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5.8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3.7</w:t>
            </w:r>
          </w:p>
        </w:tc>
      </w:tr>
      <w:tr>
        <w:trPr>
          <w:cantSplit/>
        </w:trPr>
        <w:tc>
          <w:tcPr>
            <w:tcW w:type="dxa" w:w="4464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Maquinaria y equipo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4.0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464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Otras manufacturas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-3.8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-2.3</w:t>
            </w:r>
          </w:p>
        </w:tc>
      </w:tr>
      <w:tr>
        <w:trPr>
          <w:cantSplit/>
        </w:trPr>
        <w:tc>
          <w:tcPr>
            <w:tcW w:type="dxa" w:w="4464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Prendas de vestir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-3.9</w:t>
            </w:r>
          </w:p>
        </w:tc>
        <w:tc>
          <w:tcPr>
            <w:tcW w:type="dxa" w:w="2160"/>
            <w:shd w:fill="F4F4F2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-2.6</w:t>
            </w:r>
          </w:p>
        </w:tc>
      </w:tr>
      <w:tr>
        <w:trPr>
          <w:cantSplit/>
        </w:trPr>
        <w:tc>
          <w:tcPr>
            <w:tcW w:type="dxa" w:w="4464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Muebles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-8.5</w:t>
            </w:r>
          </w:p>
        </w:tc>
        <w:tc>
          <w:tcPr>
            <w:tcW w:type="dxa" w:w="2160"/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" w:hAnsi="Noto Sans"/>
                <w:b w:val="0"/>
                <w:color w:val="000000"/>
                <w:sz w:val="20"/>
              </w:rPr>
              <w:t>-5.6</w:t>
            </w:r>
          </w:p>
        </w:tc>
      </w:tr>
    </w:tbl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666666"/>
          <w:sz w:val="16"/>
        </w:rPr>
        <w:t>Fuente: cuadro 2, p. 4. Tres mayores y tres menores tasas anuales de producción entre los 21 subsectores; empleo para la misma selección.</w:t>
      </w:r>
    </w:p>
    <w:p>
      <w:r>
        <w:drawing>
          <wp:inline xmlns:a="http://schemas.openxmlformats.org/drawingml/2006/main" xmlns:pic="http://schemas.openxmlformats.org/drawingml/2006/picture">
            <wp:extent cx="5532120" cy="1723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172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000000"/>
          <w:sz w:val="13"/>
        </w:rPr>
      </w:r>
    </w:p>
    <w:p>
      <w:pPr>
        <w:keepNext/>
        <w:spacing w:before="0" w:after="0" w:line="240" w:lineRule="auto"/>
        <w:jc w:val="both"/>
      </w:pPr>
      <w:r>
        <w:rPr>
          <w:rFonts w:ascii="Noto Sans" w:hAnsi="Noto Sans"/>
          <w:b/>
          <w:color w:val="235B4C"/>
          <w:sz w:val="22"/>
        </w:rPr>
        <w:t>Lectura sectorial</w:t>
      </w:r>
    </w:p>
    <w:p>
      <w:pPr>
        <w:keepNext w:val="0"/>
        <w:spacing w:before="0" w:after="0" w:line="240" w:lineRule="auto"/>
        <w:jc w:val="both"/>
        <w:numPr>
          <w:ilvl w:val="0"/>
          <w:numId w:val="36"/>
        </w:numPr>
      </w:pPr>
      <w:r>
        <w:rPr>
          <w:rFonts w:ascii="Noto Sans" w:hAnsi="Noto Sans"/>
          <w:b w:val="0"/>
          <w:color w:val="000000"/>
          <w:sz w:val="22"/>
        </w:rPr>
        <w:t>La mayor tasa anual de producción fue la de petróleo y carbón (23.5%); su empleo varió 0.1%. Una tasa elevada no identifica la mayor aportación al total.</w:t>
      </w:r>
    </w:p>
    <w:p>
      <w:pPr>
        <w:keepNext w:val="0"/>
        <w:spacing w:before="0" w:after="0" w:line="240" w:lineRule="auto"/>
        <w:jc w:val="both"/>
        <w:numPr>
          <w:ilvl w:val="0"/>
          <w:numId w:val="36"/>
        </w:numPr>
      </w:pPr>
      <w:r>
        <w:rPr>
          <w:rFonts w:ascii="Noto Sans" w:hAnsi="Noto Sans"/>
          <w:b w:val="0"/>
          <w:color w:val="000000"/>
          <w:sz w:val="22"/>
        </w:rPr>
        <w:t>La menor tasa de producción fue la de muebles (-8.5%), con -5.6% en personal ocupado.</w:t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000000"/>
          <w:sz w:val="13"/>
        </w:rPr>
      </w:r>
    </w:p>
    <w:p>
      <w:pPr>
        <w:keepNext/>
        <w:spacing w:before="0" w:after="0" w:line="240" w:lineRule="auto"/>
        <w:jc w:val="both"/>
      </w:pPr>
      <w:r>
        <w:rPr>
          <w:rFonts w:ascii="Noto Sans" w:hAnsi="Noto Sans"/>
          <w:b/>
          <w:color w:val="235B4C"/>
          <w:sz w:val="22"/>
        </w:rPr>
        <w:t>Notas metodológicas</w:t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000000"/>
          <w:sz w:val="22"/>
        </w:rPr>
        <w:t>Las remuneraciones medias reales están deflactadas con el INPC; no representan la masa salarial. Producción, personal y horas tienen distinta cobertura conceptual: no se deriva productividad con estos agregados.</w:t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666666"/>
          <w:sz w:val="16"/>
        </w:rPr>
        <w:t>Cifras originales preliminares. Los agregados desestacionalizados se ajustan de forma independiente. El empleo EMIM no equivale a puestos afiliados al IMSS. La encuesta manufacturera no mide toda la actividad industrial.</w:t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000000"/>
          <w:sz w:val="13"/>
        </w:rPr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666666"/>
          <w:sz w:val="16"/>
        </w:rPr>
        <w:t>INEGI, boletín 627/26, publicado el 2026-10-16. Cuadros y metodología de la misma edición. Cifras sujetas a revisión.</w:t>
      </w:r>
    </w:p>
    <w:p>
      <w:pPr>
        <w:keepNext w:val="0"/>
        <w:spacing w:before="0" w:after="0" w:line="240" w:lineRule="auto"/>
        <w:jc w:val="both"/>
      </w:pPr>
      <w:r>
        <w:rPr>
          <w:rFonts w:ascii="Noto Sans" w:hAnsi="Noto Sans"/>
          <w:b w:val="0"/>
          <w:color w:val="666666"/>
          <w:sz w:val="16"/>
        </w:rPr>
        <w:t>https://www.inegi.org.mx/contenidos/saladeprensa/boletines/2026/emim/emim2026_10.pdf</w:t>
      </w:r>
    </w:p>
    <w:sectPr w:rsidR="00246E09" w:rsidRPr="00494C1B">
      <w:headerReference w:type="default" r:id="rId10"/>
      <w:footerReference w:type="even" r:id="rId11"/>
      <w:footerReference w:type="default" r:id="rId12"/>
      <w:pgSz w:w="12240" w:h="15840"/>
      <w:pgMar w:top="1134" w:right="1701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B300B" w:rsidRDefault="001B300B" w:rsidP="00E32E74">
      <w:r>
        <w:separator/>
      </w:r>
    </w:p>
  </w:endnote>
  <w:endnote w:type="continuationSeparator" w:id="0">
    <w:p w:rsidR="001B300B" w:rsidRDefault="001B300B" w:rsidP="00E32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Montserrat Light">
    <w:altName w:val="Calibri"/>
    <w:panose1 w:val="020B0604020202020204"/>
    <w:charset w:val="4D"/>
    <w:family w:val="auto"/>
    <w:pitch w:val="variable"/>
    <w:sig w:usb0="2000020F" w:usb1="00000003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altName w:val="Arial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Montserrat">
    <w:altName w:val="Calibri"/>
    <w:panose1 w:val="020B0604020202020204"/>
    <w:charset w:val="4D"/>
    <w:family w:val="auto"/>
    <w:pitch w:val="variable"/>
    <w:sig w:usb0="2000020F" w:usb1="00000003" w:usb2="00000000" w:usb3="00000000" w:csb0="00000197" w:csb1="00000000"/>
  </w:font>
  <w:font w:name="Univers (W1)">
    <w:altName w:val="Arial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1445275167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:rsidR="008544E1" w:rsidRDefault="008544E1" w:rsidP="00DA379C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 w:rsidR="00CE633D"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:rsidR="008544E1" w:rsidRDefault="008544E1" w:rsidP="008544E1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4A2" w:rsidRDefault="00D60BF7" w:rsidP="008544E1">
    <w:pPr>
      <w:ind w:right="360"/>
    </w:pPr>
    <w:r>
      <w:rPr>
        <w:noProof/>
        <w:color w:val="000000"/>
      </w:rPr>
      <w:drawing>
        <wp:anchor distT="0" distB="0" distL="114300" distR="114300" simplePos="0" relativeHeight="251660288" behindDoc="1" locked="0" layoutInCell="1" allowOverlap="1" wp14:anchorId="093B9EEA" wp14:editId="414DD1FB">
          <wp:simplePos x="0" y="0"/>
          <wp:positionH relativeFrom="page">
            <wp:posOffset>-121920</wp:posOffset>
          </wp:positionH>
          <wp:positionV relativeFrom="paragraph">
            <wp:posOffset>-45085</wp:posOffset>
          </wp:positionV>
          <wp:extent cx="7894873" cy="1293628"/>
          <wp:effectExtent l="0" t="0" r="5080" b="1905"/>
          <wp:wrapNone/>
          <wp:docPr id="441815502" name="Imagen 1" descr="Imagen que contiene Aplicación  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7835576" name="Imagen 1" descr="Imagen que contiene Aplicación  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139"/>
                  <a:stretch>
                    <a:fillRect/>
                  </a:stretch>
                </pic:blipFill>
                <pic:spPr bwMode="auto">
                  <a:xfrm>
                    <a:off x="0" y="0"/>
                    <a:ext cx="7894873" cy="129362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B54A2" w:rsidRPr="00E7262E" w:rsidRDefault="00DB54A2" w:rsidP="00A27EAB">
    <w:pPr>
      <w:jc w:val="right"/>
    </w:pPr>
  </w:p>
  <w:p w:rsidR="00B62B90" w:rsidRDefault="00B62B90" w:rsidP="00E32E7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B300B" w:rsidRDefault="001B300B" w:rsidP="00E32E74">
      <w:r>
        <w:separator/>
      </w:r>
    </w:p>
  </w:footnote>
  <w:footnote w:type="continuationSeparator" w:id="0">
    <w:p w:rsidR="001B300B" w:rsidRDefault="001B300B" w:rsidP="00E32E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54A2" w:rsidRDefault="00EA49C5" w:rsidP="00E32E74">
    <w:r>
      <w:rPr>
        <w:noProof/>
      </w:rPr>
      <w:drawing>
        <wp:anchor distT="0" distB="0" distL="0" distR="0" simplePos="0" relativeHeight="251658240" behindDoc="1" locked="0" layoutInCell="1" hidden="0" allowOverlap="1" wp14:anchorId="3C194DD2" wp14:editId="09349DB6">
          <wp:simplePos x="0" y="0"/>
          <wp:positionH relativeFrom="page">
            <wp:posOffset>-12700</wp:posOffset>
          </wp:positionH>
          <wp:positionV relativeFrom="paragraph">
            <wp:posOffset>-436626</wp:posOffset>
          </wp:positionV>
          <wp:extent cx="7753939" cy="1257300"/>
          <wp:effectExtent l="0" t="0" r="6350" b="0"/>
          <wp:wrapNone/>
          <wp:docPr id="949743675" name="image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16596"/>
                  <a:stretch>
                    <a:fillRect/>
                  </a:stretch>
                </pic:blipFill>
                <pic:spPr>
                  <a:xfrm>
                    <a:off x="0" y="0"/>
                    <a:ext cx="7753939" cy="1257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DB54A2" w:rsidRDefault="00DB54A2" w:rsidP="00E32E74"/>
  <w:p w:rsidR="00DB54A2" w:rsidRDefault="00DB54A2" w:rsidP="00E32E74"/>
  <w:p w:rsidR="00F859CD" w:rsidRDefault="00F859CD" w:rsidP="00E32E74"/>
  <w:p w:rsidR="00EA51AD" w:rsidRDefault="009966CB" w:rsidP="00FE6B8B">
    <w:pPr>
      <w:ind w:left="-426"/>
      <w:rPr>
        <w:rFonts w:ascii="Calibri" w:hAnsi="Calibri" w:cs="Calibri"/>
        <w:b/>
        <w:sz w:val="22"/>
      </w:rPr>
    </w:pPr>
    <w:r>
      <w:rPr>
        <w:rFonts w:ascii="Noto Sans" w:hAnsi="Noto Sans"/>
        <w:b/>
        <w:sz w:val="22"/>
      </w:rPr>
      <w:t>S</w:t>
    </w:r>
    <w:r w:rsidR="00F05BFD">
      <w:rPr>
        <w:rFonts w:ascii="Noto Sans" w:hAnsi="Noto Sans"/>
        <w:b/>
        <w:sz w:val="22"/>
      </w:rPr>
      <w:t>ubs</w:t>
    </w:r>
    <w:r>
      <w:rPr>
        <w:rFonts w:ascii="Noto Sans" w:hAnsi="Noto Sans"/>
        <w:b/>
        <w:sz w:val="22"/>
      </w:rPr>
      <w:t xml:space="preserve">ecretaría de </w:t>
    </w:r>
    <w:r w:rsidR="00F05BFD">
      <w:rPr>
        <w:rFonts w:ascii="Noto Sans" w:hAnsi="Noto Sans"/>
        <w:b/>
        <w:sz w:val="22"/>
      </w:rPr>
      <w:t>Industria y Comercio</w:t>
    </w:r>
  </w:p>
  <w:p w:rsidR="009966CB" w:rsidRPr="009966CB" w:rsidRDefault="009966CB" w:rsidP="00FE6B8B">
    <w:pPr>
      <w:ind w:left="-426"/>
      <w:rPr>
        <w:rFonts w:ascii="Calibri" w:hAnsi="Calibri" w:cs="Calibri"/>
        <w:b/>
        <w:bCs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66058"/>
    <w:multiLevelType w:val="multilevel"/>
    <w:tmpl w:val="CF0EF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00E73"/>
    <w:multiLevelType w:val="multilevel"/>
    <w:tmpl w:val="F8E6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C74F6"/>
    <w:multiLevelType w:val="hybridMultilevel"/>
    <w:tmpl w:val="BD24C636"/>
    <w:lvl w:ilvl="0" w:tplc="040A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3" w15:restartNumberingAfterBreak="0">
    <w:nsid w:val="09B5062C"/>
    <w:multiLevelType w:val="multilevel"/>
    <w:tmpl w:val="E0D4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B75AF"/>
    <w:multiLevelType w:val="multilevel"/>
    <w:tmpl w:val="F990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A051B"/>
    <w:multiLevelType w:val="multilevel"/>
    <w:tmpl w:val="F70C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26045"/>
    <w:multiLevelType w:val="hybridMultilevel"/>
    <w:tmpl w:val="2886F9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4B1544"/>
    <w:multiLevelType w:val="multilevel"/>
    <w:tmpl w:val="1DC4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E7BD5"/>
    <w:multiLevelType w:val="multilevel"/>
    <w:tmpl w:val="E21E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70303"/>
    <w:multiLevelType w:val="hybridMultilevel"/>
    <w:tmpl w:val="77764E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13076"/>
    <w:multiLevelType w:val="multilevel"/>
    <w:tmpl w:val="DC6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37F62"/>
    <w:multiLevelType w:val="hybridMultilevel"/>
    <w:tmpl w:val="491E8574"/>
    <w:lvl w:ilvl="0" w:tplc="473632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D72D51"/>
    <w:multiLevelType w:val="hybridMultilevel"/>
    <w:tmpl w:val="B27E3374"/>
    <w:lvl w:ilvl="0" w:tplc="3A18FC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7E7B97"/>
    <w:multiLevelType w:val="hybridMultilevel"/>
    <w:tmpl w:val="2A4A9C34"/>
    <w:lvl w:ilvl="0" w:tplc="BE928576">
      <w:numFmt w:val="bullet"/>
      <w:lvlText w:val="•"/>
      <w:lvlJc w:val="left"/>
      <w:pPr>
        <w:ind w:left="504" w:hanging="360"/>
      </w:pPr>
      <w:rPr>
        <w:rFonts w:ascii="Arial" w:eastAsia="Times New Roman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F28E7"/>
    <w:multiLevelType w:val="multilevel"/>
    <w:tmpl w:val="B01CB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0E56A7"/>
    <w:multiLevelType w:val="multilevel"/>
    <w:tmpl w:val="2B92D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F13CCD"/>
    <w:multiLevelType w:val="multilevel"/>
    <w:tmpl w:val="AEEE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731D8"/>
    <w:multiLevelType w:val="hybridMultilevel"/>
    <w:tmpl w:val="E58CE21C"/>
    <w:lvl w:ilvl="0" w:tplc="0C348DAA">
      <w:start w:val="1"/>
      <w:numFmt w:val="upperRoman"/>
      <w:pStyle w:val="Ttulo4"/>
      <w:lvlText w:val="%1."/>
      <w:lvlJc w:val="left"/>
      <w:pPr>
        <w:ind w:left="1080" w:hanging="72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270ACC"/>
    <w:multiLevelType w:val="multilevel"/>
    <w:tmpl w:val="DDDE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F1DE7"/>
    <w:multiLevelType w:val="multilevel"/>
    <w:tmpl w:val="AF8E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745AEF"/>
    <w:multiLevelType w:val="multilevel"/>
    <w:tmpl w:val="77708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90047D"/>
    <w:multiLevelType w:val="hybridMultilevel"/>
    <w:tmpl w:val="A822CF98"/>
    <w:lvl w:ilvl="0" w:tplc="BE928576">
      <w:numFmt w:val="bullet"/>
      <w:lvlText w:val="•"/>
      <w:lvlJc w:val="left"/>
      <w:pPr>
        <w:ind w:left="504" w:hanging="360"/>
      </w:pPr>
      <w:rPr>
        <w:rFonts w:ascii="Arial" w:eastAsia="Times New Roman" w:hAnsi="Arial" w:cs="Arial" w:hint="default"/>
      </w:rPr>
    </w:lvl>
    <w:lvl w:ilvl="1" w:tplc="040A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2" w15:restartNumberingAfterBreak="0">
    <w:nsid w:val="62203C88"/>
    <w:multiLevelType w:val="multilevel"/>
    <w:tmpl w:val="CC1C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68072D"/>
    <w:multiLevelType w:val="hybridMultilevel"/>
    <w:tmpl w:val="050879D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157499"/>
    <w:multiLevelType w:val="multilevel"/>
    <w:tmpl w:val="C5827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6C00BF"/>
    <w:multiLevelType w:val="multilevel"/>
    <w:tmpl w:val="9810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7327C8"/>
    <w:multiLevelType w:val="hybridMultilevel"/>
    <w:tmpl w:val="4BBA90A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A16731"/>
    <w:multiLevelType w:val="multilevel"/>
    <w:tmpl w:val="0A64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B60062"/>
    <w:multiLevelType w:val="hybridMultilevel"/>
    <w:tmpl w:val="F4BA4BB8"/>
    <w:lvl w:ilvl="0" w:tplc="473632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60E2529C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55585F"/>
    <w:multiLevelType w:val="multilevel"/>
    <w:tmpl w:val="EE748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0F537A"/>
    <w:multiLevelType w:val="multilevel"/>
    <w:tmpl w:val="4F38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536124"/>
    <w:multiLevelType w:val="multilevel"/>
    <w:tmpl w:val="F65C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1B2C3D"/>
    <w:multiLevelType w:val="hybridMultilevel"/>
    <w:tmpl w:val="7A1B2C3E"/>
    <w:lvl w:ilvl="0" w:tplc="F266E762">
      <w:start w:val="1"/>
      <w:numFmt w:val="bullet"/>
      <w:lvlText w:val=""/>
      <w:lvlJc w:val="left"/>
      <w:pPr>
        <w:ind w:left="432" w:hanging="288"/>
      </w:pPr>
      <w:rPr>
        <w:rFonts w:ascii="Symbol" w:hAnsi="Symbol" w:hint="default"/>
      </w:rPr>
    </w:lvl>
    <w:lvl w:ilvl="1" w:tplc="1A44F988">
      <w:numFmt w:val="decimal"/>
      <w:lvlText w:val=""/>
      <w:lvlJc w:val="left"/>
    </w:lvl>
    <w:lvl w:ilvl="2" w:tplc="784A313A">
      <w:numFmt w:val="decimal"/>
      <w:lvlText w:val=""/>
      <w:lvlJc w:val="left"/>
    </w:lvl>
    <w:lvl w:ilvl="3" w:tplc="E940B9BA">
      <w:numFmt w:val="decimal"/>
      <w:lvlText w:val=""/>
      <w:lvlJc w:val="left"/>
    </w:lvl>
    <w:lvl w:ilvl="4" w:tplc="CE9E15B0">
      <w:numFmt w:val="decimal"/>
      <w:lvlText w:val=""/>
      <w:lvlJc w:val="left"/>
    </w:lvl>
    <w:lvl w:ilvl="5" w:tplc="803CE1A8">
      <w:numFmt w:val="decimal"/>
      <w:lvlText w:val=""/>
      <w:lvlJc w:val="left"/>
    </w:lvl>
    <w:lvl w:ilvl="6" w:tplc="7EBEE4BC">
      <w:numFmt w:val="decimal"/>
      <w:lvlText w:val=""/>
      <w:lvlJc w:val="left"/>
    </w:lvl>
    <w:lvl w:ilvl="7" w:tplc="AD3C62DA">
      <w:numFmt w:val="decimal"/>
      <w:lvlText w:val=""/>
      <w:lvlJc w:val="left"/>
    </w:lvl>
    <w:lvl w:ilvl="8" w:tplc="C35E76F4">
      <w:numFmt w:val="decimal"/>
      <w:lvlText w:val=""/>
      <w:lvlJc w:val="left"/>
    </w:lvl>
  </w:abstractNum>
  <w:abstractNum w:abstractNumId="33" w15:restartNumberingAfterBreak="0">
    <w:nsid w:val="7B7C15D2"/>
    <w:multiLevelType w:val="hybridMultilevel"/>
    <w:tmpl w:val="9E9411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7C1AA1"/>
    <w:multiLevelType w:val="multilevel"/>
    <w:tmpl w:val="749C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6"/>
  </w:num>
  <w:num w:numId="3">
    <w:abstractNumId w:val="20"/>
  </w:num>
  <w:num w:numId="4">
    <w:abstractNumId w:val="34"/>
  </w:num>
  <w:num w:numId="5">
    <w:abstractNumId w:val="27"/>
  </w:num>
  <w:num w:numId="6">
    <w:abstractNumId w:val="10"/>
  </w:num>
  <w:num w:numId="7">
    <w:abstractNumId w:val="30"/>
  </w:num>
  <w:num w:numId="8">
    <w:abstractNumId w:val="8"/>
  </w:num>
  <w:num w:numId="9">
    <w:abstractNumId w:val="5"/>
  </w:num>
  <w:num w:numId="10">
    <w:abstractNumId w:val="16"/>
  </w:num>
  <w:num w:numId="11">
    <w:abstractNumId w:val="19"/>
  </w:num>
  <w:num w:numId="12">
    <w:abstractNumId w:val="18"/>
  </w:num>
  <w:num w:numId="13">
    <w:abstractNumId w:val="7"/>
  </w:num>
  <w:num w:numId="14">
    <w:abstractNumId w:val="14"/>
  </w:num>
  <w:num w:numId="15">
    <w:abstractNumId w:val="31"/>
  </w:num>
  <w:num w:numId="16">
    <w:abstractNumId w:val="0"/>
  </w:num>
  <w:num w:numId="17">
    <w:abstractNumId w:val="24"/>
  </w:num>
  <w:num w:numId="18">
    <w:abstractNumId w:val="15"/>
  </w:num>
  <w:num w:numId="19">
    <w:abstractNumId w:val="23"/>
  </w:num>
  <w:num w:numId="20">
    <w:abstractNumId w:val="26"/>
  </w:num>
  <w:num w:numId="21">
    <w:abstractNumId w:val="12"/>
  </w:num>
  <w:num w:numId="22">
    <w:abstractNumId w:val="1"/>
  </w:num>
  <w:num w:numId="23">
    <w:abstractNumId w:val="22"/>
  </w:num>
  <w:num w:numId="24">
    <w:abstractNumId w:val="25"/>
  </w:num>
  <w:num w:numId="25">
    <w:abstractNumId w:val="3"/>
  </w:num>
  <w:num w:numId="26">
    <w:abstractNumId w:val="4"/>
  </w:num>
  <w:num w:numId="27">
    <w:abstractNumId w:val="29"/>
  </w:num>
  <w:num w:numId="28">
    <w:abstractNumId w:val="9"/>
  </w:num>
  <w:num w:numId="29">
    <w:abstractNumId w:val="33"/>
  </w:num>
  <w:num w:numId="30">
    <w:abstractNumId w:val="32"/>
  </w:num>
  <w:num w:numId="31">
    <w:abstractNumId w:val="2"/>
  </w:num>
  <w:num w:numId="32">
    <w:abstractNumId w:val="21"/>
  </w:num>
  <w:num w:numId="33">
    <w:abstractNumId w:val="13"/>
  </w:num>
  <w:num w:numId="34">
    <w:abstractNumId w:val="11"/>
  </w:num>
  <w:num w:numId="35">
    <w:abstractNumId w:val="28"/>
  </w:num>
  <w:numIdMacAtCleanup w:val="1"/>
  <w:abstractNum w:abstractNumId="35">
    <w:lvl w:ilvl="0">
      <w:numFmt w:val="bullet"/>
      <w:lvlText w:val="•"/>
      <w:suff w:val="space"/>
    </w:lvl>
  </w:abstractNum>
  <w:num w:numId="3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3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94C"/>
    <w:rsid w:val="00002027"/>
    <w:rsid w:val="00003EA0"/>
    <w:rsid w:val="0000545B"/>
    <w:rsid w:val="000258F9"/>
    <w:rsid w:val="00025A89"/>
    <w:rsid w:val="00030E8C"/>
    <w:rsid w:val="0003237D"/>
    <w:rsid w:val="000377A6"/>
    <w:rsid w:val="00041BD6"/>
    <w:rsid w:val="000438FF"/>
    <w:rsid w:val="00043F02"/>
    <w:rsid w:val="00046781"/>
    <w:rsid w:val="00050586"/>
    <w:rsid w:val="00054CA4"/>
    <w:rsid w:val="00054FB9"/>
    <w:rsid w:val="000571C6"/>
    <w:rsid w:val="0006003F"/>
    <w:rsid w:val="000A3591"/>
    <w:rsid w:val="000A46AA"/>
    <w:rsid w:val="000A71DD"/>
    <w:rsid w:val="000B3C45"/>
    <w:rsid w:val="000D126D"/>
    <w:rsid w:val="000D5B48"/>
    <w:rsid w:val="000D796F"/>
    <w:rsid w:val="000E1551"/>
    <w:rsid w:val="000E263D"/>
    <w:rsid w:val="001106F9"/>
    <w:rsid w:val="00113971"/>
    <w:rsid w:val="00113ADD"/>
    <w:rsid w:val="001259AE"/>
    <w:rsid w:val="001317EA"/>
    <w:rsid w:val="00136317"/>
    <w:rsid w:val="0013733B"/>
    <w:rsid w:val="001410AA"/>
    <w:rsid w:val="00147D41"/>
    <w:rsid w:val="00151B05"/>
    <w:rsid w:val="00153B11"/>
    <w:rsid w:val="00154DA5"/>
    <w:rsid w:val="00155DFB"/>
    <w:rsid w:val="00177001"/>
    <w:rsid w:val="0018050E"/>
    <w:rsid w:val="00193DC0"/>
    <w:rsid w:val="00197050"/>
    <w:rsid w:val="00197ADD"/>
    <w:rsid w:val="001A6402"/>
    <w:rsid w:val="001B2972"/>
    <w:rsid w:val="001B300B"/>
    <w:rsid w:val="001B64D3"/>
    <w:rsid w:val="001C2D90"/>
    <w:rsid w:val="001C5436"/>
    <w:rsid w:val="001D27D6"/>
    <w:rsid w:val="001D4DE9"/>
    <w:rsid w:val="001E072F"/>
    <w:rsid w:val="001F561B"/>
    <w:rsid w:val="00204B82"/>
    <w:rsid w:val="00220619"/>
    <w:rsid w:val="002360E8"/>
    <w:rsid w:val="00246E09"/>
    <w:rsid w:val="00254C67"/>
    <w:rsid w:val="00290C17"/>
    <w:rsid w:val="00294C95"/>
    <w:rsid w:val="002B3D15"/>
    <w:rsid w:val="002C459E"/>
    <w:rsid w:val="002E0889"/>
    <w:rsid w:val="002E131D"/>
    <w:rsid w:val="002E3C28"/>
    <w:rsid w:val="002F4E7A"/>
    <w:rsid w:val="00320CA1"/>
    <w:rsid w:val="00341FF9"/>
    <w:rsid w:val="00344789"/>
    <w:rsid w:val="00360F50"/>
    <w:rsid w:val="0036312B"/>
    <w:rsid w:val="003817DF"/>
    <w:rsid w:val="003919F7"/>
    <w:rsid w:val="003B7AF4"/>
    <w:rsid w:val="003E400C"/>
    <w:rsid w:val="003E7119"/>
    <w:rsid w:val="003F7434"/>
    <w:rsid w:val="004135C9"/>
    <w:rsid w:val="00424E7E"/>
    <w:rsid w:val="0042728A"/>
    <w:rsid w:val="00431758"/>
    <w:rsid w:val="004362C5"/>
    <w:rsid w:val="00437209"/>
    <w:rsid w:val="00465707"/>
    <w:rsid w:val="004676E4"/>
    <w:rsid w:val="00470257"/>
    <w:rsid w:val="0047264F"/>
    <w:rsid w:val="004869A7"/>
    <w:rsid w:val="00486FFD"/>
    <w:rsid w:val="00491EE7"/>
    <w:rsid w:val="0049299F"/>
    <w:rsid w:val="00494C1B"/>
    <w:rsid w:val="00495548"/>
    <w:rsid w:val="004A74A4"/>
    <w:rsid w:val="004A78F6"/>
    <w:rsid w:val="004B221D"/>
    <w:rsid w:val="004C2B18"/>
    <w:rsid w:val="004D104B"/>
    <w:rsid w:val="004D2236"/>
    <w:rsid w:val="004D5A8C"/>
    <w:rsid w:val="004E388B"/>
    <w:rsid w:val="004E776E"/>
    <w:rsid w:val="004F3817"/>
    <w:rsid w:val="004F590A"/>
    <w:rsid w:val="0050130F"/>
    <w:rsid w:val="00502F3D"/>
    <w:rsid w:val="005267AC"/>
    <w:rsid w:val="00527411"/>
    <w:rsid w:val="005279B6"/>
    <w:rsid w:val="00550647"/>
    <w:rsid w:val="00580B12"/>
    <w:rsid w:val="00586B57"/>
    <w:rsid w:val="00587300"/>
    <w:rsid w:val="00591184"/>
    <w:rsid w:val="00591B3A"/>
    <w:rsid w:val="00593514"/>
    <w:rsid w:val="00593D76"/>
    <w:rsid w:val="005A57CC"/>
    <w:rsid w:val="005A6B97"/>
    <w:rsid w:val="005C3EB9"/>
    <w:rsid w:val="005D105A"/>
    <w:rsid w:val="00625F36"/>
    <w:rsid w:val="00646C52"/>
    <w:rsid w:val="00655D4F"/>
    <w:rsid w:val="0065662B"/>
    <w:rsid w:val="00661ED1"/>
    <w:rsid w:val="006626AF"/>
    <w:rsid w:val="00662863"/>
    <w:rsid w:val="00667278"/>
    <w:rsid w:val="00671DD9"/>
    <w:rsid w:val="0068031A"/>
    <w:rsid w:val="006808CC"/>
    <w:rsid w:val="00697E37"/>
    <w:rsid w:val="006A0811"/>
    <w:rsid w:val="006A1F60"/>
    <w:rsid w:val="006A3BB6"/>
    <w:rsid w:val="006F4646"/>
    <w:rsid w:val="00705DC8"/>
    <w:rsid w:val="007462AF"/>
    <w:rsid w:val="007471F1"/>
    <w:rsid w:val="0075390E"/>
    <w:rsid w:val="007759A6"/>
    <w:rsid w:val="007816C7"/>
    <w:rsid w:val="0078392B"/>
    <w:rsid w:val="0079704D"/>
    <w:rsid w:val="007B7560"/>
    <w:rsid w:val="007C74E0"/>
    <w:rsid w:val="007D06F1"/>
    <w:rsid w:val="007D3385"/>
    <w:rsid w:val="007F60B5"/>
    <w:rsid w:val="00810EC6"/>
    <w:rsid w:val="00815835"/>
    <w:rsid w:val="0082026B"/>
    <w:rsid w:val="00830352"/>
    <w:rsid w:val="00832176"/>
    <w:rsid w:val="0083711C"/>
    <w:rsid w:val="008544E1"/>
    <w:rsid w:val="0086418A"/>
    <w:rsid w:val="00864D64"/>
    <w:rsid w:val="00887FBD"/>
    <w:rsid w:val="00897B8A"/>
    <w:rsid w:val="00897E86"/>
    <w:rsid w:val="008A56B9"/>
    <w:rsid w:val="008B36BF"/>
    <w:rsid w:val="008B5764"/>
    <w:rsid w:val="008D09CA"/>
    <w:rsid w:val="008E3CE4"/>
    <w:rsid w:val="008F0109"/>
    <w:rsid w:val="008F2DC2"/>
    <w:rsid w:val="008F54BD"/>
    <w:rsid w:val="009117FA"/>
    <w:rsid w:val="009208B2"/>
    <w:rsid w:val="00927F12"/>
    <w:rsid w:val="00930605"/>
    <w:rsid w:val="00954E52"/>
    <w:rsid w:val="00964ACF"/>
    <w:rsid w:val="009667A4"/>
    <w:rsid w:val="009716AD"/>
    <w:rsid w:val="009755F8"/>
    <w:rsid w:val="00981CAC"/>
    <w:rsid w:val="00994331"/>
    <w:rsid w:val="00995175"/>
    <w:rsid w:val="009966CB"/>
    <w:rsid w:val="00997820"/>
    <w:rsid w:val="009B2B04"/>
    <w:rsid w:val="009D1660"/>
    <w:rsid w:val="009D513B"/>
    <w:rsid w:val="009D662C"/>
    <w:rsid w:val="009E6351"/>
    <w:rsid w:val="00A03BBA"/>
    <w:rsid w:val="00A25E9B"/>
    <w:rsid w:val="00A27EAB"/>
    <w:rsid w:val="00A34818"/>
    <w:rsid w:val="00A503BD"/>
    <w:rsid w:val="00A71E98"/>
    <w:rsid w:val="00A73CF4"/>
    <w:rsid w:val="00A84A08"/>
    <w:rsid w:val="00A8694C"/>
    <w:rsid w:val="00A87331"/>
    <w:rsid w:val="00A91676"/>
    <w:rsid w:val="00AA572B"/>
    <w:rsid w:val="00AA5821"/>
    <w:rsid w:val="00AE45C4"/>
    <w:rsid w:val="00B00ACC"/>
    <w:rsid w:val="00B109F8"/>
    <w:rsid w:val="00B131F1"/>
    <w:rsid w:val="00B2245F"/>
    <w:rsid w:val="00B23CE9"/>
    <w:rsid w:val="00B273F4"/>
    <w:rsid w:val="00B449E9"/>
    <w:rsid w:val="00B50C16"/>
    <w:rsid w:val="00B62B90"/>
    <w:rsid w:val="00B64AE2"/>
    <w:rsid w:val="00B72087"/>
    <w:rsid w:val="00B93C35"/>
    <w:rsid w:val="00B94BFE"/>
    <w:rsid w:val="00B96CD0"/>
    <w:rsid w:val="00BA690B"/>
    <w:rsid w:val="00BA7AF6"/>
    <w:rsid w:val="00BB1DC9"/>
    <w:rsid w:val="00BB3B44"/>
    <w:rsid w:val="00BB4307"/>
    <w:rsid w:val="00BC0BB8"/>
    <w:rsid w:val="00BC0F57"/>
    <w:rsid w:val="00BC2D1D"/>
    <w:rsid w:val="00BD38B1"/>
    <w:rsid w:val="00BE2C85"/>
    <w:rsid w:val="00BF5F01"/>
    <w:rsid w:val="00C0087D"/>
    <w:rsid w:val="00C062EB"/>
    <w:rsid w:val="00C122A4"/>
    <w:rsid w:val="00C176D8"/>
    <w:rsid w:val="00C2663E"/>
    <w:rsid w:val="00C33446"/>
    <w:rsid w:val="00C42F66"/>
    <w:rsid w:val="00C43081"/>
    <w:rsid w:val="00C619F7"/>
    <w:rsid w:val="00C62995"/>
    <w:rsid w:val="00C639EA"/>
    <w:rsid w:val="00C63AAF"/>
    <w:rsid w:val="00C65A1B"/>
    <w:rsid w:val="00C66897"/>
    <w:rsid w:val="00C67180"/>
    <w:rsid w:val="00C821D5"/>
    <w:rsid w:val="00C9207B"/>
    <w:rsid w:val="00CA567C"/>
    <w:rsid w:val="00CB13F4"/>
    <w:rsid w:val="00CB38B3"/>
    <w:rsid w:val="00CB70C5"/>
    <w:rsid w:val="00CD4A23"/>
    <w:rsid w:val="00CD7369"/>
    <w:rsid w:val="00CE633D"/>
    <w:rsid w:val="00D10BEE"/>
    <w:rsid w:val="00D2057E"/>
    <w:rsid w:val="00D2376F"/>
    <w:rsid w:val="00D23B89"/>
    <w:rsid w:val="00D2506F"/>
    <w:rsid w:val="00D263C6"/>
    <w:rsid w:val="00D60BF7"/>
    <w:rsid w:val="00D70252"/>
    <w:rsid w:val="00D70D18"/>
    <w:rsid w:val="00D83A01"/>
    <w:rsid w:val="00D90AAA"/>
    <w:rsid w:val="00D92277"/>
    <w:rsid w:val="00D974FD"/>
    <w:rsid w:val="00DA0C65"/>
    <w:rsid w:val="00DA44B8"/>
    <w:rsid w:val="00DB54A2"/>
    <w:rsid w:val="00DD2599"/>
    <w:rsid w:val="00DD4B7F"/>
    <w:rsid w:val="00DD6CF3"/>
    <w:rsid w:val="00DE64C2"/>
    <w:rsid w:val="00DE76A7"/>
    <w:rsid w:val="00E0538C"/>
    <w:rsid w:val="00E1407E"/>
    <w:rsid w:val="00E32E74"/>
    <w:rsid w:val="00E413F0"/>
    <w:rsid w:val="00E56F00"/>
    <w:rsid w:val="00E61388"/>
    <w:rsid w:val="00E7262E"/>
    <w:rsid w:val="00E76409"/>
    <w:rsid w:val="00E94CD4"/>
    <w:rsid w:val="00EA2751"/>
    <w:rsid w:val="00EA49C5"/>
    <w:rsid w:val="00EA51AD"/>
    <w:rsid w:val="00EB1C36"/>
    <w:rsid w:val="00EB1FB8"/>
    <w:rsid w:val="00ED0B2E"/>
    <w:rsid w:val="00F0340D"/>
    <w:rsid w:val="00F05BFD"/>
    <w:rsid w:val="00F05F40"/>
    <w:rsid w:val="00F06026"/>
    <w:rsid w:val="00F16AAF"/>
    <w:rsid w:val="00F231FC"/>
    <w:rsid w:val="00F26202"/>
    <w:rsid w:val="00F3290F"/>
    <w:rsid w:val="00F367B6"/>
    <w:rsid w:val="00F37BF3"/>
    <w:rsid w:val="00F43BA1"/>
    <w:rsid w:val="00F45090"/>
    <w:rsid w:val="00F53CD8"/>
    <w:rsid w:val="00F715E8"/>
    <w:rsid w:val="00F73ED8"/>
    <w:rsid w:val="00F83769"/>
    <w:rsid w:val="00F859CD"/>
    <w:rsid w:val="00F95ABF"/>
    <w:rsid w:val="00F9737C"/>
    <w:rsid w:val="00FA6B54"/>
    <w:rsid w:val="00FB178F"/>
    <w:rsid w:val="00FD0DC2"/>
    <w:rsid w:val="00FE2C1E"/>
    <w:rsid w:val="00FE6B8B"/>
    <w:rsid w:val="00FF0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88DCC13-AF70-4DF6-8663-0D0C6439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F7434"/>
    <w:rPr>
      <w:rFonts w:ascii="Noto Sans" w:eastAsia="Times New Roman" w:hAnsi="Noto Sans" w:cs="Times New Roman"/>
      <w:sz w:val="22"/>
      <w:lang w:eastAsia="es-ES_tradnl"/>
    </w:rPr>
  </w:style>
  <w:style w:type="paragraph" w:styleId="Ttulo1">
    <w:name w:val="heading 1"/>
    <w:basedOn w:val="Normal"/>
    <w:next w:val="Normal"/>
    <w:uiPriority w:val="9"/>
    <w:qFormat/>
    <w:rsid w:val="00CD7369"/>
    <w:pPr>
      <w:jc w:val="center"/>
      <w:outlineLvl w:val="0"/>
    </w:pPr>
    <w:rPr>
      <w:rFonts w:eastAsia="Noto Sans" w:cs="Noto Sans" w:ascii="Noto Sans" w:hAnsi="Noto Sans"/>
      <w:b/>
      <w:color w:val="670E35"/>
      <w:sz w:val="22"/>
      <w:lang w:eastAsia="es-MX"/>
    </w:rPr>
  </w:style>
  <w:style w:type="paragraph" w:styleId="Ttulo2">
    <w:name w:val="heading 2"/>
    <w:basedOn w:val="Normal"/>
    <w:next w:val="Normal"/>
    <w:uiPriority w:val="9"/>
    <w:unhideWhenUsed/>
    <w:qFormat/>
    <w:rsid w:val="00D70252"/>
    <w:pPr>
      <w:jc w:val="center"/>
      <w:outlineLvl w:val="1"/>
    </w:pPr>
    <w:rPr>
      <w:rFonts w:eastAsia="Montserrat Light" w:cs="Montserrat Light" w:ascii="Noto Sans" w:hAnsi="Noto Sans"/>
      <w:b/>
      <w:color w:val="666666"/>
      <w:sz w:val="22"/>
      <w:lang w:eastAsia="es-MX"/>
    </w:rPr>
  </w:style>
  <w:style w:type="paragraph" w:styleId="Ttulo3">
    <w:name w:val="heading 3"/>
    <w:basedOn w:val="Normal"/>
    <w:next w:val="Normal"/>
    <w:uiPriority w:val="9"/>
    <w:unhideWhenUsed/>
    <w:qFormat/>
    <w:rsid w:val="00CD7369"/>
    <w:pPr>
      <w:shd w:val="clear" w:color="auto" w:fill="670E35"/>
      <w:outlineLvl w:val="2"/>
    </w:pPr>
    <w:rPr>
      <w:rFonts w:ascii="Noto Sans" w:hAnsi="Noto Sans"/>
      <w:b/>
      <w:color w:val="FFFFFF"/>
      <w:sz w:val="22"/>
      <w:lang w:eastAsia="es-MX"/>
    </w:rPr>
  </w:style>
  <w:style w:type="paragraph" w:styleId="Ttulo4">
    <w:name w:val="heading 4"/>
    <w:basedOn w:val="Normal"/>
    <w:next w:val="Normal"/>
    <w:uiPriority w:val="9"/>
    <w:unhideWhenUsed/>
    <w:qFormat/>
    <w:rsid w:val="00D70252"/>
    <w:pPr>
      <w:keepNext/>
      <w:keepLines/>
      <w:numPr>
        <w:numId w:val="1"/>
      </w:numPr>
      <w:spacing w:before="240" w:after="40"/>
      <w:ind w:left="709" w:hanging="709"/>
      <w:outlineLvl w:val="3"/>
    </w:pPr>
    <w:rPr>
      <w:rFonts w:ascii="Noto Sans" w:hAnsi="Noto Sans"/>
      <w:b/>
      <w:sz w:val="22"/>
      <w:lang w:eastAsia="es-MX"/>
    </w:rPr>
  </w:style>
  <w:style w:type="paragraph" w:styleId="Ttulo5">
    <w:name w:val="heading 5"/>
    <w:basedOn w:val="Ttulo2"/>
    <w:next w:val="Normal"/>
    <w:uiPriority w:val="9"/>
    <w:unhideWhenUsed/>
    <w:qFormat/>
    <w:rsid w:val="00D70252"/>
    <w:pPr>
      <w:jc w:val="right"/>
      <w:outlineLvl w:val="4"/>
    </w:pPr>
    <w:rPr>
      <w:rFonts w:ascii="Noto Sans" w:hAnsi="Noto Sans"/>
      <w:b w:val="0"/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rFonts w:ascii="Noto Sans" w:hAnsi="Noto Sans"/>
      <w:b/>
      <w:sz w:val="22"/>
      <w:szCs w:val="20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rFonts w:ascii="Noto Sans" w:hAnsi="Noto Sans"/>
      <w:b/>
      <w:sz w:val="22"/>
      <w:szCs w:val="72"/>
      <w:lang w:eastAsia="es-MX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A73D65"/>
    <w:pPr>
      <w:tabs>
        <w:tab w:val="center" w:pos="4419"/>
        <w:tab w:val="right" w:pos="8838"/>
      </w:tabs>
    </w:pPr>
    <w:rPr>
      <w:rFonts w:ascii="Noto Sans" w:hAnsi="Noto Sans"/>
      <w:sz w:val="22"/>
      <w:lang w:eastAsia="es-MX"/>
    </w:rPr>
  </w:style>
  <w:style w:type="character" w:customStyle="1" w:styleId="EncabezadoCar">
    <w:name w:val="Encabezado Car"/>
    <w:basedOn w:val="Fuentedeprrafopredeter"/>
    <w:link w:val="Encabezado"/>
    <w:uiPriority w:val="99"/>
    <w:rsid w:val="00A73D65"/>
    <w:rPr>
      <w:rFonts w:eastAsiaTheme="minorEastAs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73D65"/>
    <w:pPr>
      <w:tabs>
        <w:tab w:val="center" w:pos="4419"/>
        <w:tab w:val="right" w:pos="8838"/>
      </w:tabs>
    </w:pPr>
    <w:rPr>
      <w:rFonts w:ascii="Noto Sans" w:hAnsi="Noto Sans"/>
      <w:sz w:val="22"/>
      <w:lang w:eastAsia="es-MX"/>
    </w:rPr>
  </w:style>
  <w:style w:type="character" w:customStyle="1" w:styleId="PiedepginaCar">
    <w:name w:val="Pie de página Car"/>
    <w:basedOn w:val="Fuentedeprrafopredeter"/>
    <w:link w:val="Piedepgina"/>
    <w:uiPriority w:val="99"/>
    <w:rsid w:val="00A73D65"/>
    <w:rPr>
      <w:rFonts w:eastAsiaTheme="minorEastAsia"/>
      <w:lang w:val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Noto Sans" w:eastAsia="Georgia" w:hAnsi="Noto Sans" w:cs="Georgia"/>
      <w:i/>
      <w:color w:val="666666"/>
      <w:sz w:val="22"/>
      <w:szCs w:val="48"/>
      <w:lang w:eastAsia="es-MX"/>
    </w:rPr>
  </w:style>
  <w:style w:type="paragraph" w:styleId="NormalWeb">
    <w:name w:val="Normal (Web)"/>
    <w:basedOn w:val="Normal"/>
    <w:uiPriority w:val="99"/>
    <w:unhideWhenUsed/>
    <w:rsid w:val="00C84662"/>
    <w:pPr>
      <w:spacing w:before="100" w:beforeAutospacing="1" w:after="100" w:afterAutospacing="1"/>
    </w:pPr>
    <w:rPr>
      <w:rFonts w:ascii="Noto Sans" w:hAnsi="Noto Sans"/>
      <w:sz w:val="22"/>
      <w:lang w:eastAsia="es-MX"/>
    </w:rPr>
  </w:style>
  <w:style w:type="paragraph" w:styleId="Prrafodelista">
    <w:name w:val="List Paragraph"/>
    <w:basedOn w:val="Normal"/>
    <w:uiPriority w:val="34"/>
    <w:qFormat/>
    <w:rsid w:val="001E119D"/>
    <w:pPr>
      <w:ind w:left="720"/>
      <w:contextualSpacing/>
    </w:pPr>
    <w:rPr>
      <w:rFonts w:ascii="Noto Sans" w:hAnsi="Noto Sans"/>
      <w:sz w:val="22"/>
      <w:lang w:eastAsia="es-MX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E119D"/>
    <w:rPr>
      <w:rFonts w:ascii="Noto Sans" w:hAnsi="Noto Sans" w:cs="Segoe UI"/>
      <w:sz w:val="22"/>
      <w:szCs w:val="18"/>
      <w:lang w:eastAsia="es-MX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E119D"/>
    <w:rPr>
      <w:rFonts w:ascii="Segoe UI" w:eastAsiaTheme="minorEastAsia" w:hAnsi="Segoe UI" w:cs="Segoe UI"/>
      <w:sz w:val="18"/>
      <w:szCs w:val="18"/>
      <w:lang w:val="es-ES"/>
    </w:rPr>
  </w:style>
  <w:style w:type="character" w:styleId="Hipervnculo">
    <w:name w:val="Hyperlink"/>
    <w:basedOn w:val="Fuentedeprrafopredeter"/>
    <w:uiPriority w:val="99"/>
    <w:unhideWhenUsed/>
    <w:rsid w:val="00021984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8D09CA"/>
    <w:rPr>
      <w:b/>
      <w:bCs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8D09CA"/>
    <w:rPr>
      <w:rFonts w:ascii="Noto Sans" w:hAnsi="Noto Sans"/>
      <w:sz w:val="22"/>
      <w:szCs w:val="20"/>
      <w:lang w:eastAsia="es-MX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8D09CA"/>
    <w:rPr>
      <w:rFonts w:ascii="Montserrat" w:eastAsia="Montserrat" w:hAnsi="Montserrat" w:cs="Montserrat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8D09CA"/>
    <w:rPr>
      <w:vertAlign w:val="superscript"/>
    </w:rPr>
  </w:style>
  <w:style w:type="table" w:styleId="Tablaconcuadrcula">
    <w:name w:val="Table Grid"/>
    <w:basedOn w:val="Tablanormal"/>
    <w:uiPriority w:val="39"/>
    <w:rsid w:val="00E764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3">
    <w:name w:val="Grid Table 4 Accent 3"/>
    <w:basedOn w:val="Tablanormal"/>
    <w:uiPriority w:val="49"/>
    <w:rsid w:val="00C176D8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10EC6"/>
    <w:rPr>
      <w:color w:val="666666"/>
    </w:rPr>
  </w:style>
  <w:style w:type="character" w:styleId="Mencinsinresolver">
    <w:name w:val="Unresolved Mention"/>
    <w:basedOn w:val="Fuentedeprrafopredeter"/>
    <w:uiPriority w:val="99"/>
    <w:semiHidden/>
    <w:unhideWhenUsed/>
    <w:rsid w:val="0013733B"/>
    <w:rPr>
      <w:color w:val="605E5C"/>
      <w:shd w:val="clear" w:color="auto" w:fill="E1DFDD"/>
    </w:rPr>
  </w:style>
  <w:style w:type="paragraph" w:customStyle="1" w:styleId="n01">
    <w:name w:val="n01"/>
    <w:basedOn w:val="Normal"/>
    <w:rsid w:val="00431758"/>
    <w:pPr>
      <w:keepLines/>
      <w:spacing w:before="240"/>
      <w:ind w:left="720" w:hanging="720"/>
    </w:pPr>
    <w:rPr>
      <w:rFonts w:ascii="Noto Sans" w:hAnsi="Noto Sans" w:cs="Arial"/>
      <w:color w:val="800080"/>
      <w:sz w:val="22"/>
      <w:lang w:val="es-ES_tradnl" w:eastAsia="es-ES"/>
    </w:rPr>
  </w:style>
  <w:style w:type="table" w:styleId="Tablaconcuadrcula1clara-nfasis6">
    <w:name w:val="Grid Table 1 Light Accent 6"/>
    <w:basedOn w:val="Tablanormal"/>
    <w:uiPriority w:val="46"/>
    <w:rsid w:val="00054FB9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6">
    <w:name w:val="Grid Table 2 Accent 6"/>
    <w:basedOn w:val="Tablanormal"/>
    <w:uiPriority w:val="47"/>
    <w:rsid w:val="00054FB9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merodepgina">
    <w:name w:val="page number"/>
    <w:basedOn w:val="Fuentedeprrafopredeter"/>
    <w:uiPriority w:val="99"/>
    <w:semiHidden/>
    <w:unhideWhenUsed/>
    <w:rsid w:val="008544E1"/>
  </w:style>
  <w:style w:type="character" w:styleId="Hipervnculovisitado">
    <w:name w:val="FollowedHyperlink"/>
    <w:basedOn w:val="Fuentedeprrafopredeter"/>
    <w:uiPriority w:val="99"/>
    <w:semiHidden/>
    <w:unhideWhenUsed/>
    <w:rsid w:val="00502F3D"/>
    <w:rPr>
      <w:color w:val="96607D"/>
      <w:u w:val="single"/>
    </w:rPr>
  </w:style>
  <w:style w:type="paragraph" w:customStyle="1" w:styleId="msonormal0">
    <w:name w:val="msonormal"/>
    <w:basedOn w:val="Normal"/>
    <w:rsid w:val="00502F3D"/>
    <w:pPr>
      <w:spacing w:before="100" w:beforeAutospacing="1" w:after="100" w:afterAutospacing="1"/>
    </w:pPr>
    <w:rPr>
      <w:rFonts w:ascii="Noto Sans" w:hAnsi="Noto Sans"/>
      <w:sz w:val="22"/>
      <w:lang w:eastAsia="es-MX"/>
    </w:rPr>
  </w:style>
  <w:style w:type="paragraph" w:customStyle="1" w:styleId="xl65">
    <w:name w:val="xl65"/>
    <w:basedOn w:val="Normal"/>
    <w:rsid w:val="00502F3D"/>
    <w:pPr>
      <w:spacing w:before="100" w:beforeAutospacing="1" w:after="100" w:afterAutospacing="1"/>
    </w:pPr>
    <w:rPr>
      <w:rFonts w:ascii="Noto Sans" w:hAnsi="Noto Sans"/>
      <w:sz w:val="22"/>
      <w:lang w:eastAsia="es-MX"/>
    </w:rPr>
  </w:style>
  <w:style w:type="paragraph" w:customStyle="1" w:styleId="xl66">
    <w:name w:val="xl66"/>
    <w:basedOn w:val="Normal"/>
    <w:rsid w:val="00502F3D"/>
    <w:pPr>
      <w:spacing w:before="100" w:beforeAutospacing="1" w:after="100" w:afterAutospacing="1"/>
    </w:pPr>
    <w:rPr>
      <w:rFonts w:ascii="Noto Sans" w:hAnsi="Noto Sans" w:cs="Calibri"/>
      <w:color w:val="000000"/>
      <w:sz w:val="22"/>
      <w:lang w:eastAsia="es-MX"/>
    </w:rPr>
  </w:style>
  <w:style w:type="table" w:styleId="Tablaconcuadrcula4-nfasis6">
    <w:name w:val="Grid Table 4 Accent 6"/>
    <w:basedOn w:val="Tablanormal"/>
    <w:uiPriority w:val="49"/>
    <w:rsid w:val="00502F3D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customStyle="1" w:styleId="xl67">
    <w:name w:val="xl67"/>
    <w:basedOn w:val="Normal"/>
    <w:rsid w:val="00E94CD4"/>
    <w:pPr>
      <w:spacing w:before="100" w:beforeAutospacing="1" w:after="100" w:afterAutospacing="1"/>
    </w:pPr>
    <w:rPr>
      <w:rFonts w:ascii="Noto Sans" w:hAnsi="Noto Sans"/>
      <w:sz w:val="22"/>
      <w:lang w:eastAsia="es-MX"/>
    </w:rPr>
  </w:style>
  <w:style w:type="paragraph" w:customStyle="1" w:styleId="xl68">
    <w:name w:val="xl68"/>
    <w:basedOn w:val="Normal"/>
    <w:rsid w:val="00E94CD4"/>
    <w:pPr>
      <w:spacing w:before="100" w:beforeAutospacing="1" w:after="100" w:afterAutospacing="1"/>
    </w:pPr>
    <w:rPr>
      <w:rFonts w:ascii="Noto Sans" w:hAnsi="Noto Sans" w:cs="Calibri"/>
      <w:color w:val="000000"/>
      <w:sz w:val="22"/>
      <w:lang w:eastAsia="es-MX"/>
    </w:rPr>
  </w:style>
  <w:style w:type="paragraph" w:customStyle="1" w:styleId="pdq2pgselectionanchorcontainer">
    <w:name w:val="pdq2pg_selectionanchorcontainer"/>
    <w:basedOn w:val="Normal"/>
    <w:rsid w:val="00360F50"/>
    <w:pPr>
      <w:spacing w:before="100" w:beforeAutospacing="1" w:after="100" w:afterAutospacing="1"/>
    </w:pPr>
    <w:rPr>
      <w:rFonts w:ascii="Noto Sans" w:hAnsi="Noto San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8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79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4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74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20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1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29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42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2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677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02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62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760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9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97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67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676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66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52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795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87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7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5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5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1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5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7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492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0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2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77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47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1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9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658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1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9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1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14" Type="http://schemas.openxmlformats.org/officeDocument/2006/relationships/theme" Target="theme/theme1.xml"/><Relationship Id="rId9" Type="http://schemas.openxmlformats.org/officeDocument/2006/relationships/image" Target="media/image1.png"/><Relationship Id="rId15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FpWPCfcsQFbrBypFpD4BWtRFLg==">CgMxLjA4AHIhMWpKWC1ZV1ZyUWxfelVTd2oxcUhWdVVqaW9sTHRWRGpD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6339060-3F28-D949-9895-241B815C15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209</Words>
  <Characters>1151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Ximena Escobedo Juárez</dc:creator>
  <cp:lastModifiedBy>Luis Enrique Buendía</cp:lastModifiedBy>
  <cp:revision>29</cp:revision>
  <cp:lastPrinted>2026-06-17T17:31:00Z</cp:lastPrinted>
  <dcterms:created xsi:type="dcterms:W3CDTF">2026-07-24T04:18:00Z</dcterms:created>
  <dcterms:modified xsi:type="dcterms:W3CDTF">2026-09-25T04:20:00Z</dcterms:modified>
  <dc:title>EMIM Ago 26</dc:title>
  <dc:subject>Referencia visual aportada por el usuario — ENOE agosto 2026</dc:subject>
</cp:coreProperties>
</file>