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/>
        </w:trPr>
        <w:tc>
          <w:tcPr>
            <w:tcW w:type="dxa" w:w="4392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IGAE · Agosto de 2026</w:t>
            </w:r>
          </w:p>
        </w:tc>
        <w:tc>
          <w:tcPr>
            <w:tcW w:type="dxa" w:w="4392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Publicación: 2026-10-23</w:t>
            </w:r>
          </w:p>
        </w:tc>
      </w:tr>
      <w:tr>
        <w:trPr>
          <w:cantSplit/>
        </w:trPr>
        <w:tc>
          <w:tcPr>
            <w:tcW w:type="dxa" w:w="4392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Índice desestacionalizado: 108.4</w:t>
            </w:r>
          </w:p>
        </w:tc>
        <w:tc>
          <w:tcPr>
            <w:tcW w:type="dxa" w:w="4392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Mensual: 0.6% | Anual: 3.5%</w:t>
            </w:r>
          </w:p>
        </w:tc>
      </w:tr>
    </w:tbl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/>
          <w:color w:val="10312B"/>
          <w:sz w:val="22"/>
        </w:rPr>
        <w:t>Indicador Global de la Actividad Económica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Índice 2018=100. Cifras de la edición del boletín; pueden diferir de las series revisadas posteriormente.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Resumen ejecutivo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En agosto de 2026, el IGAE registró una variación real mensual de 0.6% y anual de 3.5%, con cifras desestacionalizadas. El índice se ubicó en 108.4 puntos.</w:t>
      </w:r>
    </w:p>
    <w:p>
      <w:pPr>
        <w:keepNext w:val="0"/>
        <w:spacing w:after="0" w:before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Mayor variación mensual entre los componentes principales: actividades primarias, con 3.5%.</w:t>
      </w:r>
    </w:p>
    <w:p>
      <w:pPr>
        <w:keepNext w:val="0"/>
        <w:spacing w:after="0" w:before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Menor variación anual entre los componentes principales: actividades primarias, con -3.3%. Esta tasa describe su variación, no su contribución al total.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Componentes y balance mensual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/>
        </w:trPr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Mensual (%)</w:t>
            </w:r>
          </w:p>
        </w:tc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Anual (%)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Indicador Global de la Actividad Económica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0.6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3.5</w:t>
            </w:r>
          </w:p>
        </w:tc>
      </w:tr>
      <w:tr>
        <w:trPr>
          <w:cantSplit/>
        </w:trPr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Actividades primarias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3.5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-3.3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Actividades secundarias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0.6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3.6</w:t>
            </w:r>
          </w:p>
        </w:tc>
      </w:tr>
      <w:tr>
        <w:trPr>
          <w:cantSplit/>
        </w:trPr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Actividades terciarias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0.2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3.7</w:t>
            </w:r>
          </w:p>
        </w:tc>
      </w:tr>
    </w:tbl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1, página 2. Ambas comparaciones utilizan cifras desestacionalizadas.</w:t>
      </w:r>
    </w:p>
    <w:p>
      <w:r>
        <w:drawing>
          <wp:inline xmlns:a="http://schemas.openxmlformats.org/drawingml/2006/main" xmlns:pic="http://schemas.openxmlformats.org/drawingml/2006/picture">
            <wp:extent cx="5532120" cy="1723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INEGI. Comparación respecto al mes inmediato anterior. Las barras no representan aportaciones ponderadas.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Balance anual por actividad</w:t>
      </w:r>
    </w:p>
    <w:p>
      <w:r>
        <w:drawing>
          <wp:inline xmlns:a="http://schemas.openxmlformats.org/drawingml/2006/main" xmlns:pic="http://schemas.openxmlformats.org/drawingml/2006/picture">
            <wp:extent cx="5532120" cy="1723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1. Comparación con el mismo mes del año anterior; cifras desestacionalizadas.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Cifras originales y acumulado del año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La lectura de las cifras originales complementa la comparación ajustada. El acumulado compara enero al mes de referencia con el mismo intervalo del año anterior; no es un promedio simple de tasas mensuales.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/>
        </w:trPr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Anual original (%)</w:t>
            </w:r>
          </w:p>
        </w:tc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Enero–mes (%)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Indicador Global de la Actividad Económica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3.3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1.7</w:t>
            </w:r>
          </w:p>
        </w:tc>
      </w:tr>
      <w:tr>
        <w:trPr>
          <w:cantSplit/>
        </w:trPr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Actividades primarias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-2.6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1.2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Actividades secundarias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3.5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0.8</w:t>
            </w:r>
          </w:p>
        </w:tc>
      </w:tr>
      <w:tr>
        <w:trPr>
          <w:cantSplit/>
        </w:trPr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Actividades terciarias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3.6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2.2</w:t>
            </w:r>
          </w:p>
        </w:tc>
      </w:tr>
    </w:tbl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2, página 4. Cifras preliminares. Se conservan las tasas publicadas; no se recalculan con otra versión de los índices.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Lectura de conjunto</w:t>
      </w:r>
    </w:p>
    <w:p>
      <w:pPr>
        <w:keepNext w:val="0"/>
        <w:spacing w:after="0" w:before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2 de 3 componentes principales registraron variaciones anuales positivas en cifras desestacionalizadas. Es un conteo no ponderado y no mide su aportación al agregado.</w:t>
      </w:r>
    </w:p>
    <w:p>
      <w:pPr>
        <w:keepNext w:val="0"/>
        <w:spacing w:after="0" w:before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La tasa anual original del total fue 3.3%; el acumulado enero–mes alcanzó 1.7%. Se presentan por separado de las tasas ajustadas.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Notas metodológicas y de interpretación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Las series ajustadas eliminan efectos estacionales y de calendario mediante métodos econométricos. Los agregados y sus componentes se ajustan de manera independiente; sus tasas no deben sumarse ni promediarse para reconstruir el total.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El IGAE aproxima la evolución mensual del sector real y no equivale al PIB trimestral ni incluye la totalidad de las actividades de este último.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boletín 635/26, publicado el 2026-10-23. Resultados: pp. 1–2; cifras originales: p. 4; ficha metodológica: p. 5. Las cifras están sujetas a revisión. No se atribuyen causas ni récords sin evidencia adicional.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https://www.inegi.org.mx/contenidos/saladeprensa/boletines/2026/igae/igae2026_10.pdf</w:t>
      </w:r>
    </w:p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  <w:abstractNum w:abstractNumId="35">
    <w:lvl w:ilvl="0">
      <w:numFmt w:val="bullet"/>
      <w:lvlText w:val="•"/>
      <w:suff w:val="space"/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Noto Sans" w:eastAsia="Times New Roman" w:hAnsi="Noto Sans" w:cs="Times New Roman"/>
      <w:sz w:val="22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 w:ascii="Noto Sans" w:hAnsi="Noto Sans"/>
      <w:b/>
      <w:color w:val="670E35"/>
      <w:sz w:val="22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 w:ascii="Noto Sans" w:hAnsi="Noto Sans"/>
      <w:b/>
      <w:color w:val="666666"/>
      <w:sz w:val="22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rFonts w:ascii="Noto Sans" w:hAnsi="Noto Sans"/>
      <w:b/>
      <w:color w:val="FFFFFF"/>
      <w:sz w:val="22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rFonts w:ascii="Noto Sans" w:hAnsi="Noto Sans"/>
      <w:b/>
      <w:sz w:val="22"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rFonts w:ascii="Noto Sans" w:hAnsi="Noto Sans"/>
      <w:b w:val="0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Noto Sans" w:hAnsi="Noto Sans"/>
      <w:b/>
      <w:sz w:val="22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Noto Sans" w:hAnsi="Noto Sans"/>
      <w:b/>
      <w:sz w:val="2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Noto Sans" w:eastAsia="Georgia" w:hAnsi="Noto Sans" w:cs="Georgia"/>
      <w:i/>
      <w:color w:val="666666"/>
      <w:sz w:val="22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rFonts w:ascii="Noto Sans" w:hAnsi="Noto Sans"/>
      <w:sz w:val="22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Noto Sans" w:hAnsi="Noto Sans" w:cs="Segoe UI"/>
      <w:sz w:val="22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rFonts w:ascii="Noto Sans" w:hAnsi="Noto Sans"/>
      <w:sz w:val="22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Noto Sans" w:hAnsi="Noto Sans" w:cs="Arial"/>
      <w:color w:val="800080"/>
      <w:sz w:val="22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rFonts w:ascii="Noto Sans" w:hAnsi="Noto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Relationship Id="rId9" Type="http://schemas.openxmlformats.org/officeDocument/2006/relationships/image" Target="media/image1.png"/><Relationship Id="rId15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Indicador Global de la Actividad Económica · Ago 26</dc:title>
  <dc:subject>Referencia visual aportada por el usuario — ENOE agosto 2026</dc:subject>
</cp:coreProperties>
</file>