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4392"/>
      </w:tblGrid>
      <w:tr>
        <w:trPr>
          <w:cantSplit/>
        </w:trPr>
        <w:tc>
          <w:tcPr>
            <w:tcW w:type="dxa" w:w="4392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IMAI · Agosto de 2026</w:t>
            </w:r>
          </w:p>
        </w:tc>
        <w:tc>
          <w:tcPr>
            <w:tcW w:type="dxa" w:w="4392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Publicación: 2026-10-12</w:t>
            </w:r>
          </w:p>
        </w:tc>
      </w:tr>
      <w:tr>
        <w:trPr>
          <w:cantSplit/>
        </w:trPr>
        <w:tc>
          <w:tcPr>
            <w:tcW w:type="dxa" w:w="4392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Índice desestacionalizado: 103.4</w:t>
            </w:r>
          </w:p>
        </w:tc>
        <w:tc>
          <w:tcPr>
            <w:tcW w:type="dxa" w:w="4392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Mensual: 0.6% | Anual: 3.6%</w:t>
            </w:r>
          </w:p>
        </w:tc>
      </w:tr>
    </w:tbl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/>
          <w:color w:val="10312B"/>
          <w:sz w:val="22"/>
        </w:rPr>
        <w:t>Indicador Mensual de la Actividad Industrial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Índice 2018=100. Cifras de la edición del boletín; pueden diferir de las series revisadas posteriormente.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Resumen ejecutivo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En agosto de 2026, el IMAI registró una variación real mensual de 0.6% y anual de 3.6%, con cifras desestacionalizadas. El índice se ubicó en 103.4 puntos.</w:t>
      </w:r>
    </w:p>
    <w:p>
      <w:pPr>
        <w:keepNext w:val="0"/>
        <w:spacing w:after="0" w:before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Mayor variación mensual entre los componentes principales: energía, agua y gas, industrias manufactureras, con 1.2%.</w:t>
      </w:r>
    </w:p>
    <w:p>
      <w:pPr>
        <w:keepNext w:val="0"/>
        <w:spacing w:after="0" w:before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Menor variación anual entre los componentes principales: minería, con -0.8%. Esta tasa describe su variación, no su contribución al total.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Componentes y balance mensual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/>
        </w:trPr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Mensual (%)</w:t>
            </w:r>
          </w:p>
        </w:tc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Anual (%)</w:t>
            </w:r>
          </w:p>
        </w:tc>
      </w:tr>
      <w:tr>
        <w:trPr>
          <w:cantSplit/>
        </w:trPr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Actividad industrial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0.6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3.6</w:t>
            </w:r>
          </w:p>
        </w:tc>
      </w:tr>
      <w:tr>
        <w:trPr>
          <w:cantSplit/>
        </w:trPr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Minería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-1.6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-0.8</w:t>
            </w:r>
          </w:p>
        </w:tc>
      </w:tr>
      <w:tr>
        <w:trPr>
          <w:cantSplit/>
        </w:trPr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Energía, agua y gas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1.2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1.4</w:t>
            </w:r>
          </w:p>
        </w:tc>
      </w:tr>
      <w:tr>
        <w:trPr>
          <w:cantSplit/>
        </w:trPr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Construcción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0.0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7.9</w:t>
            </w:r>
          </w:p>
        </w:tc>
      </w:tr>
      <w:tr>
        <w:trPr>
          <w:cantSplit/>
        </w:trPr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Industrias manufactureras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1.2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3.2</w:t>
            </w:r>
          </w:p>
        </w:tc>
      </w:tr>
    </w:tbl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1, página 2. Ambas comparaciones utilizan cifras desestacionalizadas.</w:t>
      </w:r>
    </w:p>
    <w:p>
      <w:r>
        <w:drawing>
          <wp:inline xmlns:a="http://schemas.openxmlformats.org/drawingml/2006/main" xmlns:pic="http://schemas.openxmlformats.org/drawingml/2006/picture">
            <wp:extent cx="5532120" cy="1723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INEGI. Comparación respecto al mes inmediato anterior. Las barras no representan aportaciones ponderadas.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Balance anual por actividad</w:t>
      </w:r>
    </w:p>
    <w:p>
      <w:r>
        <w:drawing>
          <wp:inline xmlns:a="http://schemas.openxmlformats.org/drawingml/2006/main" xmlns:pic="http://schemas.openxmlformats.org/drawingml/2006/picture">
            <wp:extent cx="5532120" cy="1723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2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1. Comparación con el mismo mes del año anterior; cifras desestacionalizadas.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Cifras originales y acumulado del año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La lectura de las cifras originales complementa la comparación ajustada. El acumulado compara enero al mes de referencia con el mismo intervalo del año anterior; no es un promedio simple de tasas mensuales.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rPr>
          <w:cantSplit/>
        </w:trPr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Anual original (%)</w:t>
            </w:r>
          </w:p>
        </w:tc>
        <w:tc>
          <w:tcPr>
            <w:tcW w:type="dxa" w:w="2928"/>
            <w:shd w:fill="10312B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color w:val="FFFFFF"/>
                <w:sz w:val="21"/>
              </w:rPr>
              <w:t>Enero–mes (%)</w:t>
            </w:r>
          </w:p>
        </w:tc>
      </w:tr>
      <w:tr>
        <w:trPr>
          <w:cantSplit/>
        </w:trPr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Actividad industrial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3.5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0.8</w:t>
            </w:r>
          </w:p>
        </w:tc>
      </w:tr>
      <w:tr>
        <w:trPr>
          <w:cantSplit/>
        </w:trPr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Minería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-0.8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2.9</w:t>
            </w:r>
          </w:p>
        </w:tc>
      </w:tr>
      <w:tr>
        <w:trPr>
          <w:cantSplit/>
        </w:trPr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Energía, agua y gas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1.6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0.2</w:t>
            </w:r>
          </w:p>
        </w:tc>
      </w:tr>
      <w:tr>
        <w:trPr>
          <w:cantSplit/>
        </w:trPr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Construcción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7.5</w:t>
            </w:r>
          </w:p>
        </w:tc>
        <w:tc>
          <w:tcPr>
            <w:tcW w:type="dxa" w:w="2928"/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3.5</w:t>
            </w:r>
          </w:p>
        </w:tc>
      </w:tr>
      <w:tr>
        <w:trPr>
          <w:cantSplit/>
        </w:trPr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Industrias manufactureras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3.2</w:t>
            </w:r>
          </w:p>
        </w:tc>
        <w:tc>
          <w:tcPr>
            <w:tcW w:type="dxa" w:w="2928"/>
            <w:shd w:fill="F4F4F2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 w:val="0"/>
                <w:color w:val="000000"/>
                <w:sz w:val="21"/>
              </w:rPr>
              <w:t>-0.3</w:t>
            </w:r>
          </w:p>
        </w:tc>
      </w:tr>
    </w:tbl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cuadro 2, página 4. Cifras preliminares. Se conservan las tasas publicadas; no se recalculan con otra versión de los índices.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Lectura de conjunto</w:t>
      </w:r>
    </w:p>
    <w:p>
      <w:pPr>
        <w:keepNext w:val="0"/>
        <w:spacing w:after="0" w:before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3 de 4 componentes principales registraron variaciones anuales positivas en cifras desestacionalizadas. Es un conteo no ponderado y no mide su aportación al agregado.</w:t>
      </w:r>
    </w:p>
    <w:p>
      <w:pPr>
        <w:keepNext w:val="0"/>
        <w:spacing w:after="0" w:before="0" w:line="240" w:lineRule="auto"/>
        <w:jc w:val="both"/>
        <w:numPr>
          <w:ilvl w:val="0"/>
          <w:numId w:val="36"/>
        </w:numPr>
      </w:pPr>
      <w:r>
        <w:rPr>
          <w:rFonts w:ascii="Noto Sans" w:hAnsi="Noto Sans"/>
          <w:b w:val="0"/>
          <w:color w:val="000000"/>
          <w:sz w:val="22"/>
        </w:rPr>
        <w:t>La tasa anual original del total fue 3.5%; el acumulado enero–mes alcanzó 0.8%. Se presentan por separado de las tasas ajustadas.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13"/>
        </w:rPr>
      </w:r>
    </w:p>
    <w:p>
      <w:pPr>
        <w:keepNext/>
        <w:spacing w:after="0" w:before="0" w:line="240" w:lineRule="auto"/>
        <w:jc w:val="both"/>
      </w:pPr>
      <w:r>
        <w:rPr>
          <w:rFonts w:ascii="Noto Sans" w:hAnsi="Noto Sans"/>
          <w:b/>
          <w:color w:val="235B4C"/>
          <w:sz w:val="22"/>
        </w:rPr>
        <w:t>Notas metodológicas y de interpretación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Las series ajustadas eliminan efectos estacionales y de calendario mediante métodos econométricos. Los agregados y sus componentes se ajustan de manera independiente; sus tasas no deben sumarse ni promediarse para reconstruir el total.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000000"/>
          <w:sz w:val="22"/>
        </w:rPr>
        <w:t>El IMAI abarca el conjunto industrial, no exclusivamente las manufacturas ni la EMIM.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Fuente: INEGI, boletín 623/26, publicado el 2026-10-12. Resultados: pp. 1–2; cifras originales: p. 4; ficha metodológica: p. 5. Las cifras están sujetas a revisión. No se atribuyen causas ni récords sin evidencia adicional.</w:t>
      </w:r>
    </w:p>
    <w:p>
      <w:pPr>
        <w:keepNext w:val="0"/>
        <w:spacing w:after="0" w:before="0" w:line="240" w:lineRule="auto"/>
        <w:jc w:val="both"/>
      </w:pPr>
      <w:r>
        <w:rPr>
          <w:rFonts w:ascii="Noto Sans" w:hAnsi="Noto Sans"/>
          <w:b w:val="0"/>
          <w:color w:val="666666"/>
          <w:sz w:val="16"/>
        </w:rPr>
        <w:t>https://www.inegi.org.mx/contenidos/saladeprensa/boletines/2026/imai/imai2026_10.pdf</w:t>
      </w:r>
    </w:p>
    <w:sectPr w:rsidR="00246E09" w:rsidRPr="00494C1B">
      <w:headerReference w:type="default" r:id="rId10"/>
      <w:footerReference w:type="even" r:id="rId11"/>
      <w:footerReference w:type="default" r:id="rId12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300B" w:rsidRDefault="001B300B" w:rsidP="00E32E74">
      <w:r>
        <w:separator/>
      </w:r>
    </w:p>
  </w:endnote>
  <w:endnote w:type="continuationSeparator" w:id="0">
    <w:p w:rsidR="001B300B" w:rsidRDefault="001B300B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300B" w:rsidRDefault="001B300B" w:rsidP="00E32E74">
      <w:r>
        <w:separator/>
      </w:r>
    </w:p>
  </w:footnote>
  <w:footnote w:type="continuationSeparator" w:id="0">
    <w:p w:rsidR="001B300B" w:rsidRDefault="001B300B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</w:t>
    </w:r>
    <w:r w:rsidR="00F05BFD">
      <w:rPr>
        <w:rFonts w:ascii="Noto Sans" w:hAnsi="Noto Sans"/>
        <w:b/>
        <w:sz w:val="22"/>
      </w:rPr>
      <w:t>ubs</w:t>
    </w:r>
    <w:r>
      <w:rPr>
        <w:rFonts w:ascii="Noto Sans" w:hAnsi="Noto Sans"/>
        <w:b/>
        <w:sz w:val="22"/>
      </w:rPr>
      <w:t xml:space="preserve">ecretaría de </w:t>
    </w:r>
    <w:r w:rsidR="00F05BFD">
      <w:rPr>
        <w:rFonts w:ascii="Noto Sans" w:hAnsi="Noto Sans"/>
        <w:b/>
        <w:sz w:val="22"/>
      </w:rPr>
      <w:t>Industria y Comercio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  <w:abstractNum w:abstractNumId="35">
    <w:lvl w:ilvl="0">
      <w:numFmt w:val="bullet"/>
      <w:lvlText w:val="•"/>
      <w:suff w:val="space"/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17EA"/>
    <w:rsid w:val="00136317"/>
    <w:rsid w:val="0013733B"/>
    <w:rsid w:val="001410AA"/>
    <w:rsid w:val="00147D41"/>
    <w:rsid w:val="00151B05"/>
    <w:rsid w:val="00153B11"/>
    <w:rsid w:val="00154DA5"/>
    <w:rsid w:val="00155DFB"/>
    <w:rsid w:val="00177001"/>
    <w:rsid w:val="0018050E"/>
    <w:rsid w:val="00193DC0"/>
    <w:rsid w:val="00197050"/>
    <w:rsid w:val="00197ADD"/>
    <w:rsid w:val="001A6402"/>
    <w:rsid w:val="001B2972"/>
    <w:rsid w:val="001B300B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B3D1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4C1B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6B57"/>
    <w:rsid w:val="00587300"/>
    <w:rsid w:val="00591184"/>
    <w:rsid w:val="00591B3A"/>
    <w:rsid w:val="00593514"/>
    <w:rsid w:val="00593D76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0811"/>
    <w:rsid w:val="006A1F60"/>
    <w:rsid w:val="006A3BB6"/>
    <w:rsid w:val="006F4646"/>
    <w:rsid w:val="00705DC8"/>
    <w:rsid w:val="007462AF"/>
    <w:rsid w:val="007471F1"/>
    <w:rsid w:val="0075390E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97E86"/>
    <w:rsid w:val="008A56B9"/>
    <w:rsid w:val="008B36BF"/>
    <w:rsid w:val="008B5764"/>
    <w:rsid w:val="008D09CA"/>
    <w:rsid w:val="008E3CE4"/>
    <w:rsid w:val="008F0109"/>
    <w:rsid w:val="008F2DC2"/>
    <w:rsid w:val="008F54BD"/>
    <w:rsid w:val="009117FA"/>
    <w:rsid w:val="009208B2"/>
    <w:rsid w:val="00927F12"/>
    <w:rsid w:val="00930605"/>
    <w:rsid w:val="00954E52"/>
    <w:rsid w:val="00964ACF"/>
    <w:rsid w:val="009667A4"/>
    <w:rsid w:val="009716AD"/>
    <w:rsid w:val="009755F8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03BBA"/>
    <w:rsid w:val="00A25E9B"/>
    <w:rsid w:val="00A27EAB"/>
    <w:rsid w:val="00A34818"/>
    <w:rsid w:val="00A503BD"/>
    <w:rsid w:val="00A71E98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245F"/>
    <w:rsid w:val="00B23CE9"/>
    <w:rsid w:val="00B273F4"/>
    <w:rsid w:val="00B449E9"/>
    <w:rsid w:val="00B50C16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C2D1D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3AAF"/>
    <w:rsid w:val="00C65A1B"/>
    <w:rsid w:val="00C66897"/>
    <w:rsid w:val="00C67180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4B8"/>
    <w:rsid w:val="00DB54A2"/>
    <w:rsid w:val="00DD2599"/>
    <w:rsid w:val="00DD4B7F"/>
    <w:rsid w:val="00DD6CF3"/>
    <w:rsid w:val="00DE64C2"/>
    <w:rsid w:val="00DE76A7"/>
    <w:rsid w:val="00E0538C"/>
    <w:rsid w:val="00E1407E"/>
    <w:rsid w:val="00E32E74"/>
    <w:rsid w:val="00E413F0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BFD"/>
    <w:rsid w:val="00F05F40"/>
    <w:rsid w:val="00F06026"/>
    <w:rsid w:val="00F16AAF"/>
    <w:rsid w:val="00F231FC"/>
    <w:rsid w:val="00F26202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Noto Sans" w:eastAsia="Times New Roman" w:hAnsi="Noto Sans" w:cs="Times New Roman"/>
      <w:sz w:val="22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 w:ascii="Noto Sans" w:hAnsi="Noto Sans"/>
      <w:b/>
      <w:color w:val="670E35"/>
      <w:sz w:val="22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 w:ascii="Noto Sans" w:hAnsi="Noto Sans"/>
      <w:b/>
      <w:color w:val="666666"/>
      <w:sz w:val="22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rFonts w:ascii="Noto Sans" w:hAnsi="Noto Sans"/>
      <w:b/>
      <w:color w:val="FFFFFF"/>
      <w:sz w:val="22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rFonts w:ascii="Noto Sans" w:hAnsi="Noto Sans"/>
      <w:b/>
      <w:sz w:val="22"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rFonts w:ascii="Noto Sans" w:hAnsi="Noto Sans"/>
      <w:b w:val="0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Noto Sans" w:hAnsi="Noto Sans"/>
      <w:b/>
      <w:sz w:val="22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Noto Sans" w:hAnsi="Noto Sans"/>
      <w:b/>
      <w:sz w:val="2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rFonts w:ascii="Noto Sans" w:hAnsi="Noto Sans"/>
      <w:sz w:val="22"/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Noto Sans" w:eastAsia="Georgia" w:hAnsi="Noto Sans" w:cs="Georgia"/>
      <w:i/>
      <w:color w:val="666666"/>
      <w:sz w:val="22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rFonts w:ascii="Noto Sans" w:hAnsi="Noto Sans"/>
      <w:sz w:val="22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Noto Sans" w:hAnsi="Noto Sans" w:cs="Segoe UI"/>
      <w:sz w:val="22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rFonts w:ascii="Noto Sans" w:hAnsi="Noto Sans"/>
      <w:sz w:val="22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Noto Sans" w:hAnsi="Noto Sans" w:cs="Arial"/>
      <w:color w:val="800080"/>
      <w:sz w:val="22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rFonts w:ascii="Noto Sans" w:hAnsi="Noto Sans"/>
      <w:sz w:val="22"/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Noto Sans" w:hAnsi="Noto Sans" w:cs="Calibri"/>
      <w:color w:val="000000"/>
      <w:sz w:val="22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rFonts w:ascii="Noto Sans" w:hAnsi="Noto San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14" Type="http://schemas.openxmlformats.org/officeDocument/2006/relationships/theme" Target="theme/theme1.xml"/><Relationship Id="rId9" Type="http://schemas.openxmlformats.org/officeDocument/2006/relationships/image" Target="media/image1.png"/><Relationship Id="rId15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339060-3F28-D949-9895-241B815C1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29</cp:revision>
  <cp:lastPrinted>2026-06-17T17:31:00Z</cp:lastPrinted>
  <dcterms:created xsi:type="dcterms:W3CDTF">2026-07-24T04:18:00Z</dcterms:created>
  <dcterms:modified xsi:type="dcterms:W3CDTF">2026-09-25T04:20:00Z</dcterms:modified>
  <dc:title>Indicador Mensual de la Actividad Industrial · Ago 26</dc:title>
  <dc:subject>Referencia visual aportada por el usuario — ENOE agosto 2026</dc:subject>
</cp:coreProperties>
</file>