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4"/>
        <w:gridCol w:w="4414"/>
      </w:tblGrid>
      <w:tr>
        <w:trPr>
          <w:cantSplit/>
        </w:trPr>
        <w:tc>
          <w:tcPr>
            <w:tcW w:type="dxa" w:w="8838"/>
            <w:gridSpan w:val="2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0"/>
              </w:rPr>
              <w:t>Boletín del 28 de octubre de 2026 | INEGI</w:t>
            </w:r>
          </w:p>
        </w:tc>
      </w:tr>
      <w:tr>
        <w:trPr>
          <w:cantSplit/>
        </w:trPr>
        <w:tc>
          <w:tcPr>
            <w:tcW w:type="dxa" w:w="8838"/>
            <w:gridSpan w:val="2"/>
            <w:shd w:fill="235B4C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FFFFFF"/>
                <w:sz w:val="22"/>
              </w:rPr>
              <w:t>Indicador Mensual Oportuno de la Actividad Manufacturera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40"/>
              </w:rPr>
              <w:t>IMOAM · Septiembre 2026</w:t>
            </w:r>
          </w:p>
        </w:tc>
      </w:tr>
      <w:tr>
        <w:trPr>
          <w:cantSplit/>
        </w:trPr>
        <w:tc>
          <w:tcPr>
            <w:tcW w:type="dxa" w:w="4419"/>
            <w:shd w:fill="538135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19"/>
              </w:rPr>
              <w:t>ÍNDICE ESTIMADO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52"/>
              </w:rPr>
              <w:t>108.0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" w:hAnsi="Noto Sans"/>
                <w:b w:val="0"/>
                <w:i w:val="0"/>
                <w:color w:val="FFFFFF"/>
                <w:sz w:val="17"/>
              </w:rPr>
              <w:t>Puntos · cifras originales</w:t>
            </w:r>
          </w:p>
        </w:tc>
        <w:tc>
          <w:tcPr>
            <w:tcW w:type="dxa" w:w="4419"/>
            <w:shd w:fill="538135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19"/>
              </w:rPr>
              <w:t>VARIACIÓN ANUAL ESTIMADA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" w:hAnsi="Noto Sans"/>
                <w:b/>
                <w:i w:val="0"/>
                <w:color w:val="FFFFFF"/>
                <w:sz w:val="52"/>
              </w:rPr>
              <w:t>1.9%</w:t>
            </w:r>
          </w:p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Noto Sans" w:hAnsi="Noto Sans"/>
                <w:b w:val="0"/>
                <w:i w:val="0"/>
                <w:color w:val="FFFFFF"/>
                <w:sz w:val="17"/>
              </w:rPr>
              <w:t>Respecto al mismo mes del año anterior</w:t>
            </w:r>
          </w:p>
        </w:tc>
      </w:tr>
    </w:tbl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Nota: estadística experimental. El IMOAM anticipa el IMAI manufacturero; no representa un dato observado definitivo.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i w:val="0"/>
          <w:color w:val="235B4C"/>
          <w:sz w:val="22"/>
        </w:rPr>
        <w:t>Resumen ejecutivo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22"/>
        </w:rPr>
        <w:t>La estimación puntual apunta a un aumento de la actividad manufacturera en su comparación anual. La lectura debe considerar los intervalos de confianza y el carácter oportuno del indicador.</w:t>
      </w:r>
    </w:p>
    <w:p>
      <w:pPr>
        <w:pStyle w:val="ListBullet"/>
        <w:keepNext w:val="0"/>
        <w:widowControl/>
        <w:spacing w:before="0" w:after="0" w:line="240" w:lineRule="auto"/>
        <w:ind w:left="202" w:hanging="144"/>
        <w:jc w:val="both"/>
        <w:numPr>
          <w:ilvl w:val="0"/>
          <w:numId w:val="36"/>
        </w:numPr>
      </w:pPr>
      <w:r>
        <w:rPr>
          <w:rFonts w:ascii="Noto Sans" w:hAnsi="Noto Sans"/>
          <w:b w:val="0"/>
          <w:i w:val="0"/>
          <w:color w:val="000000"/>
          <w:sz w:val="22"/>
        </w:rPr>
        <w:t>El intervalo anual incluye cero y valores negativos: la señal puntual positiva no implica certeza de crecimiento.</w:t>
      </w:r>
    </w:p>
    <w:p>
      <w:pPr>
        <w:pStyle w:val="ListBullet"/>
        <w:keepNext w:val="0"/>
        <w:widowControl/>
        <w:spacing w:before="0" w:after="0" w:line="240" w:lineRule="auto"/>
        <w:ind w:left="202" w:hanging="144"/>
        <w:jc w:val="both"/>
        <w:numPr>
          <w:ilvl w:val="0"/>
          <w:numId w:val="36"/>
        </w:numPr>
      </w:pPr>
      <w:r>
        <w:rPr>
          <w:rFonts w:ascii="Noto Sans" w:hAnsi="Noto Sans"/>
          <w:b w:val="0"/>
          <w:i w:val="0"/>
          <w:color w:val="000000"/>
          <w:sz w:val="22"/>
        </w:rPr>
        <w:t>La amplitud del intervalo anual es de 5.6 puntos porcentuales; la del índice es de 6.0 puntos.</w:t>
      </w:r>
    </w:p>
    <w:p>
      <w:pPr>
        <w:pStyle w:val="ListBullet"/>
        <w:keepNext w:val="0"/>
        <w:widowControl/>
        <w:spacing w:before="0" w:after="0" w:line="240" w:lineRule="auto"/>
        <w:ind w:left="202" w:hanging="144"/>
        <w:jc w:val="both"/>
        <w:numPr>
          <w:ilvl w:val="0"/>
          <w:numId w:val="36"/>
        </w:numPr>
      </w:pPr>
      <w:r>
        <w:rPr>
          <w:rFonts w:ascii="Noto Sans" w:hAnsi="Noto Sans"/>
          <w:b w:val="0"/>
          <w:i w:val="0"/>
          <w:color w:val="000000"/>
          <w:sz w:val="22"/>
        </w:rPr>
        <w:t>La publicación aporta una lectura anticipada: se difunde alrededor de 18 días antes del IMAI manufacturero, según la ficha metodológica.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i w:val="0"/>
          <w:color w:val="235B4C"/>
          <w:sz w:val="22"/>
        </w:rPr>
        <w:t>Estimación puntual e intervalos de confianza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3384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Variable</w:t>
            </w:r>
          </w:p>
        </w:tc>
        <w:tc>
          <w:tcPr>
            <w:tcW w:type="dxa" w:w="1814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Estimación</w:t>
            </w:r>
          </w:p>
        </w:tc>
        <w:tc>
          <w:tcPr>
            <w:tcW w:type="dxa" w:w="1814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Límite inferior</w:t>
            </w:r>
          </w:p>
        </w:tc>
        <w:tc>
          <w:tcPr>
            <w:tcW w:type="dxa" w:w="1814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Límite superior</w:t>
            </w:r>
          </w:p>
        </w:tc>
      </w:tr>
      <w:tr>
        <w:trPr>
          <w:cantSplit/>
        </w:trPr>
        <w:tc>
          <w:tcPr>
            <w:tcW w:type="dxa" w:w="3384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Índice (puntos)</w:t>
            </w:r>
          </w:p>
        </w:tc>
        <w:tc>
          <w:tcPr>
            <w:tcW w:type="dxa" w:w="1814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108.0</w:t>
            </w:r>
          </w:p>
        </w:tc>
        <w:tc>
          <w:tcPr>
            <w:tcW w:type="dxa" w:w="1814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105.1</w:t>
            </w:r>
          </w:p>
        </w:tc>
        <w:tc>
          <w:tcPr>
            <w:tcW w:type="dxa" w:w="1814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111.1</w:t>
            </w:r>
          </w:p>
        </w:tc>
      </w:tr>
      <w:tr>
        <w:trPr>
          <w:cantSplit/>
        </w:trPr>
        <w:tc>
          <w:tcPr>
            <w:tcW w:type="dxa" w:w="3384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Variación anual (%)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1.9%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-0.9%</w:t>
            </w:r>
          </w:p>
        </w:tc>
        <w:tc>
          <w:tcPr>
            <w:tcW w:type="dxa" w:w="1814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4.7%</w:t>
            </w:r>
          </w:p>
        </w:tc>
      </w:tr>
    </w:tbl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IC al 95%. Fuente: INEGI, cuadro 1, página 1. Amplitud = límite superior − límite inferior; cálculo a partir de las cifras publicadas.</w:t>
      </w:r>
    </w:p>
    <w:p>
      <w:pPr>
        <w:keepNext w:val="0"/>
        <w:widowControl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1496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a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49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Fuente: INEGI, IMOAM. El punto indica la estimación; el segmento muestra el intervalo al 95%.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i w:val="0"/>
          <w:color w:val="235B4C"/>
          <w:sz w:val="22"/>
        </w:rPr>
        <w:t>Evaluación histórica y oportunidad de publicación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22"/>
        </w:rPr>
        <w:t>INEGI reporta que el IMAI manufacturero quedó dentro del intervalo de confianza del IMOAM en 90% de las ocasiones. La comparación presentada en esta edición abarca de enero de 2019 a agosto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011"/>
      </w:tblGrid>
      <w:tr>
        <w:trPr>
          <w:cantSplit/>
          <w:tblHeader/>
        </w:trPr>
        <w:tc>
          <w:tcPr>
            <w:tcW w:type="dxa" w:w="3816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Dato de evaluación</w:t>
            </w:r>
          </w:p>
        </w:tc>
        <w:tc>
          <w:tcPr>
            <w:tcW w:type="dxa" w:w="5011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Resultado reportado</w:t>
            </w:r>
          </w:p>
        </w:tc>
      </w:tr>
      <w:tr>
        <w:trPr>
          <w:cantSplit/>
        </w:trPr>
        <w:tc>
          <w:tcPr>
            <w:tcW w:type="dxa" w:w="3816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Cobertura histórica del intervalo</w:t>
            </w:r>
          </w:p>
        </w:tc>
        <w:tc>
          <w:tcPr>
            <w:tcW w:type="dxa" w:w="5011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90% de las ocasiones</w:t>
            </w:r>
          </w:p>
        </w:tc>
      </w:tr>
      <w:tr>
        <w:trPr>
          <w:cantSplit/>
        </w:trPr>
        <w:tc>
          <w:tcPr>
            <w:tcW w:type="dxa" w:w="3816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Inicio del cálculo del IMOAM</w:t>
            </w:r>
          </w:p>
        </w:tc>
        <w:tc>
          <w:tcPr>
            <w:tcW w:type="dxa" w:w="5011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Agosto de 2015</w:t>
            </w:r>
          </w:p>
        </w:tc>
      </w:tr>
      <w:tr>
        <w:trPr>
          <w:cantSplit/>
        </w:trPr>
        <w:tc>
          <w:tcPr>
            <w:tcW w:type="dxa" w:w="3816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Comparación de referencia</w:t>
            </w:r>
          </w:p>
        </w:tc>
        <w:tc>
          <w:tcPr>
            <w:tcW w:type="dxa" w:w="5011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IMOAM frente al IMAI del sector manufacturero</w:t>
            </w:r>
          </w:p>
        </w:tc>
      </w:tr>
      <w:tr>
        <w:trPr>
          <w:cantSplit/>
        </w:trPr>
        <w:tc>
          <w:tcPr>
            <w:tcW w:type="dxa" w:w="3816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Nivel nominal del intervalo</w:t>
            </w:r>
          </w:p>
        </w:tc>
        <w:tc>
          <w:tcPr>
            <w:tcW w:type="dxa" w:w="5011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95% de confianza</w:t>
            </w:r>
          </w:p>
        </w:tc>
      </w:tr>
    </w:tbl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Fuente: INEGI, evaluación histórica, página 3. La cobertura observada describe desempeño pasado; no es la probabilidad de que la estimación de este mes resulte correcta.</w:t>
      </w:r>
    </w:p>
    <w:p>
      <w:pPr>
        <w:keepNext w:val="0"/>
        <w:widowControl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32120" cy="1405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ortunid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40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Fuente: INEGI, ficha metodológica, página 4. Esquema de difusión sin escala temporal exacta; los plazos son aproximados.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i w:val="0"/>
          <w:color w:val="235B4C"/>
          <w:sz w:val="22"/>
        </w:rPr>
        <w:t>Cobertura y construcción del indicador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5875"/>
      </w:tblGrid>
      <w:tr>
        <w:trPr>
          <w:cantSplit/>
          <w:tblHeader/>
        </w:trPr>
        <w:tc>
          <w:tcPr>
            <w:tcW w:type="dxa" w:w="2952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Elemento</w:t>
            </w:r>
          </w:p>
        </w:tc>
        <w:tc>
          <w:tcPr>
            <w:tcW w:type="dxa" w:w="5875"/>
            <w:shd w:fill="10312B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/>
                <w:i w:val="0"/>
                <w:color w:val="FFFFFF"/>
                <w:sz w:val="21"/>
              </w:rPr>
              <w:t>Alcance de la edición</w:t>
            </w:r>
          </w:p>
        </w:tc>
      </w:tr>
      <w:tr>
        <w:trPr>
          <w:cantSplit/>
        </w:trPr>
        <w:tc>
          <w:tcPr>
            <w:tcW w:type="dxa" w:w="2952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Unidad de observación</w:t>
            </w:r>
          </w:p>
        </w:tc>
        <w:tc>
          <w:tcPr>
            <w:tcW w:type="dxa" w:w="5875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Empresa formal en el sector manufacturero de México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Variable que se anticipa</w:t>
            </w:r>
          </w:p>
        </w:tc>
        <w:tc>
          <w:tcPr>
            <w:tcW w:type="dxa" w:w="5875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IMAI del sector manufacturero</w:t>
            </w:r>
          </w:p>
        </w:tc>
      </w:tr>
      <w:tr>
        <w:trPr>
          <w:cantSplit/>
        </w:trPr>
        <w:tc>
          <w:tcPr>
            <w:tcW w:type="dxa" w:w="2952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Insumos del modelo</w:t>
            </w:r>
          </w:p>
        </w:tc>
        <w:tc>
          <w:tcPr>
            <w:tcW w:type="dxa" w:w="5875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RENEM y registros de consumo de energía eléctrica de CFE y CENACE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Tratamiento estadístico</w:t>
            </w:r>
          </w:p>
        </w:tc>
        <w:tc>
          <w:tcPr>
            <w:tcW w:type="dxa" w:w="5875"/>
            <w:shd w:fill="FFFFFF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Serie mensual original, sin ajuste estacional</w:t>
            </w:r>
          </w:p>
        </w:tc>
      </w:tr>
      <w:tr>
        <w:trPr>
          <w:cantSplit/>
        </w:trPr>
        <w:tc>
          <w:tcPr>
            <w:tcW w:type="dxa" w:w="2952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/>
            <w:r>
              <w:rPr>
                <w:rFonts w:ascii="Noto Sans" w:hAnsi="Noto Sans"/>
                <w:b/>
                <w:i w:val="0"/>
                <w:color w:val="000000"/>
                <w:sz w:val="21"/>
              </w:rPr>
              <w:t>Disponibilidad de insumos</w:t>
            </w:r>
          </w:p>
        </w:tc>
        <w:tc>
          <w:tcPr>
            <w:tcW w:type="dxa" w:w="5875"/>
            <w:shd w:fill="F4F4F2"/>
            <w:vAlign w:val="center"/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Noto Sans" w:hAnsi="Noto Sans"/>
                <w:b w:val="0"/>
                <w:i w:val="0"/>
                <w:color w:val="000000"/>
                <w:sz w:val="21"/>
              </w:rPr>
              <w:t>La serie mensual del ICEE no se publica por confidencialidad</w:t>
            </w:r>
          </w:p>
        </w:tc>
      </w:tr>
    </w:tbl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 w:val="0"/>
          <w:color w:val="000000"/>
          <w:sz w:val="13"/>
        </w:rPr>
      </w:r>
    </w:p>
    <w:p>
      <w:pPr>
        <w:keepNext/>
        <w:widowControl/>
        <w:spacing w:before="0" w:after="0" w:line="240" w:lineRule="auto"/>
        <w:jc w:val="both"/>
      </w:pPr>
      <w:r>
        <w:rPr>
          <w:rFonts w:ascii="Noto Sans" w:hAnsi="Noto Sans"/>
          <w:b/>
          <w:i w:val="0"/>
          <w:color w:val="235B4C"/>
          <w:sz w:val="22"/>
        </w:rPr>
        <w:t>Notas de interpretación</w:t>
      </w:r>
    </w:p>
    <w:p>
      <w:pPr>
        <w:pStyle w:val="ListBullet"/>
        <w:keepNext w:val="0"/>
        <w:widowControl/>
        <w:spacing w:before="0" w:after="0" w:line="240" w:lineRule="auto"/>
        <w:ind w:left="202" w:hanging="144"/>
        <w:jc w:val="both"/>
        <w:numPr>
          <w:ilvl w:val="0"/>
          <w:numId w:val="36"/>
        </w:numPr>
      </w:pPr>
      <w:r>
        <w:rPr>
          <w:rFonts w:ascii="Noto Sans" w:hAnsi="Noto Sans"/>
          <w:b w:val="0"/>
          <w:i w:val="0"/>
          <w:color w:val="000000"/>
          <w:sz w:val="22"/>
        </w:rPr>
        <w:t>La variación anual compara el mes de referencia con el mismo mes del año anterior; no equivale a una variación mensual desestacionalizada.</w:t>
      </w:r>
    </w:p>
    <w:p>
      <w:pPr>
        <w:pStyle w:val="ListBullet"/>
        <w:keepNext w:val="0"/>
        <w:widowControl/>
        <w:spacing w:before="0" w:after="0" w:line="240" w:lineRule="auto"/>
        <w:ind w:left="202" w:hanging="144"/>
        <w:jc w:val="both"/>
        <w:numPr>
          <w:ilvl w:val="0"/>
          <w:numId w:val="36"/>
        </w:numPr>
      </w:pPr>
      <w:r>
        <w:rPr>
          <w:rFonts w:ascii="Noto Sans" w:hAnsi="Noto Sans"/>
          <w:b w:val="0"/>
          <w:i w:val="0"/>
          <w:color w:val="000000"/>
          <w:sz w:val="22"/>
        </w:rPr>
        <w:t>El IMOAM es una estimación del IMAI manufacturero. No debe confundirse con la EMIM ni atribuirse a ramas o entidades sin un desglose oficial.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Fuentes: INEGI, boletín 639/26, 28 de octubre de 2026. Resultados e intervalos: p. 1; evaluación histórica: p. 3; metodología: p. 4. El modelo utiliza registros administrativos para ofrecer información oportuna; estos resultados no prueban una relación causal.</w:t>
      </w:r>
    </w:p>
    <w:p>
      <w:pPr>
        <w:keepNext w:val="0"/>
        <w:widowControl/>
        <w:spacing w:before="0" w:after="0" w:line="240" w:lineRule="auto"/>
        <w:jc w:val="both"/>
      </w:pPr>
      <w:r>
        <w:rPr>
          <w:rFonts w:ascii="Noto Sans" w:hAnsi="Noto Sans"/>
          <w:b w:val="0"/>
          <w:i/>
          <w:color w:val="666666"/>
          <w:sz w:val="16"/>
        </w:rPr>
        <w:t>https://www.inegi.org.mx/contenidos/saladeprensa/boletines/2026/imoam/imoam2026_10.pdf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start w:val="1"/>
      <w:numFmt w:val="bullet"/>
      <w:lvlText w:val="•"/>
      <w:lvlJc w:val="left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pPr>
      <w:spacing w:before="0" w:after="0" w:line="240" w:lineRule="auto"/>
    </w:pPr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spacing w:before="0" w:after="0" w:line="240" w:lineRule="auto"/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0" w:line="240" w:lineRule="auto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  <w:style w:type="paragraph" w:customStyle="1" w:styleId="ListBullet">
    <w:name w:val="List Bullet"/>
    <w:pPr>
      <w:spacing w:before="0" w:after="0" w:line="240" w:lineRule="auto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IMOAM · septiembre de 2026</dc:title>
  <dc:subject>Nota ejecutiva de dos páginas; formato visual basado en la referencia ENOE</dc:subject>
</cp:coreProperties>
</file>