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07"/>
        <w:gridCol w:w="2207"/>
        <w:gridCol w:w="1256"/>
        <w:gridCol w:w="951"/>
        <w:gridCol w:w="2207"/>
      </w:tblGrid>
      <w:tr w:rsidR="00631614" w:rsidRPr="00DD098D" w:rsidTr="00631614">
        <w:trPr>
          <w:gridAfter w:val="2"/>
          <w:wAfter w:w="3158" w:type="dxa"/>
        </w:trPr>
        <w:tc>
          <w:tcPr>
            <w:tcW w:w="5670" w:type="dxa"/>
            <w:gridSpan w:val="3"/>
            <w:shd w:val="clear" w:color="auto" w:fill="10312B"/>
          </w:tcPr>
          <w:p w:rsidR="00631614" w:rsidRPr="00DD098D" w:rsidRDefault="00631614" w:rsidP="002C6B9B">
            <w:pPr>
              <w:rPr>
                <w:rFonts w:ascii="Noto Sans" w:hAnsi="Noto Sans" w:cs="Noto Sans"/>
              </w:rPr>
            </w:pPr>
            <w:r w:rsidRPr="00DD098D">
              <w:rPr>
                <w:rFonts w:ascii="Noto Sans" w:hAnsi="Noto Sans" w:cs="Noto Sans"/>
                <w:b/>
                <w:color w:val="FFFFFF"/>
                <w:sz w:val="20"/>
              </w:rPr>
              <w:t xml:space="preserve">Boletín de Indicador del </w:t>
            </w:r>
            <w:r>
              <w:rPr>
                <w:rFonts w:ascii="Noto Sans" w:hAnsi="Noto Sans" w:cs="Noto Sans"/>
                <w:b/>
                <w:color w:val="FFFFFF"/>
                <w:sz w:val="20"/>
              </w:rPr>
              <w:t>10</w:t>
            </w:r>
            <w:r w:rsidRPr="00DD098D">
              <w:rPr>
                <w:rFonts w:ascii="Noto Sans" w:hAnsi="Noto Sans" w:cs="Noto Sans"/>
                <w:b/>
                <w:color w:val="FFFFFF"/>
                <w:sz w:val="20"/>
              </w:rPr>
              <w:t xml:space="preserve"> de agosto de 2026  | INEGI</w:t>
            </w:r>
          </w:p>
        </w:tc>
      </w:tr>
      <w:tr w:rsidR="004E65ED" w:rsidRPr="00152E28">
        <w:tc>
          <w:tcPr>
            <w:tcW w:w="882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235B4C"/>
          </w:tcPr>
          <w:p w:rsidR="004E65ED" w:rsidRPr="00152E28" w:rsidRDefault="00DA4129">
            <w:pPr>
              <w:spacing w:before="60"/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color w:val="FFFFFF"/>
                <w:sz w:val="17"/>
              </w:rPr>
              <w:t>Balanza Comercial de Mercancías de México (BCMM) · INEGI, información oportuna</w:t>
            </w:r>
          </w:p>
          <w:p w:rsidR="004E65ED" w:rsidRPr="00152E28" w:rsidRDefault="00DA4129">
            <w:pPr>
              <w:spacing w:before="20" w:after="60"/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FFFFFF"/>
                <w:sz w:val="27"/>
              </w:rPr>
              <w:t>Comercio exterior de México · Primer semestre de 2026</w:t>
            </w:r>
          </w:p>
        </w:tc>
      </w:tr>
      <w:tr w:rsidR="004E65ED" w:rsidRPr="00152E28">
        <w:trPr>
          <w:trHeight w:val="650"/>
        </w:trPr>
        <w:tc>
          <w:tcPr>
            <w:tcW w:w="2207" w:type="dxa"/>
            <w:tcBorders>
              <w:bottom w:val="single" w:sz="4" w:space="0" w:color="auto"/>
            </w:tcBorders>
            <w:shd w:val="clear" w:color="auto" w:fill="F4F4F2"/>
            <w:vAlign w:val="center"/>
          </w:tcPr>
          <w:p w:rsidR="004E65ED" w:rsidRPr="00152E28" w:rsidRDefault="00DA4129">
            <w:pPr>
              <w:spacing w:before="60"/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8C8C8C"/>
                <w:sz w:val="13"/>
              </w:rPr>
              <w:t>EXPORTACIONES ACUMULADAS</w:t>
            </w:r>
          </w:p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10312B"/>
                <w:sz w:val="22"/>
              </w:rPr>
              <w:t>$389,723 mdd</w:t>
            </w:r>
          </w:p>
          <w:p w:rsidR="004E65ED" w:rsidRPr="00152E28" w:rsidRDefault="00DA4129">
            <w:pPr>
              <w:spacing w:after="40"/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color w:val="4C545B"/>
                <w:sz w:val="12"/>
              </w:rPr>
              <w:t>Ene-jun 2026</w:t>
            </w:r>
          </w:p>
        </w:tc>
        <w:tc>
          <w:tcPr>
            <w:tcW w:w="2207" w:type="dxa"/>
            <w:tcBorders>
              <w:bottom w:val="single" w:sz="4" w:space="0" w:color="auto"/>
            </w:tcBorders>
            <w:shd w:val="clear" w:color="auto" w:fill="F4F4F2"/>
            <w:vAlign w:val="center"/>
          </w:tcPr>
          <w:p w:rsidR="004E65ED" w:rsidRPr="00152E28" w:rsidRDefault="00DA4129">
            <w:pPr>
              <w:spacing w:before="60"/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8C8C8C"/>
                <w:sz w:val="13"/>
              </w:rPr>
              <w:t>IMPORTACIONES ACUMULADAS</w:t>
            </w:r>
          </w:p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10312B"/>
                <w:sz w:val="22"/>
              </w:rPr>
              <w:t>$379,866 mdd</w:t>
            </w:r>
          </w:p>
          <w:p w:rsidR="004E65ED" w:rsidRPr="00152E28" w:rsidRDefault="00DA4129">
            <w:pPr>
              <w:spacing w:after="40"/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color w:val="4C545B"/>
                <w:sz w:val="12"/>
              </w:rPr>
              <w:t>Ene-jun 2026</w:t>
            </w:r>
          </w:p>
        </w:tc>
        <w:tc>
          <w:tcPr>
            <w:tcW w:w="2207" w:type="dxa"/>
            <w:gridSpan w:val="2"/>
            <w:tcBorders>
              <w:bottom w:val="single" w:sz="4" w:space="0" w:color="auto"/>
            </w:tcBorders>
            <w:shd w:val="clear" w:color="auto" w:fill="F4F4F2"/>
            <w:vAlign w:val="center"/>
          </w:tcPr>
          <w:p w:rsidR="004E65ED" w:rsidRPr="00152E28" w:rsidRDefault="00DA4129">
            <w:pPr>
              <w:spacing w:before="60"/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8C8C8C"/>
                <w:sz w:val="13"/>
              </w:rPr>
              <w:t>SALDO COMERCIAL</w:t>
            </w:r>
          </w:p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006341"/>
                <w:sz w:val="22"/>
              </w:rPr>
              <w:t>$9,857 mdd</w:t>
            </w:r>
          </w:p>
          <w:p w:rsidR="004E65ED" w:rsidRPr="00152E28" w:rsidRDefault="00DA4129">
            <w:pPr>
              <w:spacing w:after="40"/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color w:val="4C545B"/>
                <w:sz w:val="12"/>
              </w:rPr>
              <w:t>vs. $1,433 mdd en 2025</w:t>
            </w:r>
          </w:p>
        </w:tc>
        <w:tc>
          <w:tcPr>
            <w:tcW w:w="2207" w:type="dxa"/>
            <w:tcBorders>
              <w:bottom w:val="single" w:sz="4" w:space="0" w:color="auto"/>
            </w:tcBorders>
            <w:shd w:val="clear" w:color="auto" w:fill="F4F4F2"/>
            <w:vAlign w:val="center"/>
          </w:tcPr>
          <w:p w:rsidR="004E65ED" w:rsidRPr="00152E28" w:rsidRDefault="00DA4129">
            <w:pPr>
              <w:spacing w:before="60"/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8C8C8C"/>
                <w:sz w:val="13"/>
              </w:rPr>
              <w:t>VAR. ANUAL EXPORTACIONES</w:t>
            </w:r>
          </w:p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Arial" w:hAnsi="Arial" w:cs="Arial"/>
                <w:b/>
                <w:color w:val="006341"/>
                <w:sz w:val="22"/>
              </w:rPr>
              <w:t>▲</w:t>
            </w:r>
            <w:r w:rsidRPr="00152E28">
              <w:rPr>
                <w:rFonts w:ascii="Noto Sans" w:hAnsi="Noto Sans" w:cs="Noto Sans"/>
                <w:b/>
                <w:color w:val="006341"/>
                <w:sz w:val="22"/>
              </w:rPr>
              <w:t xml:space="preserve"> +24.6 %</w:t>
            </w:r>
          </w:p>
          <w:p w:rsidR="004E65ED" w:rsidRPr="00152E28" w:rsidRDefault="00DA4129">
            <w:pPr>
              <w:spacing w:after="40"/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color w:val="4C545B"/>
                <w:sz w:val="12"/>
              </w:rPr>
              <w:t>Importaciones: +22.0 %</w:t>
            </w:r>
          </w:p>
        </w:tc>
      </w:tr>
    </w:tbl>
    <w:p w:rsidR="004E65ED" w:rsidRPr="00EE755E" w:rsidRDefault="004E65ED">
      <w:pPr>
        <w:rPr>
          <w:rFonts w:ascii="Noto Sans" w:hAnsi="Noto Sans" w:cs="Noto Sans"/>
          <w:sz w:val="13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828"/>
      </w:tblGrid>
      <w:tr w:rsidR="004E65ED" w:rsidRPr="00152E28">
        <w:tc>
          <w:tcPr>
            <w:tcW w:w="8828" w:type="dxa"/>
            <w:shd w:val="clear" w:color="auto" w:fill="F4F4F2"/>
          </w:tcPr>
          <w:p w:rsidR="004E65ED" w:rsidRPr="00152E28" w:rsidRDefault="00DA4129">
            <w:pPr>
              <w:spacing w:before="80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10312B"/>
                <w:sz w:val="22"/>
              </w:rPr>
              <w:t>Resumen ejecutivo</w:t>
            </w:r>
          </w:p>
          <w:p w:rsidR="00647CCC" w:rsidRPr="00B00558" w:rsidRDefault="00B00558" w:rsidP="00EE755E">
            <w:pPr>
              <w:pStyle w:val="Prrafodelista"/>
              <w:numPr>
                <w:ilvl w:val="0"/>
                <w:numId w:val="36"/>
              </w:numPr>
              <w:spacing w:before="60" w:after="30"/>
              <w:ind w:left="459" w:right="72"/>
              <w:jc w:val="both"/>
              <w:rPr>
                <w:rFonts w:ascii="Noto Sans" w:hAnsi="Noto Sans" w:cs="Noto Sans"/>
                <w:color w:val="000000"/>
                <w:sz w:val="22"/>
              </w:rPr>
            </w:pPr>
            <w:r w:rsidRPr="00B00558">
              <w:rPr>
                <w:rFonts w:ascii="Noto Sans" w:hAnsi="Noto Sans" w:cs="Noto Sans"/>
                <w:b/>
                <w:color w:val="000000"/>
                <w:sz w:val="22"/>
              </w:rPr>
              <w:t>El superávit comercial se amplió a 9,857 mdd en el primer semestre, frente a 1,433 mdd un año antes</w:t>
            </w:r>
            <w:r w:rsidRPr="00B00558">
              <w:rPr>
                <w:rFonts w:ascii="Noto Sans" w:hAnsi="Noto Sans" w:cs="Noto Sans"/>
                <w:color w:val="000000"/>
                <w:sz w:val="22"/>
              </w:rPr>
              <w:t>, favorecido por un mayor crecimiento de las exportaciones que de las importaciones</w:t>
            </w:r>
            <w:r w:rsidR="00647CCC" w:rsidRPr="00B00558">
              <w:rPr>
                <w:rFonts w:ascii="Noto Sans" w:hAnsi="Noto Sans" w:cs="Noto Sans"/>
                <w:color w:val="000000"/>
                <w:sz w:val="22"/>
              </w:rPr>
              <w:t>.</w:t>
            </w:r>
          </w:p>
          <w:p w:rsidR="00647CCC" w:rsidRPr="00647CCC" w:rsidRDefault="00647CCC" w:rsidP="00EE755E">
            <w:pPr>
              <w:pStyle w:val="Prrafodelista"/>
              <w:numPr>
                <w:ilvl w:val="0"/>
                <w:numId w:val="36"/>
              </w:numPr>
              <w:spacing w:before="60" w:after="30"/>
              <w:ind w:left="459" w:right="72"/>
              <w:jc w:val="both"/>
              <w:rPr>
                <w:rFonts w:ascii="Noto Sans" w:hAnsi="Noto Sans" w:cs="Noto Sans"/>
                <w:color w:val="000000"/>
                <w:sz w:val="22"/>
              </w:rPr>
            </w:pPr>
            <w:r w:rsidRPr="00647CCC">
              <w:rPr>
                <w:rFonts w:ascii="Noto Sans" w:hAnsi="Noto Sans" w:cs="Noto Sans"/>
                <w:b/>
                <w:color w:val="000000"/>
                <w:sz w:val="22"/>
              </w:rPr>
              <w:t>El dinamismo exportador se concentró en manufacturas no automotrices</w:t>
            </w:r>
            <w:r w:rsidRPr="00647CCC">
              <w:rPr>
                <w:rFonts w:ascii="Noto Sans" w:hAnsi="Noto Sans" w:cs="Noto Sans"/>
                <w:color w:val="000000"/>
                <w:sz w:val="22"/>
              </w:rPr>
              <w:t>, mientras que las exportaciones automotrices mostraron un avance marginal.</w:t>
            </w:r>
          </w:p>
          <w:p w:rsidR="00647CCC" w:rsidRPr="00647CCC" w:rsidRDefault="00647CCC" w:rsidP="00EE755E">
            <w:pPr>
              <w:pStyle w:val="Prrafodelista"/>
              <w:numPr>
                <w:ilvl w:val="0"/>
                <w:numId w:val="36"/>
              </w:numPr>
              <w:spacing w:before="60" w:after="30"/>
              <w:ind w:left="459" w:right="72"/>
              <w:jc w:val="both"/>
              <w:rPr>
                <w:rFonts w:ascii="Noto Sans" w:hAnsi="Noto Sans" w:cs="Noto Sans"/>
                <w:color w:val="000000"/>
                <w:sz w:val="22"/>
              </w:rPr>
            </w:pPr>
            <w:r w:rsidRPr="00647CCC">
              <w:rPr>
                <w:rFonts w:ascii="Noto Sans" w:hAnsi="Noto Sans" w:cs="Noto Sans"/>
                <w:b/>
                <w:color w:val="000000"/>
                <w:sz w:val="22"/>
              </w:rPr>
              <w:t>Las importaciones estuvieron impulsadas por bienes intermedios</w:t>
            </w:r>
            <w:r w:rsidRPr="00647CCC">
              <w:rPr>
                <w:rFonts w:ascii="Noto Sans" w:hAnsi="Noto Sans" w:cs="Noto Sans"/>
                <w:color w:val="000000"/>
                <w:sz w:val="22"/>
              </w:rPr>
              <w:t>, mientras que los bienes de capital registraron un crecimiento limitado, señal de menor dinamismo de la inversión productiva.</w:t>
            </w:r>
          </w:p>
          <w:p w:rsidR="004E65ED" w:rsidRPr="00647CCC" w:rsidRDefault="00647CCC" w:rsidP="00EE755E">
            <w:pPr>
              <w:pStyle w:val="Prrafodelista"/>
              <w:numPr>
                <w:ilvl w:val="0"/>
                <w:numId w:val="36"/>
              </w:numPr>
              <w:spacing w:before="60" w:after="60"/>
              <w:ind w:left="459" w:right="72"/>
              <w:jc w:val="both"/>
              <w:rPr>
                <w:rFonts w:ascii="Noto Sans" w:hAnsi="Noto Sans" w:cs="Noto Sans"/>
              </w:rPr>
            </w:pPr>
            <w:r w:rsidRPr="00647CCC">
              <w:rPr>
                <w:rFonts w:ascii="Noto Sans" w:hAnsi="Noto Sans" w:cs="Noto Sans"/>
                <w:b/>
                <w:color w:val="000000"/>
                <w:sz w:val="22"/>
              </w:rPr>
              <w:t>La composición de las importaciones mostró un cambio relevante de origen</w:t>
            </w:r>
            <w:r w:rsidRPr="00647CCC">
              <w:rPr>
                <w:rFonts w:ascii="Noto Sans" w:hAnsi="Noto Sans" w:cs="Noto Sans"/>
                <w:color w:val="000000"/>
                <w:sz w:val="22"/>
              </w:rPr>
              <w:t>: Taiwán ganó participación, mientras Estados Unidos y China redujeron su peso conjunto.</w:t>
            </w:r>
          </w:p>
        </w:tc>
      </w:tr>
    </w:tbl>
    <w:p w:rsidR="004E65ED" w:rsidRPr="00EE755E" w:rsidRDefault="004E65ED">
      <w:pPr>
        <w:rPr>
          <w:rFonts w:ascii="Noto Sans" w:hAnsi="Noto Sans" w:cs="Noto Sans"/>
          <w:sz w:val="6"/>
        </w:rPr>
      </w:pPr>
    </w:p>
    <w:p w:rsidR="004E65ED" w:rsidRPr="00152E28" w:rsidRDefault="00DA4129">
      <w:pPr>
        <w:spacing w:before="30" w:after="12"/>
        <w:jc w:val="center"/>
        <w:rPr>
          <w:rFonts w:ascii="Noto Sans" w:hAnsi="Noto Sans" w:cs="Noto Sans"/>
        </w:rPr>
      </w:pPr>
      <w:r w:rsidRPr="00152E28">
        <w:rPr>
          <w:rFonts w:ascii="Noto Sans" w:hAnsi="Noto Sans" w:cs="Noto Sans"/>
          <w:b/>
          <w:color w:val="10312B"/>
          <w:sz w:val="22"/>
        </w:rPr>
        <w:t>Evolución del comercio exterior</w:t>
      </w:r>
    </w:p>
    <w:tbl>
      <w:tblPr>
        <w:tblW w:w="0" w:type="auto"/>
        <w:tblLayout w:type="fixed"/>
        <w:tblCellMar>
          <w:top w:w="8" w:type="dxa"/>
          <w:left w:w="80" w:type="dxa"/>
          <w:bottom w:w="8" w:type="dxa"/>
          <w:right w:w="80" w:type="dxa"/>
        </w:tblCellMar>
        <w:tblLook w:val="04A0" w:firstRow="1" w:lastRow="0" w:firstColumn="1" w:lastColumn="0" w:noHBand="0" w:noVBand="1"/>
      </w:tblPr>
      <w:tblGrid>
        <w:gridCol w:w="2600"/>
        <w:gridCol w:w="2076"/>
        <w:gridCol w:w="2076"/>
        <w:gridCol w:w="2076"/>
      </w:tblGrid>
      <w:tr w:rsidR="004E65ED" w:rsidRPr="00152E28">
        <w:tc>
          <w:tcPr>
            <w:tcW w:w="2600" w:type="dxa"/>
            <w:shd w:val="clear" w:color="auto" w:fill="235B4C"/>
            <w:vAlign w:val="center"/>
          </w:tcPr>
          <w:p w:rsidR="004E65ED" w:rsidRPr="00152E28" w:rsidRDefault="00DA4129">
            <w:pPr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FFFFFF"/>
                <w:sz w:val="16"/>
              </w:rPr>
              <w:t>Indicador</w:t>
            </w:r>
          </w:p>
        </w:tc>
        <w:tc>
          <w:tcPr>
            <w:tcW w:w="2076" w:type="dxa"/>
            <w:shd w:val="clear" w:color="auto" w:fill="235B4C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FFFFFF"/>
                <w:sz w:val="16"/>
              </w:rPr>
              <w:t>Ene-jun 2025</w:t>
            </w:r>
          </w:p>
        </w:tc>
        <w:tc>
          <w:tcPr>
            <w:tcW w:w="2076" w:type="dxa"/>
            <w:shd w:val="clear" w:color="auto" w:fill="235B4C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FFFFFF"/>
                <w:sz w:val="16"/>
              </w:rPr>
              <w:t>Ene-jun 2026</w:t>
            </w:r>
          </w:p>
        </w:tc>
        <w:tc>
          <w:tcPr>
            <w:tcW w:w="2076" w:type="dxa"/>
            <w:shd w:val="clear" w:color="auto" w:fill="235B4C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FFFFFF"/>
                <w:sz w:val="16"/>
              </w:rPr>
              <w:t>Var. anual</w:t>
            </w:r>
          </w:p>
        </w:tc>
      </w:tr>
      <w:tr w:rsidR="004E65ED" w:rsidRPr="00152E28">
        <w:tc>
          <w:tcPr>
            <w:tcW w:w="2600" w:type="dxa"/>
            <w:shd w:val="clear" w:color="auto" w:fill="F4F4F2"/>
            <w:vAlign w:val="center"/>
          </w:tcPr>
          <w:p w:rsidR="004E65ED" w:rsidRPr="00152E28" w:rsidRDefault="00DA4129">
            <w:pPr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10312B"/>
                <w:sz w:val="16"/>
              </w:rPr>
              <w:t>Exportaciones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color w:val="000000"/>
                <w:sz w:val="16"/>
              </w:rPr>
              <w:t>312,728.1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10312B"/>
                <w:sz w:val="16"/>
              </w:rPr>
              <w:t>389,723.3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Arial" w:hAnsi="Arial" w:cs="Arial"/>
                <w:b/>
                <w:color w:val="1E6E5C"/>
                <w:sz w:val="16"/>
              </w:rPr>
              <w:t>▲</w:t>
            </w:r>
            <w:r w:rsidRPr="00152E28">
              <w:rPr>
                <w:rFonts w:ascii="Noto Sans" w:hAnsi="Noto Sans" w:cs="Noto Sans"/>
                <w:b/>
                <w:color w:val="1E6E5C"/>
                <w:sz w:val="16"/>
              </w:rPr>
              <w:t xml:space="preserve"> +24.6 %</w:t>
            </w:r>
          </w:p>
        </w:tc>
      </w:tr>
      <w:tr w:rsidR="004E65ED" w:rsidRPr="00152E28">
        <w:tc>
          <w:tcPr>
            <w:tcW w:w="2600" w:type="dxa"/>
            <w:shd w:val="clear" w:color="auto" w:fill="F4F4F2"/>
            <w:vAlign w:val="center"/>
          </w:tcPr>
          <w:p w:rsidR="004E65ED" w:rsidRPr="00152E28" w:rsidRDefault="00DA4129">
            <w:pPr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10312B"/>
                <w:sz w:val="16"/>
              </w:rPr>
              <w:t>Importaciones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color w:val="000000"/>
                <w:sz w:val="16"/>
              </w:rPr>
              <w:t>311,295.5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10312B"/>
                <w:sz w:val="16"/>
              </w:rPr>
              <w:t>379,866.0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Arial" w:hAnsi="Arial" w:cs="Arial"/>
                <w:b/>
                <w:color w:val="1E6E5C"/>
                <w:sz w:val="16"/>
              </w:rPr>
              <w:t>▲</w:t>
            </w:r>
            <w:r w:rsidRPr="00152E28">
              <w:rPr>
                <w:rFonts w:ascii="Noto Sans" w:hAnsi="Noto Sans" w:cs="Noto Sans"/>
                <w:b/>
                <w:color w:val="1E6E5C"/>
                <w:sz w:val="16"/>
              </w:rPr>
              <w:t xml:space="preserve"> +22.0 %</w:t>
            </w:r>
          </w:p>
        </w:tc>
      </w:tr>
      <w:tr w:rsidR="004E65ED" w:rsidRPr="00152E28">
        <w:tc>
          <w:tcPr>
            <w:tcW w:w="2600" w:type="dxa"/>
            <w:shd w:val="clear" w:color="auto" w:fill="F4F4F2"/>
            <w:vAlign w:val="center"/>
          </w:tcPr>
          <w:p w:rsidR="004E65ED" w:rsidRPr="00152E28" w:rsidRDefault="00DA4129">
            <w:pPr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10312B"/>
                <w:sz w:val="16"/>
              </w:rPr>
              <w:t>Saldo comercial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color w:val="000000"/>
                <w:sz w:val="16"/>
              </w:rPr>
              <w:t>1,432.6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10312B"/>
                <w:sz w:val="16"/>
              </w:rPr>
              <w:t>9,857.3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4C545B"/>
                <w:sz w:val="16"/>
              </w:rPr>
              <w:t>s. s.¹</w:t>
            </w:r>
          </w:p>
        </w:tc>
      </w:tr>
    </w:tbl>
    <w:p w:rsidR="00647CCC" w:rsidRDefault="00DA4129" w:rsidP="00EE755E">
      <w:pPr>
        <w:spacing w:before="20"/>
        <w:rPr>
          <w:rFonts w:ascii="Noto Sans" w:hAnsi="Noto Sans" w:cs="Noto Sans"/>
          <w:i/>
          <w:color w:val="4C545B"/>
          <w:sz w:val="13"/>
        </w:rPr>
      </w:pPr>
      <w:r w:rsidRPr="00152E28">
        <w:rPr>
          <w:rFonts w:ascii="Noto Sans" w:hAnsi="Noto Sans" w:cs="Noto Sans"/>
          <w:i/>
          <w:color w:val="4C545B"/>
          <w:sz w:val="13"/>
        </w:rPr>
        <w:t>Cifras en millones de dólares (mdd), acumulado enero-junio, cifras oportunas. ¹ Sin significado por base cercana a cero. Fuente: INEGI, BCMM.</w:t>
      </w:r>
    </w:p>
    <w:p w:rsidR="007D4D3C" w:rsidRPr="007D4D3C" w:rsidRDefault="007D4D3C" w:rsidP="00EE755E">
      <w:pPr>
        <w:spacing w:before="20"/>
        <w:rPr>
          <w:rFonts w:ascii="Noto Sans" w:hAnsi="Noto Sans" w:cs="Noto Sans"/>
          <w:sz w:val="16"/>
        </w:rPr>
      </w:pPr>
    </w:p>
    <w:p w:rsidR="004E65ED" w:rsidRPr="00152E28" w:rsidRDefault="00DA4129">
      <w:pPr>
        <w:spacing w:before="30" w:after="12"/>
        <w:jc w:val="center"/>
        <w:rPr>
          <w:rFonts w:ascii="Noto Sans" w:hAnsi="Noto Sans" w:cs="Noto Sans"/>
        </w:rPr>
      </w:pPr>
      <w:r w:rsidRPr="00152E28">
        <w:rPr>
          <w:rFonts w:ascii="Noto Sans" w:hAnsi="Noto Sans" w:cs="Noto Sans"/>
          <w:b/>
          <w:color w:val="10312B"/>
          <w:sz w:val="22"/>
        </w:rPr>
        <w:t>Composición del comercio, ene-jun 2026</w:t>
      </w:r>
    </w:p>
    <w:tbl>
      <w:tblPr>
        <w:tblW w:w="0" w:type="auto"/>
        <w:tblLayout w:type="fixed"/>
        <w:tblCellMar>
          <w:top w:w="4" w:type="dxa"/>
          <w:left w:w="80" w:type="dxa"/>
          <w:bottom w:w="4" w:type="dxa"/>
          <w:right w:w="80" w:type="dxa"/>
        </w:tblCellMar>
        <w:tblLook w:val="04A0" w:firstRow="1" w:lastRow="0" w:firstColumn="1" w:lastColumn="0" w:noHBand="0" w:noVBand="1"/>
      </w:tblPr>
      <w:tblGrid>
        <w:gridCol w:w="2900"/>
        <w:gridCol w:w="2100"/>
        <w:gridCol w:w="1914"/>
        <w:gridCol w:w="1914"/>
      </w:tblGrid>
      <w:tr w:rsidR="004E65ED" w:rsidRPr="009612F9">
        <w:tc>
          <w:tcPr>
            <w:tcW w:w="2900" w:type="dxa"/>
            <w:shd w:val="clear" w:color="auto" w:fill="235B4C"/>
            <w:vAlign w:val="center"/>
          </w:tcPr>
          <w:p w:rsidR="004E65ED" w:rsidRPr="009612F9" w:rsidRDefault="00DA4129">
            <w:pPr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Noto Sans" w:hAnsi="Noto Sans" w:cs="Noto Sans"/>
                <w:b/>
                <w:color w:val="FFFFFF"/>
                <w:sz w:val="16"/>
                <w:szCs w:val="16"/>
              </w:rPr>
              <w:t>Componente</w:t>
            </w:r>
          </w:p>
        </w:tc>
        <w:tc>
          <w:tcPr>
            <w:tcW w:w="2100" w:type="dxa"/>
            <w:shd w:val="clear" w:color="auto" w:fill="235B4C"/>
            <w:vAlign w:val="center"/>
          </w:tcPr>
          <w:p w:rsidR="004E65ED" w:rsidRPr="009612F9" w:rsidRDefault="00DA4129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Noto Sans" w:hAnsi="Noto Sans" w:cs="Noto Sans"/>
                <w:b/>
                <w:color w:val="FFFFFF"/>
                <w:sz w:val="16"/>
                <w:szCs w:val="16"/>
              </w:rPr>
              <w:t>Ene-jun 2026</w:t>
            </w:r>
          </w:p>
        </w:tc>
        <w:tc>
          <w:tcPr>
            <w:tcW w:w="1914" w:type="dxa"/>
            <w:shd w:val="clear" w:color="auto" w:fill="235B4C"/>
            <w:vAlign w:val="center"/>
          </w:tcPr>
          <w:p w:rsidR="004E65ED" w:rsidRPr="009612F9" w:rsidRDefault="00DA4129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Noto Sans" w:hAnsi="Noto Sans" w:cs="Noto Sans"/>
                <w:b/>
                <w:color w:val="FFFFFF"/>
                <w:sz w:val="16"/>
                <w:szCs w:val="16"/>
              </w:rPr>
              <w:t>Var. anual</w:t>
            </w:r>
          </w:p>
        </w:tc>
        <w:tc>
          <w:tcPr>
            <w:tcW w:w="1914" w:type="dxa"/>
            <w:shd w:val="clear" w:color="auto" w:fill="235B4C"/>
            <w:vAlign w:val="center"/>
          </w:tcPr>
          <w:p w:rsidR="004E65ED" w:rsidRPr="009612F9" w:rsidRDefault="00DA4129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Noto Sans" w:hAnsi="Noto Sans" w:cs="Noto Sans"/>
                <w:b/>
                <w:color w:val="FFFFFF"/>
                <w:sz w:val="16"/>
                <w:szCs w:val="16"/>
              </w:rPr>
              <w:t>Participación</w:t>
            </w:r>
          </w:p>
        </w:tc>
      </w:tr>
      <w:tr w:rsidR="004E65ED" w:rsidRPr="009612F9">
        <w:tc>
          <w:tcPr>
            <w:tcW w:w="8828" w:type="dxa"/>
            <w:gridSpan w:val="4"/>
            <w:shd w:val="clear" w:color="auto" w:fill="3E7A68"/>
          </w:tcPr>
          <w:p w:rsidR="004E65ED" w:rsidRPr="009612F9" w:rsidRDefault="00DA4129">
            <w:pPr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Noto Sans" w:hAnsi="Noto Sans" w:cs="Noto Sans"/>
                <w:b/>
                <w:color w:val="FFFFFF"/>
                <w:sz w:val="16"/>
                <w:szCs w:val="16"/>
              </w:rPr>
              <w:t>EXPORTACIONES</w:t>
            </w:r>
          </w:p>
        </w:tc>
      </w:tr>
      <w:tr w:rsidR="004E65ED" w:rsidRPr="009612F9">
        <w:tc>
          <w:tcPr>
            <w:tcW w:w="2900" w:type="dxa"/>
            <w:shd w:val="clear" w:color="auto" w:fill="F4F4F2"/>
            <w:vAlign w:val="center"/>
          </w:tcPr>
          <w:p w:rsidR="004E65ED" w:rsidRPr="009612F9" w:rsidRDefault="00DA4129">
            <w:pPr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Noto Sans" w:hAnsi="Noto Sans" w:cs="Noto Sans"/>
                <w:color w:val="000000"/>
                <w:sz w:val="16"/>
                <w:szCs w:val="16"/>
              </w:rPr>
              <w:t>Manufactureras</w:t>
            </w:r>
          </w:p>
        </w:tc>
        <w:tc>
          <w:tcPr>
            <w:tcW w:w="2100" w:type="dxa"/>
            <w:shd w:val="clear" w:color="auto" w:fill="F4F4F2"/>
            <w:vAlign w:val="center"/>
          </w:tcPr>
          <w:p w:rsidR="004E65ED" w:rsidRPr="009612F9" w:rsidRDefault="00DA4129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Noto Sans" w:hAnsi="Noto Sans" w:cs="Noto Sans"/>
                <w:color w:val="000000"/>
                <w:sz w:val="16"/>
                <w:szCs w:val="16"/>
              </w:rPr>
              <w:t>355,901.5</w:t>
            </w:r>
          </w:p>
        </w:tc>
        <w:tc>
          <w:tcPr>
            <w:tcW w:w="1914" w:type="dxa"/>
            <w:shd w:val="clear" w:color="auto" w:fill="F4F4F2"/>
            <w:vAlign w:val="center"/>
          </w:tcPr>
          <w:p w:rsidR="004E65ED" w:rsidRPr="009612F9" w:rsidRDefault="00DA4129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Arial" w:hAnsi="Arial" w:cs="Arial"/>
                <w:b/>
                <w:color w:val="1E6E5C"/>
                <w:sz w:val="16"/>
                <w:szCs w:val="16"/>
              </w:rPr>
              <w:t>▲</w:t>
            </w:r>
            <w:r w:rsidRPr="009612F9">
              <w:rPr>
                <w:rFonts w:ascii="Noto Sans" w:hAnsi="Noto Sans" w:cs="Noto Sans"/>
                <w:b/>
                <w:color w:val="1E6E5C"/>
                <w:sz w:val="16"/>
                <w:szCs w:val="16"/>
              </w:rPr>
              <w:t xml:space="preserve"> +25.8 %</w:t>
            </w:r>
          </w:p>
        </w:tc>
        <w:tc>
          <w:tcPr>
            <w:tcW w:w="1914" w:type="dxa"/>
            <w:shd w:val="clear" w:color="auto" w:fill="F4F4F2"/>
            <w:vAlign w:val="center"/>
          </w:tcPr>
          <w:p w:rsidR="004E65ED" w:rsidRPr="009612F9" w:rsidRDefault="00DA4129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Noto Sans" w:hAnsi="Noto Sans" w:cs="Noto Sans"/>
                <w:color w:val="000000"/>
                <w:sz w:val="16"/>
                <w:szCs w:val="16"/>
              </w:rPr>
              <w:t>91.3 %</w:t>
            </w:r>
          </w:p>
        </w:tc>
      </w:tr>
      <w:tr w:rsidR="004E65ED" w:rsidRPr="009612F9">
        <w:tc>
          <w:tcPr>
            <w:tcW w:w="2900" w:type="dxa"/>
            <w:shd w:val="clear" w:color="auto" w:fill="F4F4F2"/>
            <w:vAlign w:val="center"/>
          </w:tcPr>
          <w:p w:rsidR="004E65ED" w:rsidRPr="009612F9" w:rsidRDefault="00DA4129">
            <w:pPr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Noto Sans" w:hAnsi="Noto Sans" w:cs="Noto Sans"/>
                <w:color w:val="000000"/>
                <w:sz w:val="16"/>
                <w:szCs w:val="16"/>
              </w:rPr>
              <w:t>Petroleras</w:t>
            </w:r>
          </w:p>
        </w:tc>
        <w:tc>
          <w:tcPr>
            <w:tcW w:w="2100" w:type="dxa"/>
            <w:shd w:val="clear" w:color="auto" w:fill="F4F4F2"/>
            <w:vAlign w:val="center"/>
          </w:tcPr>
          <w:p w:rsidR="004E65ED" w:rsidRPr="009612F9" w:rsidRDefault="00DA4129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Noto Sans" w:hAnsi="Noto Sans" w:cs="Noto Sans"/>
                <w:color w:val="000000"/>
                <w:sz w:val="16"/>
                <w:szCs w:val="16"/>
              </w:rPr>
              <w:t>10,866.2</w:t>
            </w:r>
          </w:p>
        </w:tc>
        <w:tc>
          <w:tcPr>
            <w:tcW w:w="1914" w:type="dxa"/>
            <w:shd w:val="clear" w:color="auto" w:fill="F4F4F2"/>
            <w:vAlign w:val="center"/>
          </w:tcPr>
          <w:p w:rsidR="004E65ED" w:rsidRPr="009612F9" w:rsidRDefault="00DA4129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Arial" w:hAnsi="Arial" w:cs="Arial"/>
                <w:b/>
                <w:color w:val="C00000"/>
                <w:sz w:val="16"/>
                <w:szCs w:val="16"/>
              </w:rPr>
              <w:t>▼</w:t>
            </w:r>
            <w:r w:rsidRPr="009612F9">
              <w:rPr>
                <w:rFonts w:ascii="Noto Sans" w:hAnsi="Noto Sans" w:cs="Noto Sans"/>
                <w:b/>
                <w:color w:val="C00000"/>
                <w:sz w:val="16"/>
                <w:szCs w:val="16"/>
              </w:rPr>
              <w:t xml:space="preserve"> -2.9 %</w:t>
            </w:r>
          </w:p>
        </w:tc>
        <w:tc>
          <w:tcPr>
            <w:tcW w:w="1914" w:type="dxa"/>
            <w:shd w:val="clear" w:color="auto" w:fill="F4F4F2"/>
            <w:vAlign w:val="center"/>
          </w:tcPr>
          <w:p w:rsidR="004E65ED" w:rsidRPr="009612F9" w:rsidRDefault="00DA4129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Noto Sans" w:hAnsi="Noto Sans" w:cs="Noto Sans"/>
                <w:color w:val="000000"/>
                <w:sz w:val="16"/>
                <w:szCs w:val="16"/>
              </w:rPr>
              <w:t>2.8 %</w:t>
            </w:r>
          </w:p>
        </w:tc>
      </w:tr>
      <w:tr w:rsidR="004E65ED" w:rsidRPr="009612F9">
        <w:tc>
          <w:tcPr>
            <w:tcW w:w="2900" w:type="dxa"/>
            <w:shd w:val="clear" w:color="auto" w:fill="F4F4F2"/>
            <w:vAlign w:val="center"/>
          </w:tcPr>
          <w:p w:rsidR="004E65ED" w:rsidRPr="009612F9" w:rsidRDefault="00DA4129">
            <w:pPr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Noto Sans" w:hAnsi="Noto Sans" w:cs="Noto Sans"/>
                <w:color w:val="000000"/>
                <w:sz w:val="16"/>
                <w:szCs w:val="16"/>
              </w:rPr>
              <w:t>Agropecuarias</w:t>
            </w:r>
          </w:p>
        </w:tc>
        <w:tc>
          <w:tcPr>
            <w:tcW w:w="2100" w:type="dxa"/>
            <w:shd w:val="clear" w:color="auto" w:fill="F4F4F2"/>
            <w:vAlign w:val="center"/>
          </w:tcPr>
          <w:p w:rsidR="004E65ED" w:rsidRPr="009612F9" w:rsidRDefault="00DA4129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Noto Sans" w:hAnsi="Noto Sans" w:cs="Noto Sans"/>
                <w:color w:val="000000"/>
                <w:sz w:val="16"/>
                <w:szCs w:val="16"/>
              </w:rPr>
              <w:t>11,746.5</w:t>
            </w:r>
          </w:p>
        </w:tc>
        <w:tc>
          <w:tcPr>
            <w:tcW w:w="1914" w:type="dxa"/>
            <w:shd w:val="clear" w:color="auto" w:fill="F4F4F2"/>
            <w:vAlign w:val="center"/>
          </w:tcPr>
          <w:p w:rsidR="004E65ED" w:rsidRPr="009612F9" w:rsidRDefault="00DA4129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Arial" w:hAnsi="Arial" w:cs="Arial"/>
                <w:b/>
                <w:color w:val="C00000"/>
                <w:sz w:val="16"/>
                <w:szCs w:val="16"/>
              </w:rPr>
              <w:t>▼</w:t>
            </w:r>
            <w:r w:rsidRPr="009612F9">
              <w:rPr>
                <w:rFonts w:ascii="Noto Sans" w:hAnsi="Noto Sans" w:cs="Noto Sans"/>
                <w:b/>
                <w:color w:val="C00000"/>
                <w:sz w:val="16"/>
                <w:szCs w:val="16"/>
              </w:rPr>
              <w:t xml:space="preserve"> -4.0 %</w:t>
            </w:r>
          </w:p>
        </w:tc>
        <w:tc>
          <w:tcPr>
            <w:tcW w:w="1914" w:type="dxa"/>
            <w:shd w:val="clear" w:color="auto" w:fill="F4F4F2"/>
            <w:vAlign w:val="center"/>
          </w:tcPr>
          <w:p w:rsidR="004E65ED" w:rsidRPr="009612F9" w:rsidRDefault="00DA4129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Noto Sans" w:hAnsi="Noto Sans" w:cs="Noto Sans"/>
                <w:color w:val="000000"/>
                <w:sz w:val="16"/>
                <w:szCs w:val="16"/>
              </w:rPr>
              <w:t>3.0 %</w:t>
            </w:r>
          </w:p>
        </w:tc>
      </w:tr>
      <w:tr w:rsidR="004E65ED" w:rsidRPr="009612F9">
        <w:tc>
          <w:tcPr>
            <w:tcW w:w="2900" w:type="dxa"/>
            <w:shd w:val="clear" w:color="auto" w:fill="F4F4F2"/>
            <w:vAlign w:val="center"/>
          </w:tcPr>
          <w:p w:rsidR="004E65ED" w:rsidRPr="009612F9" w:rsidRDefault="00DA4129">
            <w:pPr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Noto Sans" w:hAnsi="Noto Sans" w:cs="Noto Sans"/>
                <w:color w:val="000000"/>
                <w:sz w:val="16"/>
                <w:szCs w:val="16"/>
              </w:rPr>
              <w:t>Extractivas</w:t>
            </w:r>
          </w:p>
        </w:tc>
        <w:tc>
          <w:tcPr>
            <w:tcW w:w="2100" w:type="dxa"/>
            <w:shd w:val="clear" w:color="auto" w:fill="F4F4F2"/>
            <w:vAlign w:val="center"/>
          </w:tcPr>
          <w:p w:rsidR="004E65ED" w:rsidRPr="009612F9" w:rsidRDefault="00DA4129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Noto Sans" w:hAnsi="Noto Sans" w:cs="Noto Sans"/>
                <w:color w:val="000000"/>
                <w:sz w:val="16"/>
                <w:szCs w:val="16"/>
              </w:rPr>
              <w:t>11,209.1</w:t>
            </w:r>
          </w:p>
        </w:tc>
        <w:tc>
          <w:tcPr>
            <w:tcW w:w="1914" w:type="dxa"/>
            <w:shd w:val="clear" w:color="auto" w:fill="F4F4F2"/>
            <w:vAlign w:val="center"/>
          </w:tcPr>
          <w:p w:rsidR="004E65ED" w:rsidRPr="009612F9" w:rsidRDefault="00DA4129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Arial" w:hAnsi="Arial" w:cs="Arial"/>
                <w:b/>
                <w:color w:val="1E6E5C"/>
                <w:sz w:val="16"/>
                <w:szCs w:val="16"/>
              </w:rPr>
              <w:t>▲</w:t>
            </w:r>
            <w:r w:rsidRPr="009612F9">
              <w:rPr>
                <w:rFonts w:ascii="Noto Sans" w:hAnsi="Noto Sans" w:cs="Noto Sans"/>
                <w:b/>
                <w:color w:val="1E6E5C"/>
                <w:sz w:val="16"/>
                <w:szCs w:val="16"/>
              </w:rPr>
              <w:t xml:space="preserve"> +78.6 %</w:t>
            </w:r>
          </w:p>
        </w:tc>
        <w:tc>
          <w:tcPr>
            <w:tcW w:w="1914" w:type="dxa"/>
            <w:shd w:val="clear" w:color="auto" w:fill="F4F4F2"/>
            <w:vAlign w:val="center"/>
          </w:tcPr>
          <w:p w:rsidR="004E65ED" w:rsidRPr="009612F9" w:rsidRDefault="00DA4129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Noto Sans" w:hAnsi="Noto Sans" w:cs="Noto Sans"/>
                <w:color w:val="000000"/>
                <w:sz w:val="16"/>
                <w:szCs w:val="16"/>
              </w:rPr>
              <w:t>2.9 %</w:t>
            </w:r>
          </w:p>
        </w:tc>
      </w:tr>
      <w:tr w:rsidR="004E65ED" w:rsidRPr="009612F9">
        <w:tc>
          <w:tcPr>
            <w:tcW w:w="8828" w:type="dxa"/>
            <w:gridSpan w:val="4"/>
            <w:shd w:val="clear" w:color="auto" w:fill="3E7A68"/>
          </w:tcPr>
          <w:p w:rsidR="004E65ED" w:rsidRPr="009612F9" w:rsidRDefault="00DA4129">
            <w:pPr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Noto Sans" w:hAnsi="Noto Sans" w:cs="Noto Sans"/>
                <w:b/>
                <w:color w:val="FFFFFF"/>
                <w:sz w:val="16"/>
                <w:szCs w:val="16"/>
              </w:rPr>
              <w:t>IMPORTACIONES</w:t>
            </w:r>
          </w:p>
        </w:tc>
      </w:tr>
      <w:tr w:rsidR="004E65ED" w:rsidRPr="009612F9">
        <w:tc>
          <w:tcPr>
            <w:tcW w:w="2900" w:type="dxa"/>
            <w:shd w:val="clear" w:color="auto" w:fill="F4F4F2"/>
            <w:vAlign w:val="center"/>
          </w:tcPr>
          <w:p w:rsidR="004E65ED" w:rsidRPr="009612F9" w:rsidRDefault="00DA4129">
            <w:pPr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Noto Sans" w:hAnsi="Noto Sans" w:cs="Noto Sans"/>
                <w:color w:val="000000"/>
                <w:sz w:val="16"/>
                <w:szCs w:val="16"/>
              </w:rPr>
              <w:t>Bienes de consumo</w:t>
            </w:r>
          </w:p>
        </w:tc>
        <w:tc>
          <w:tcPr>
            <w:tcW w:w="2100" w:type="dxa"/>
            <w:shd w:val="clear" w:color="auto" w:fill="F4F4F2"/>
            <w:vAlign w:val="center"/>
          </w:tcPr>
          <w:p w:rsidR="004E65ED" w:rsidRPr="009612F9" w:rsidRDefault="00DA4129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Noto Sans" w:hAnsi="Noto Sans" w:cs="Noto Sans"/>
                <w:color w:val="000000"/>
                <w:sz w:val="16"/>
                <w:szCs w:val="16"/>
              </w:rPr>
              <w:t>48,657.4</w:t>
            </w:r>
          </w:p>
        </w:tc>
        <w:tc>
          <w:tcPr>
            <w:tcW w:w="1914" w:type="dxa"/>
            <w:shd w:val="clear" w:color="auto" w:fill="F4F4F2"/>
            <w:vAlign w:val="center"/>
          </w:tcPr>
          <w:p w:rsidR="004E65ED" w:rsidRPr="009612F9" w:rsidRDefault="00DA4129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Arial" w:hAnsi="Arial" w:cs="Arial"/>
                <w:b/>
                <w:color w:val="1E6E5C"/>
                <w:sz w:val="16"/>
                <w:szCs w:val="16"/>
              </w:rPr>
              <w:t>▲</w:t>
            </w:r>
            <w:r w:rsidRPr="009612F9">
              <w:rPr>
                <w:rFonts w:ascii="Noto Sans" w:hAnsi="Noto Sans" w:cs="Noto Sans"/>
                <w:b/>
                <w:color w:val="1E6E5C"/>
                <w:sz w:val="16"/>
                <w:szCs w:val="16"/>
              </w:rPr>
              <w:t xml:space="preserve"> +9.8 %</w:t>
            </w:r>
          </w:p>
        </w:tc>
        <w:tc>
          <w:tcPr>
            <w:tcW w:w="1914" w:type="dxa"/>
            <w:shd w:val="clear" w:color="auto" w:fill="F4F4F2"/>
            <w:vAlign w:val="center"/>
          </w:tcPr>
          <w:p w:rsidR="004E65ED" w:rsidRPr="009612F9" w:rsidRDefault="00DA4129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Noto Sans" w:hAnsi="Noto Sans" w:cs="Noto Sans"/>
                <w:color w:val="000000"/>
                <w:sz w:val="16"/>
                <w:szCs w:val="16"/>
              </w:rPr>
              <w:t>12.8 %</w:t>
            </w:r>
          </w:p>
        </w:tc>
      </w:tr>
      <w:tr w:rsidR="004E65ED" w:rsidRPr="009612F9">
        <w:tc>
          <w:tcPr>
            <w:tcW w:w="2900" w:type="dxa"/>
            <w:shd w:val="clear" w:color="auto" w:fill="F4F4F2"/>
            <w:vAlign w:val="center"/>
          </w:tcPr>
          <w:p w:rsidR="004E65ED" w:rsidRPr="009612F9" w:rsidRDefault="00DA4129">
            <w:pPr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Noto Sans" w:hAnsi="Noto Sans" w:cs="Noto Sans"/>
                <w:color w:val="000000"/>
                <w:sz w:val="16"/>
                <w:szCs w:val="16"/>
              </w:rPr>
              <w:t>Bienes intermedios</w:t>
            </w:r>
          </w:p>
        </w:tc>
        <w:tc>
          <w:tcPr>
            <w:tcW w:w="2100" w:type="dxa"/>
            <w:shd w:val="clear" w:color="auto" w:fill="F4F4F2"/>
            <w:vAlign w:val="center"/>
          </w:tcPr>
          <w:p w:rsidR="004E65ED" w:rsidRPr="009612F9" w:rsidRDefault="00DA4129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Noto Sans" w:hAnsi="Noto Sans" w:cs="Noto Sans"/>
                <w:color w:val="000000"/>
                <w:sz w:val="16"/>
                <w:szCs w:val="16"/>
              </w:rPr>
              <w:t>303,549.9</w:t>
            </w:r>
          </w:p>
        </w:tc>
        <w:tc>
          <w:tcPr>
            <w:tcW w:w="1914" w:type="dxa"/>
            <w:shd w:val="clear" w:color="auto" w:fill="F4F4F2"/>
            <w:vAlign w:val="center"/>
          </w:tcPr>
          <w:p w:rsidR="004E65ED" w:rsidRPr="009612F9" w:rsidRDefault="00DA4129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Arial" w:hAnsi="Arial" w:cs="Arial"/>
                <w:b/>
                <w:color w:val="1E6E5C"/>
                <w:sz w:val="16"/>
                <w:szCs w:val="16"/>
              </w:rPr>
              <w:t>▲</w:t>
            </w:r>
            <w:r w:rsidRPr="009612F9">
              <w:rPr>
                <w:rFonts w:ascii="Noto Sans" w:hAnsi="Noto Sans" w:cs="Noto Sans"/>
                <w:b/>
                <w:color w:val="1E6E5C"/>
                <w:sz w:val="16"/>
                <w:szCs w:val="16"/>
              </w:rPr>
              <w:t xml:space="preserve"> +26.7 %</w:t>
            </w:r>
          </w:p>
        </w:tc>
        <w:tc>
          <w:tcPr>
            <w:tcW w:w="1914" w:type="dxa"/>
            <w:shd w:val="clear" w:color="auto" w:fill="F4F4F2"/>
            <w:vAlign w:val="center"/>
          </w:tcPr>
          <w:p w:rsidR="004E65ED" w:rsidRPr="009612F9" w:rsidRDefault="00DA4129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Noto Sans" w:hAnsi="Noto Sans" w:cs="Noto Sans"/>
                <w:color w:val="000000"/>
                <w:sz w:val="16"/>
                <w:szCs w:val="16"/>
              </w:rPr>
              <w:t>79.9 %</w:t>
            </w:r>
          </w:p>
        </w:tc>
      </w:tr>
      <w:tr w:rsidR="004E65ED" w:rsidRPr="009612F9">
        <w:tc>
          <w:tcPr>
            <w:tcW w:w="2900" w:type="dxa"/>
            <w:shd w:val="clear" w:color="auto" w:fill="F4F4F2"/>
            <w:vAlign w:val="center"/>
          </w:tcPr>
          <w:p w:rsidR="004E65ED" w:rsidRPr="009612F9" w:rsidRDefault="00DA4129">
            <w:pPr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Noto Sans" w:hAnsi="Noto Sans" w:cs="Noto Sans"/>
                <w:color w:val="000000"/>
                <w:sz w:val="16"/>
                <w:szCs w:val="16"/>
              </w:rPr>
              <w:t>Bienes de capital</w:t>
            </w:r>
          </w:p>
        </w:tc>
        <w:tc>
          <w:tcPr>
            <w:tcW w:w="2100" w:type="dxa"/>
            <w:shd w:val="clear" w:color="auto" w:fill="F4F4F2"/>
            <w:vAlign w:val="center"/>
          </w:tcPr>
          <w:p w:rsidR="004E65ED" w:rsidRPr="009612F9" w:rsidRDefault="00DA4129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Noto Sans" w:hAnsi="Noto Sans" w:cs="Noto Sans"/>
                <w:color w:val="000000"/>
                <w:sz w:val="16"/>
                <w:szCs w:val="16"/>
              </w:rPr>
              <w:t>27,658.8</w:t>
            </w:r>
          </w:p>
        </w:tc>
        <w:tc>
          <w:tcPr>
            <w:tcW w:w="1914" w:type="dxa"/>
            <w:shd w:val="clear" w:color="auto" w:fill="F4F4F2"/>
            <w:vAlign w:val="center"/>
          </w:tcPr>
          <w:p w:rsidR="004E65ED" w:rsidRPr="009612F9" w:rsidRDefault="00DA4129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Arial" w:hAnsi="Arial" w:cs="Arial"/>
                <w:b/>
                <w:color w:val="1E6E5C"/>
                <w:sz w:val="16"/>
                <w:szCs w:val="16"/>
              </w:rPr>
              <w:t>▲</w:t>
            </w:r>
            <w:r w:rsidRPr="009612F9">
              <w:rPr>
                <w:rFonts w:ascii="Noto Sans" w:hAnsi="Noto Sans" w:cs="Noto Sans"/>
                <w:b/>
                <w:color w:val="1E6E5C"/>
                <w:sz w:val="16"/>
                <w:szCs w:val="16"/>
              </w:rPr>
              <w:t xml:space="preserve"> +1.1 %</w:t>
            </w:r>
          </w:p>
        </w:tc>
        <w:tc>
          <w:tcPr>
            <w:tcW w:w="1914" w:type="dxa"/>
            <w:shd w:val="clear" w:color="auto" w:fill="F4F4F2"/>
            <w:vAlign w:val="center"/>
          </w:tcPr>
          <w:p w:rsidR="004E65ED" w:rsidRPr="009612F9" w:rsidRDefault="00DA4129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9612F9">
              <w:rPr>
                <w:rFonts w:ascii="Noto Sans" w:hAnsi="Noto Sans" w:cs="Noto Sans"/>
                <w:color w:val="000000"/>
                <w:sz w:val="16"/>
                <w:szCs w:val="16"/>
              </w:rPr>
              <w:t>7.3 %</w:t>
            </w:r>
          </w:p>
        </w:tc>
      </w:tr>
    </w:tbl>
    <w:p w:rsidR="004E65ED" w:rsidRPr="00152E28" w:rsidRDefault="00DA4129">
      <w:pPr>
        <w:spacing w:before="20"/>
        <w:rPr>
          <w:rFonts w:ascii="Noto Sans" w:hAnsi="Noto Sans" w:cs="Noto Sans"/>
        </w:rPr>
      </w:pPr>
      <w:r w:rsidRPr="00152E28">
        <w:rPr>
          <w:rFonts w:ascii="Noto Sans" w:hAnsi="Noto Sans" w:cs="Noto Sans"/>
          <w:i/>
          <w:color w:val="4C545B"/>
          <w:sz w:val="13"/>
        </w:rPr>
        <w:t>Cifras en millones de dólares (mdd). Fuente: INEGI, BCMM, Cuadro 1.</w:t>
      </w:r>
    </w:p>
    <w:p w:rsidR="007D4D3C" w:rsidRPr="007D4D3C" w:rsidRDefault="007D4D3C" w:rsidP="00152E28">
      <w:pPr>
        <w:spacing w:before="60" w:after="30"/>
        <w:jc w:val="both"/>
        <w:rPr>
          <w:rFonts w:ascii="Noto Sans" w:hAnsi="Noto Sans" w:cs="Noto Sans"/>
          <w:color w:val="000000"/>
          <w:sz w:val="2"/>
        </w:rPr>
      </w:pPr>
    </w:p>
    <w:p w:rsidR="00152E28" w:rsidRPr="00EE755E" w:rsidRDefault="007D4D3C" w:rsidP="00152E28">
      <w:pPr>
        <w:spacing w:before="60" w:after="30"/>
        <w:jc w:val="both"/>
        <w:rPr>
          <w:rFonts w:ascii="Noto Sans" w:hAnsi="Noto Sans" w:cs="Noto Sans"/>
          <w:color w:val="000000"/>
          <w:sz w:val="22"/>
        </w:rPr>
      </w:pPr>
      <w:r w:rsidRPr="007D4D3C">
        <w:rPr>
          <w:rFonts w:ascii="Noto Sans" w:hAnsi="Noto Sans" w:cs="Noto Sans"/>
          <w:color w:val="000000"/>
          <w:sz w:val="22"/>
        </w:rPr>
        <w:t>El crecimiento exportador se concentró en manufacturas no automotrices, mientras el avance de 1.1% en las importaciones de bienes de capital apunta a un menor dinamismo de la inversión productiva</w:t>
      </w:r>
      <w:r w:rsidR="00DA4129" w:rsidRPr="00EE755E">
        <w:rPr>
          <w:rFonts w:ascii="Noto Sans" w:hAnsi="Noto Sans" w:cs="Noto Sans"/>
          <w:color w:val="000000"/>
          <w:sz w:val="22"/>
        </w:rPr>
        <w:t>.</w:t>
      </w:r>
    </w:p>
    <w:p w:rsidR="007D4D3C" w:rsidRDefault="007D4D3C" w:rsidP="00152E28">
      <w:pPr>
        <w:spacing w:before="60" w:after="30"/>
        <w:jc w:val="both"/>
        <w:rPr>
          <w:rFonts w:ascii="Noto Sans" w:hAnsi="Noto Sans" w:cs="Noto Sans"/>
          <w:b/>
          <w:color w:val="10312B"/>
          <w:sz w:val="22"/>
        </w:rPr>
      </w:pPr>
    </w:p>
    <w:p w:rsidR="004E65ED" w:rsidRPr="00152E28" w:rsidRDefault="00DA4129" w:rsidP="00152E28">
      <w:pPr>
        <w:spacing w:before="60" w:after="30"/>
        <w:jc w:val="both"/>
        <w:rPr>
          <w:rFonts w:ascii="Noto Sans" w:hAnsi="Noto Sans" w:cs="Noto Sans"/>
        </w:rPr>
      </w:pPr>
      <w:r w:rsidRPr="00152E28">
        <w:rPr>
          <w:rFonts w:ascii="Noto Sans" w:hAnsi="Noto Sans" w:cs="Noto Sans"/>
          <w:b/>
          <w:color w:val="10312B"/>
          <w:sz w:val="22"/>
        </w:rPr>
        <w:lastRenderedPageBreak/>
        <w:t>Principales socios comerciales</w:t>
      </w:r>
    </w:p>
    <w:p w:rsidR="004E65ED" w:rsidRPr="00152E28" w:rsidRDefault="00DA4129">
      <w:pPr>
        <w:spacing w:after="60"/>
        <w:jc w:val="both"/>
        <w:rPr>
          <w:rFonts w:ascii="Noto Sans" w:hAnsi="Noto Sans" w:cs="Noto Sans"/>
        </w:rPr>
      </w:pPr>
      <w:r w:rsidRPr="00152E28">
        <w:rPr>
          <w:rFonts w:ascii="Noto Sans" w:hAnsi="Noto Sans" w:cs="Noto Sans"/>
          <w:b/>
          <w:i/>
          <w:color w:val="4C545B"/>
          <w:sz w:val="16"/>
        </w:rPr>
        <w:t xml:space="preserve">Nota de periodo: </w:t>
      </w:r>
      <w:r w:rsidRPr="00152E28">
        <w:rPr>
          <w:rFonts w:ascii="Noto Sans" w:hAnsi="Noto Sans" w:cs="Noto Sans"/>
          <w:i/>
          <w:color w:val="4C545B"/>
          <w:sz w:val="16"/>
        </w:rPr>
        <w:t>INEGI/Banco de México aún no publican el desglose por país para junio de 2026. Esta sección usa el último periodo comparable disponible: enero-mayo de 2026 vs. enero-mayo de 2025</w:t>
      </w:r>
      <w:r w:rsidR="00776F8B">
        <w:rPr>
          <w:rFonts w:ascii="Noto Sans" w:hAnsi="Noto Sans" w:cs="Noto Sans"/>
          <w:i/>
          <w:color w:val="4C545B"/>
          <w:sz w:val="16"/>
        </w:rPr>
        <w:t>.</w:t>
      </w:r>
    </w:p>
    <w:p w:rsidR="004E65ED" w:rsidRPr="00152E28" w:rsidRDefault="00DA4129">
      <w:pPr>
        <w:spacing w:before="60" w:after="20"/>
        <w:jc w:val="center"/>
        <w:rPr>
          <w:rFonts w:ascii="Noto Sans" w:hAnsi="Noto Sans" w:cs="Noto Sans"/>
        </w:rPr>
      </w:pPr>
      <w:r w:rsidRPr="00152E28">
        <w:rPr>
          <w:rFonts w:ascii="Noto Sans" w:hAnsi="Noto Sans" w:cs="Noto Sans"/>
          <w:b/>
          <w:color w:val="10312B"/>
          <w:sz w:val="18"/>
        </w:rPr>
        <w:t>Principales destinos de exportación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00"/>
        <w:gridCol w:w="2076"/>
        <w:gridCol w:w="2076"/>
        <w:gridCol w:w="2076"/>
      </w:tblGrid>
      <w:tr w:rsidR="004E65ED" w:rsidRPr="00152E28">
        <w:tc>
          <w:tcPr>
            <w:tcW w:w="2600" w:type="dxa"/>
            <w:shd w:val="clear" w:color="auto" w:fill="235B4C"/>
            <w:vAlign w:val="center"/>
          </w:tcPr>
          <w:p w:rsidR="004E65ED" w:rsidRPr="00152E28" w:rsidRDefault="00DA4129">
            <w:pPr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FFFFFF"/>
                <w:sz w:val="15"/>
              </w:rPr>
              <w:t>País</w:t>
            </w:r>
          </w:p>
        </w:tc>
        <w:tc>
          <w:tcPr>
            <w:tcW w:w="2076" w:type="dxa"/>
            <w:shd w:val="clear" w:color="auto" w:fill="235B4C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FFFFFF"/>
                <w:sz w:val="15"/>
              </w:rPr>
              <w:t>Participación 2025</w:t>
            </w:r>
          </w:p>
        </w:tc>
        <w:tc>
          <w:tcPr>
            <w:tcW w:w="2076" w:type="dxa"/>
            <w:shd w:val="clear" w:color="auto" w:fill="235B4C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FFFFFF"/>
                <w:sz w:val="15"/>
              </w:rPr>
              <w:t>Participación 2026</w:t>
            </w:r>
          </w:p>
        </w:tc>
        <w:tc>
          <w:tcPr>
            <w:tcW w:w="2076" w:type="dxa"/>
            <w:shd w:val="clear" w:color="auto" w:fill="235B4C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FFFFFF"/>
                <w:sz w:val="15"/>
              </w:rPr>
              <w:t>Cambio</w:t>
            </w:r>
          </w:p>
        </w:tc>
      </w:tr>
      <w:tr w:rsidR="004E65ED" w:rsidRPr="00152E28">
        <w:tc>
          <w:tcPr>
            <w:tcW w:w="2600" w:type="dxa"/>
            <w:shd w:val="clear" w:color="auto" w:fill="F4F4F2"/>
            <w:vAlign w:val="center"/>
          </w:tcPr>
          <w:p w:rsidR="004E65ED" w:rsidRPr="00152E28" w:rsidRDefault="00DA4129">
            <w:pPr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10312B"/>
                <w:sz w:val="15"/>
              </w:rPr>
              <w:t>Estados Unidos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color w:val="000000"/>
                <w:sz w:val="15"/>
              </w:rPr>
              <w:t>83.3 %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10312B"/>
                <w:sz w:val="15"/>
              </w:rPr>
              <w:t>83.1 %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C00000"/>
                <w:sz w:val="15"/>
              </w:rPr>
              <w:t>-0.2 pp</w:t>
            </w:r>
          </w:p>
        </w:tc>
      </w:tr>
      <w:tr w:rsidR="004E65ED" w:rsidRPr="00152E28">
        <w:tc>
          <w:tcPr>
            <w:tcW w:w="2600" w:type="dxa"/>
            <w:shd w:val="clear" w:color="auto" w:fill="F4F4F2"/>
            <w:vAlign w:val="center"/>
          </w:tcPr>
          <w:p w:rsidR="004E65ED" w:rsidRPr="00152E28" w:rsidRDefault="00DA4129">
            <w:pPr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color w:val="10312B"/>
                <w:sz w:val="15"/>
              </w:rPr>
              <w:t>Canadá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color w:val="000000"/>
                <w:sz w:val="15"/>
              </w:rPr>
              <w:t>3.2 %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10312B"/>
                <w:sz w:val="15"/>
              </w:rPr>
              <w:t>3.1 %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C00000"/>
                <w:sz w:val="15"/>
              </w:rPr>
              <w:t>-0.0 pp</w:t>
            </w:r>
          </w:p>
        </w:tc>
      </w:tr>
      <w:tr w:rsidR="004E65ED" w:rsidRPr="00152E28">
        <w:tc>
          <w:tcPr>
            <w:tcW w:w="2600" w:type="dxa"/>
            <w:shd w:val="clear" w:color="auto" w:fill="F4F4F2"/>
            <w:vAlign w:val="center"/>
          </w:tcPr>
          <w:p w:rsidR="004E65ED" w:rsidRPr="00152E28" w:rsidRDefault="00DA4129">
            <w:pPr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color w:val="10312B"/>
                <w:sz w:val="15"/>
              </w:rPr>
              <w:t>China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color w:val="000000"/>
                <w:sz w:val="15"/>
              </w:rPr>
              <w:t>1.5 %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10312B"/>
                <w:sz w:val="15"/>
              </w:rPr>
              <w:t>2.0 %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1E6E5C"/>
                <w:sz w:val="15"/>
              </w:rPr>
              <w:t>+0.5 pp</w:t>
            </w:r>
          </w:p>
        </w:tc>
      </w:tr>
      <w:tr w:rsidR="004E65ED" w:rsidRPr="00152E28">
        <w:tc>
          <w:tcPr>
            <w:tcW w:w="2600" w:type="dxa"/>
            <w:shd w:val="clear" w:color="auto" w:fill="F4F4F2"/>
            <w:vAlign w:val="center"/>
          </w:tcPr>
          <w:p w:rsidR="004E65ED" w:rsidRPr="00152E28" w:rsidRDefault="00DA4129">
            <w:pPr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color w:val="10312B"/>
                <w:sz w:val="15"/>
              </w:rPr>
              <w:t>Alemania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color w:val="000000"/>
                <w:sz w:val="15"/>
              </w:rPr>
              <w:t>1.0 %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10312B"/>
                <w:sz w:val="15"/>
              </w:rPr>
              <w:t>1.2 %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1E6E5C"/>
                <w:sz w:val="15"/>
              </w:rPr>
              <w:t>+0.2 pp</w:t>
            </w:r>
          </w:p>
        </w:tc>
      </w:tr>
      <w:tr w:rsidR="004E65ED" w:rsidRPr="00152E28">
        <w:tc>
          <w:tcPr>
            <w:tcW w:w="2600" w:type="dxa"/>
            <w:shd w:val="clear" w:color="auto" w:fill="F4F4F2"/>
            <w:vAlign w:val="center"/>
          </w:tcPr>
          <w:p w:rsidR="004E65ED" w:rsidRPr="00152E28" w:rsidRDefault="00DA4129">
            <w:pPr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color w:val="10312B"/>
                <w:sz w:val="15"/>
              </w:rPr>
              <w:t>España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color w:val="000000"/>
                <w:sz w:val="15"/>
              </w:rPr>
              <w:t>0.8 %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10312B"/>
                <w:sz w:val="15"/>
              </w:rPr>
              <w:t>0.8 %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1E6E5C"/>
                <w:sz w:val="15"/>
              </w:rPr>
              <w:t>+0.0 pp</w:t>
            </w:r>
          </w:p>
        </w:tc>
      </w:tr>
    </w:tbl>
    <w:p w:rsidR="004E65ED" w:rsidRPr="00152E28" w:rsidRDefault="00DA4129">
      <w:pPr>
        <w:spacing w:before="20" w:after="100"/>
        <w:rPr>
          <w:rFonts w:ascii="Noto Sans" w:hAnsi="Noto Sans" w:cs="Noto Sans"/>
        </w:rPr>
      </w:pPr>
      <w:r w:rsidRPr="00152E28">
        <w:rPr>
          <w:rFonts w:ascii="Noto Sans" w:hAnsi="Noto Sans" w:cs="Noto Sans"/>
          <w:i/>
          <w:color w:val="4C545B"/>
          <w:sz w:val="13"/>
        </w:rPr>
        <w:t>Ene-may, % del total exportado. Fuente: Banco de México, SIE, cuadro CA7 (SAT, SE, Banxico, INEGI).</w:t>
      </w:r>
    </w:p>
    <w:p w:rsidR="004E65ED" w:rsidRPr="00152E28" w:rsidRDefault="00DA4129">
      <w:pPr>
        <w:spacing w:before="60" w:after="20"/>
        <w:jc w:val="center"/>
        <w:rPr>
          <w:rFonts w:ascii="Noto Sans" w:hAnsi="Noto Sans" w:cs="Noto Sans"/>
        </w:rPr>
      </w:pPr>
      <w:r w:rsidRPr="00152E28">
        <w:rPr>
          <w:rFonts w:ascii="Noto Sans" w:hAnsi="Noto Sans" w:cs="Noto Sans"/>
          <w:b/>
          <w:color w:val="10312B"/>
          <w:sz w:val="18"/>
        </w:rPr>
        <w:t>Principales orígenes de importación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00"/>
        <w:gridCol w:w="2076"/>
        <w:gridCol w:w="2076"/>
        <w:gridCol w:w="2076"/>
      </w:tblGrid>
      <w:tr w:rsidR="004E65ED" w:rsidRPr="00152E28">
        <w:tc>
          <w:tcPr>
            <w:tcW w:w="2600" w:type="dxa"/>
            <w:shd w:val="clear" w:color="auto" w:fill="235B4C"/>
            <w:vAlign w:val="center"/>
          </w:tcPr>
          <w:p w:rsidR="004E65ED" w:rsidRPr="00152E28" w:rsidRDefault="00DA4129">
            <w:pPr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FFFFFF"/>
                <w:sz w:val="15"/>
              </w:rPr>
              <w:t>País</w:t>
            </w:r>
          </w:p>
        </w:tc>
        <w:tc>
          <w:tcPr>
            <w:tcW w:w="2076" w:type="dxa"/>
            <w:shd w:val="clear" w:color="auto" w:fill="235B4C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FFFFFF"/>
                <w:sz w:val="15"/>
              </w:rPr>
              <w:t>Participación 2025</w:t>
            </w:r>
          </w:p>
        </w:tc>
        <w:tc>
          <w:tcPr>
            <w:tcW w:w="2076" w:type="dxa"/>
            <w:shd w:val="clear" w:color="auto" w:fill="235B4C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FFFFFF"/>
                <w:sz w:val="15"/>
              </w:rPr>
              <w:t>Participación 2026</w:t>
            </w:r>
          </w:p>
        </w:tc>
        <w:tc>
          <w:tcPr>
            <w:tcW w:w="2076" w:type="dxa"/>
            <w:shd w:val="clear" w:color="auto" w:fill="235B4C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FFFFFF"/>
                <w:sz w:val="15"/>
              </w:rPr>
              <w:t>Cambio</w:t>
            </w:r>
          </w:p>
        </w:tc>
      </w:tr>
      <w:tr w:rsidR="004E65ED" w:rsidRPr="00152E28">
        <w:tc>
          <w:tcPr>
            <w:tcW w:w="2600" w:type="dxa"/>
            <w:shd w:val="clear" w:color="auto" w:fill="F4F4F2"/>
            <w:vAlign w:val="center"/>
          </w:tcPr>
          <w:p w:rsidR="004E65ED" w:rsidRPr="00152E28" w:rsidRDefault="00DA4129">
            <w:pPr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10312B"/>
                <w:sz w:val="15"/>
              </w:rPr>
              <w:t>Estados Unidos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color w:val="000000"/>
                <w:sz w:val="15"/>
              </w:rPr>
              <w:t>39.9 %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10312B"/>
                <w:sz w:val="15"/>
              </w:rPr>
              <w:t>34.3 %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C00000"/>
                <w:sz w:val="15"/>
              </w:rPr>
              <w:t>-5.6 pp</w:t>
            </w:r>
          </w:p>
        </w:tc>
      </w:tr>
      <w:tr w:rsidR="004E65ED" w:rsidRPr="00152E28">
        <w:tc>
          <w:tcPr>
            <w:tcW w:w="2600" w:type="dxa"/>
            <w:shd w:val="clear" w:color="auto" w:fill="F4F4F2"/>
            <w:vAlign w:val="center"/>
          </w:tcPr>
          <w:p w:rsidR="004E65ED" w:rsidRPr="00152E28" w:rsidRDefault="00DA4129">
            <w:pPr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color w:val="10312B"/>
                <w:sz w:val="15"/>
              </w:rPr>
              <w:t>China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color w:val="000000"/>
                <w:sz w:val="15"/>
              </w:rPr>
              <w:t>19.9 %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10312B"/>
                <w:sz w:val="15"/>
              </w:rPr>
              <w:t>17.4 %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C00000"/>
                <w:sz w:val="15"/>
              </w:rPr>
              <w:t>-2.5 pp</w:t>
            </w:r>
          </w:p>
        </w:tc>
      </w:tr>
      <w:tr w:rsidR="004E65ED" w:rsidRPr="00152E28">
        <w:tc>
          <w:tcPr>
            <w:tcW w:w="2600" w:type="dxa"/>
            <w:shd w:val="clear" w:color="auto" w:fill="F4F4F2"/>
            <w:vAlign w:val="center"/>
          </w:tcPr>
          <w:p w:rsidR="004E65ED" w:rsidRPr="00152E28" w:rsidRDefault="00DA4129">
            <w:pPr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color w:val="10312B"/>
                <w:sz w:val="15"/>
              </w:rPr>
              <w:t>Taiwán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color w:val="000000"/>
                <w:sz w:val="15"/>
              </w:rPr>
              <w:t>4.2 %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10312B"/>
                <w:sz w:val="15"/>
              </w:rPr>
              <w:t>11.5 %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1E6E5C"/>
                <w:sz w:val="15"/>
              </w:rPr>
              <w:t>+7.4 pp</w:t>
            </w:r>
          </w:p>
        </w:tc>
      </w:tr>
      <w:tr w:rsidR="004E65ED" w:rsidRPr="00152E28">
        <w:tc>
          <w:tcPr>
            <w:tcW w:w="2600" w:type="dxa"/>
            <w:shd w:val="clear" w:color="auto" w:fill="F4F4F2"/>
            <w:vAlign w:val="center"/>
          </w:tcPr>
          <w:p w:rsidR="004E65ED" w:rsidRPr="00152E28" w:rsidRDefault="00DA4129">
            <w:pPr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color w:val="10312B"/>
                <w:sz w:val="15"/>
              </w:rPr>
              <w:t>Malasia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color w:val="000000"/>
                <w:sz w:val="15"/>
              </w:rPr>
              <w:t>2.4 %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10312B"/>
                <w:sz w:val="15"/>
              </w:rPr>
              <w:t>2.7 %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1E6E5C"/>
                <w:sz w:val="15"/>
              </w:rPr>
              <w:t>+0.2 pp</w:t>
            </w:r>
          </w:p>
        </w:tc>
      </w:tr>
      <w:tr w:rsidR="004E65ED" w:rsidRPr="00152E28">
        <w:tc>
          <w:tcPr>
            <w:tcW w:w="2600" w:type="dxa"/>
            <w:shd w:val="clear" w:color="auto" w:fill="F4F4F2"/>
            <w:vAlign w:val="center"/>
          </w:tcPr>
          <w:p w:rsidR="004E65ED" w:rsidRPr="00152E28" w:rsidRDefault="00DA4129">
            <w:pPr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color w:val="10312B"/>
                <w:sz w:val="15"/>
              </w:rPr>
              <w:t>Alemania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color w:val="000000"/>
                <w:sz w:val="15"/>
              </w:rPr>
              <w:t>3.1 %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10312B"/>
                <w:sz w:val="15"/>
              </w:rPr>
              <w:t>2.7 %</w:t>
            </w:r>
          </w:p>
        </w:tc>
        <w:tc>
          <w:tcPr>
            <w:tcW w:w="2076" w:type="dxa"/>
            <w:shd w:val="clear" w:color="auto" w:fill="F4F4F2"/>
            <w:vAlign w:val="center"/>
          </w:tcPr>
          <w:p w:rsidR="004E65ED" w:rsidRPr="00152E28" w:rsidRDefault="00DA4129">
            <w:pPr>
              <w:jc w:val="center"/>
              <w:rPr>
                <w:rFonts w:ascii="Noto Sans" w:hAnsi="Noto Sans" w:cs="Noto Sans"/>
              </w:rPr>
            </w:pPr>
            <w:r w:rsidRPr="00152E28">
              <w:rPr>
                <w:rFonts w:ascii="Noto Sans" w:hAnsi="Noto Sans" w:cs="Noto Sans"/>
                <w:b/>
                <w:color w:val="C00000"/>
                <w:sz w:val="15"/>
              </w:rPr>
              <w:t>-0.4 pp</w:t>
            </w:r>
          </w:p>
        </w:tc>
      </w:tr>
    </w:tbl>
    <w:p w:rsidR="004E65ED" w:rsidRPr="00152E28" w:rsidRDefault="00DA4129">
      <w:pPr>
        <w:spacing w:before="20"/>
        <w:rPr>
          <w:rFonts w:ascii="Noto Sans" w:hAnsi="Noto Sans" w:cs="Noto Sans"/>
        </w:rPr>
      </w:pPr>
      <w:r w:rsidRPr="00152E28">
        <w:rPr>
          <w:rFonts w:ascii="Noto Sans" w:hAnsi="Noto Sans" w:cs="Noto Sans"/>
          <w:i/>
          <w:color w:val="4C545B"/>
          <w:sz w:val="13"/>
        </w:rPr>
        <w:t>Ene-may, % del total importado. Fuente: Banco de México, SIE, cuadro CA6 (SAT, SE, Banxico, INEGI).</w:t>
      </w:r>
    </w:p>
    <w:p w:rsidR="00776F8B" w:rsidRPr="00776F8B" w:rsidRDefault="00776F8B" w:rsidP="00776F8B">
      <w:pPr>
        <w:pStyle w:val="Prrafodelista"/>
        <w:numPr>
          <w:ilvl w:val="0"/>
          <w:numId w:val="37"/>
        </w:numPr>
        <w:spacing w:before="60" w:after="30"/>
        <w:ind w:left="284"/>
        <w:jc w:val="both"/>
        <w:rPr>
          <w:rFonts w:ascii="Noto Sans" w:hAnsi="Noto Sans" w:cs="Noto Sans"/>
          <w:color w:val="000000"/>
          <w:sz w:val="22"/>
        </w:rPr>
      </w:pPr>
      <w:r w:rsidRPr="00776F8B">
        <w:rPr>
          <w:rFonts w:ascii="Noto Sans" w:hAnsi="Noto Sans" w:cs="Noto Sans"/>
          <w:b/>
          <w:color w:val="000000"/>
          <w:sz w:val="22"/>
        </w:rPr>
        <w:t>Estados Unidos</w:t>
      </w:r>
      <w:r w:rsidRPr="00776F8B">
        <w:rPr>
          <w:rFonts w:ascii="Noto Sans" w:hAnsi="Noto Sans" w:cs="Noto Sans"/>
          <w:color w:val="000000"/>
          <w:sz w:val="22"/>
        </w:rPr>
        <w:t xml:space="preserve"> mantiene su predominio como destino de las exportaciones mexicanas, pero perdió participación como proveedor.</w:t>
      </w:r>
    </w:p>
    <w:p w:rsidR="00776F8B" w:rsidRPr="00C91D73" w:rsidRDefault="00776F8B" w:rsidP="00776F8B">
      <w:pPr>
        <w:pStyle w:val="Prrafodelista"/>
        <w:numPr>
          <w:ilvl w:val="0"/>
          <w:numId w:val="37"/>
        </w:numPr>
        <w:spacing w:before="60" w:after="30"/>
        <w:ind w:left="284"/>
        <w:jc w:val="both"/>
        <w:rPr>
          <w:rFonts w:ascii="Noto Sans" w:hAnsi="Noto Sans" w:cs="Noto Sans"/>
        </w:rPr>
      </w:pPr>
      <w:r w:rsidRPr="00776F8B">
        <w:rPr>
          <w:rFonts w:ascii="Noto Sans" w:hAnsi="Noto Sans" w:cs="Noto Sans"/>
          <w:b/>
          <w:color w:val="000000"/>
          <w:sz w:val="22"/>
        </w:rPr>
        <w:t>Taiwán</w:t>
      </w:r>
      <w:r w:rsidRPr="00776F8B">
        <w:rPr>
          <w:rFonts w:ascii="Noto Sans" w:hAnsi="Noto Sans" w:cs="Noto Sans"/>
          <w:color w:val="000000"/>
          <w:sz w:val="22"/>
        </w:rPr>
        <w:t xml:space="preserve"> registró el mayor aumento de participación entre los principales orígenes de importación</w:t>
      </w:r>
    </w:p>
    <w:p w:rsidR="00C91D73" w:rsidRPr="00C91D73" w:rsidRDefault="00C91D73" w:rsidP="00C91D73">
      <w:pPr>
        <w:pStyle w:val="Prrafodelista"/>
        <w:spacing w:before="60" w:after="30"/>
        <w:ind w:left="284"/>
        <w:jc w:val="both"/>
        <w:rPr>
          <w:rFonts w:ascii="Noto Sans" w:hAnsi="Noto Sans" w:cs="Noto Sans"/>
        </w:rPr>
      </w:pPr>
    </w:p>
    <w:p w:rsidR="00C91D73" w:rsidRPr="00C91D73" w:rsidRDefault="00C91D73" w:rsidP="00C91D73">
      <w:pPr>
        <w:pStyle w:val="Prrafodelista"/>
        <w:spacing w:before="30" w:after="12"/>
        <w:jc w:val="center"/>
        <w:rPr>
          <w:rFonts w:ascii="Noto Sans" w:hAnsi="Noto Sans" w:cs="Noto Sans"/>
        </w:rPr>
      </w:pPr>
      <w:r>
        <w:rPr>
          <w:rFonts w:ascii="Noto Sans" w:hAnsi="Noto Sans" w:cs="Noto Sans"/>
          <w:b/>
          <w:color w:val="10312B"/>
          <w:sz w:val="22"/>
        </w:rPr>
        <w:t>Participación de los principales socios comerciales de México, ene-may 2025 vs 2026</w:t>
      </w:r>
    </w:p>
    <w:p w:rsidR="004E65ED" w:rsidRPr="00776F8B" w:rsidRDefault="00DA4129" w:rsidP="00776F8B">
      <w:pPr>
        <w:spacing w:before="60" w:after="30"/>
        <w:ind w:left="360"/>
        <w:jc w:val="both"/>
        <w:rPr>
          <w:rFonts w:ascii="Noto Sans" w:hAnsi="Noto Sans" w:cs="Noto Sans"/>
        </w:rPr>
      </w:pPr>
      <w:r w:rsidRPr="00152E28">
        <w:rPr>
          <w:noProof/>
        </w:rPr>
        <w:drawing>
          <wp:inline distT="0" distB="0" distL="0" distR="0">
            <wp:extent cx="5495630" cy="206084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socios.png"/>
                    <pic:cNvPicPr/>
                  </pic:nvPicPr>
                  <pic:blipFill rotWithShape="1">
                    <a:blip r:embed="rId9"/>
                    <a:srcRect t="10767"/>
                    <a:stretch/>
                  </pic:blipFill>
                  <pic:spPr bwMode="auto">
                    <a:xfrm>
                      <a:off x="0" y="0"/>
                      <a:ext cx="5507675" cy="2065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65ED" w:rsidRDefault="00DA4129">
      <w:pPr>
        <w:spacing w:before="30" w:after="10"/>
        <w:jc w:val="both"/>
        <w:rPr>
          <w:rFonts w:ascii="Noto Sans" w:hAnsi="Noto Sans" w:cs="Noto Sans"/>
          <w:color w:val="4C545B"/>
          <w:sz w:val="16"/>
          <w:szCs w:val="16"/>
        </w:rPr>
      </w:pPr>
      <w:r w:rsidRPr="00A0058F">
        <w:rPr>
          <w:rFonts w:ascii="Noto Sans" w:hAnsi="Noto Sans" w:cs="Noto Sans"/>
          <w:b/>
          <w:color w:val="4C545B"/>
          <w:sz w:val="16"/>
          <w:szCs w:val="16"/>
        </w:rPr>
        <w:t xml:space="preserve">Nota: </w:t>
      </w:r>
      <w:r w:rsidR="00AC6FD8" w:rsidRPr="00AC6FD8">
        <w:rPr>
          <w:rFonts w:ascii="Noto Sans" w:hAnsi="Noto Sans" w:cs="Noto Sans"/>
          <w:color w:val="4C545B"/>
          <w:sz w:val="16"/>
          <w:szCs w:val="16"/>
        </w:rPr>
        <w:t>cifras acumuladas enero-junio de 2026 vs. igual periodo de 2025. El desglose por país corresponde a enero-mayo, último periodo oficial disponible</w:t>
      </w:r>
      <w:r w:rsidR="00AC6FD8">
        <w:rPr>
          <w:rFonts w:ascii="Noto Sans" w:hAnsi="Noto Sans" w:cs="Noto Sans"/>
          <w:color w:val="4C545B"/>
          <w:sz w:val="16"/>
          <w:szCs w:val="16"/>
        </w:rPr>
        <w:t>.</w:t>
      </w:r>
    </w:p>
    <w:p w:rsidR="00A0058F" w:rsidRPr="00A0058F" w:rsidRDefault="00A0058F">
      <w:pPr>
        <w:spacing w:before="30" w:after="10"/>
        <w:jc w:val="both"/>
        <w:rPr>
          <w:rFonts w:ascii="Noto Sans" w:hAnsi="Noto Sans" w:cs="Noto Sans"/>
          <w:sz w:val="16"/>
          <w:szCs w:val="16"/>
        </w:rPr>
      </w:pPr>
    </w:p>
    <w:p w:rsidR="004E65ED" w:rsidRPr="00A0058F" w:rsidRDefault="00DA4129">
      <w:pPr>
        <w:spacing w:before="20"/>
        <w:rPr>
          <w:rFonts w:ascii="Noto Sans" w:hAnsi="Noto Sans" w:cs="Noto Sans"/>
          <w:sz w:val="16"/>
          <w:szCs w:val="16"/>
        </w:rPr>
      </w:pPr>
      <w:r w:rsidRPr="00AC6FD8">
        <w:rPr>
          <w:rFonts w:ascii="Noto Sans" w:hAnsi="Noto Sans" w:cs="Noto Sans"/>
          <w:b/>
          <w:color w:val="4C545B"/>
          <w:sz w:val="16"/>
          <w:szCs w:val="16"/>
        </w:rPr>
        <w:t>Fuente:</w:t>
      </w:r>
      <w:r w:rsidRPr="00A0058F">
        <w:rPr>
          <w:rFonts w:ascii="Noto Sans" w:hAnsi="Noto Sans" w:cs="Noto Sans"/>
          <w:color w:val="4C545B"/>
          <w:sz w:val="16"/>
          <w:szCs w:val="16"/>
        </w:rPr>
        <w:t xml:space="preserve"> </w:t>
      </w:r>
      <w:r w:rsidR="00AC6FD8" w:rsidRPr="00AC6FD8">
        <w:rPr>
          <w:rFonts w:ascii="Noto Sans" w:hAnsi="Noto Sans" w:cs="Noto Sans"/>
          <w:color w:val="4C545B"/>
          <w:sz w:val="16"/>
          <w:szCs w:val="16"/>
        </w:rPr>
        <w:t>INEGI, Balanza Comercial de Mercancías de México (BCMM), Boletín de Indicador 436/26, 27 de julio de 2026; Banco de México, SIE, cuadros CA6 y CA7</w:t>
      </w:r>
      <w:r w:rsidR="00AC6FD8">
        <w:rPr>
          <w:rFonts w:ascii="Noto Sans" w:hAnsi="Noto Sans" w:cs="Noto Sans"/>
          <w:color w:val="4C545B"/>
          <w:sz w:val="16"/>
          <w:szCs w:val="16"/>
        </w:rPr>
        <w:t>.</w:t>
      </w:r>
      <w:bookmarkStart w:id="0" w:name="_GoBack"/>
      <w:bookmarkEnd w:id="0"/>
    </w:p>
    <w:sectPr w:rsidR="004E65ED" w:rsidRPr="00A0058F">
      <w:headerReference w:type="default" r:id="rId10"/>
      <w:footerReference w:type="even" r:id="rId11"/>
      <w:footerReference w:type="default" r:id="rId12"/>
      <w:pgSz w:w="12240" w:h="15840"/>
      <w:pgMar w:top="850" w:right="1701" w:bottom="550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4C63" w:rsidRDefault="00EC4C63" w:rsidP="00E32E74">
      <w:r>
        <w:separator/>
      </w:r>
    </w:p>
  </w:endnote>
  <w:endnote w:type="continuationSeparator" w:id="0">
    <w:p w:rsidR="00EC4C63" w:rsidRDefault="00EC4C63" w:rsidP="00E32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">
    <w:altName w:val="Calibri"/>
    <w:panose1 w:val="020B0502040504020204"/>
    <w:charset w:val="00"/>
    <w:family w:val="swiss"/>
    <w:pitch w:val="variable"/>
    <w:sig w:usb0="E00882FF" w:usb1="400078FF" w:usb2="08000029" w:usb3="00000000" w:csb0="0000019F" w:csb1="00000000"/>
  </w:font>
  <w:font w:name="Montserrat Ligh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Univers (W1)">
    <w:altName w:val="Arial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144527516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8544E1" w:rsidRDefault="008544E1" w:rsidP="00DA379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CE633D"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:rsidR="008544E1" w:rsidRDefault="008544E1" w:rsidP="008544E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D60BF7" w:rsidP="008544E1">
    <w:pPr>
      <w:ind w:right="360"/>
    </w:pPr>
    <w:r>
      <w:rPr>
        <w:noProof/>
        <w:color w:val="000000"/>
      </w:rPr>
      <w:drawing>
        <wp:anchor distT="0" distB="0" distL="114300" distR="114300" simplePos="0" relativeHeight="251660288" behindDoc="1" locked="0" layoutInCell="1" allowOverlap="1" wp14:anchorId="1A7D8A66" wp14:editId="5D3339A7">
          <wp:simplePos x="0" y="0"/>
          <wp:positionH relativeFrom="page">
            <wp:posOffset>-121920</wp:posOffset>
          </wp:positionH>
          <wp:positionV relativeFrom="paragraph">
            <wp:posOffset>-45085</wp:posOffset>
          </wp:positionV>
          <wp:extent cx="7894873" cy="1293628"/>
          <wp:effectExtent l="0" t="0" r="5080" b="1905"/>
          <wp:wrapNone/>
          <wp:docPr id="441815502" name="Imagen 1" descr="Imagen que contiene Aplicación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7835576" name="Imagen 1" descr="Imagen que contiene Aplicación  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39"/>
                  <a:stretch>
                    <a:fillRect/>
                  </a:stretch>
                </pic:blipFill>
                <pic:spPr bwMode="auto">
                  <a:xfrm>
                    <a:off x="0" y="0"/>
                    <a:ext cx="7894873" cy="129362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Pr="00E7262E" w:rsidRDefault="00DB54A2" w:rsidP="00A27EAB">
    <w:pPr>
      <w:jc w:val="right"/>
    </w:pPr>
  </w:p>
  <w:p w:rsidR="00B62B90" w:rsidRDefault="00B62B90" w:rsidP="00E32E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4C63" w:rsidRDefault="00EC4C63" w:rsidP="00E32E74">
      <w:r>
        <w:separator/>
      </w:r>
    </w:p>
  </w:footnote>
  <w:footnote w:type="continuationSeparator" w:id="0">
    <w:p w:rsidR="00EC4C63" w:rsidRDefault="00EC4C63" w:rsidP="00E32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31614" w:rsidRDefault="00631614" w:rsidP="00631614">
    <w:pPr>
      <w:ind w:left="-426"/>
      <w:rPr>
        <w:rFonts w:ascii="Noto Sans" w:hAnsi="Noto Sans"/>
        <w:b/>
        <w:sz w:val="22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1251FA6" wp14:editId="283BD595">
          <wp:simplePos x="0" y="0"/>
          <wp:positionH relativeFrom="page">
            <wp:posOffset>-12700</wp:posOffset>
          </wp:positionH>
          <wp:positionV relativeFrom="paragraph">
            <wp:posOffset>-534694</wp:posOffset>
          </wp:positionV>
          <wp:extent cx="7753939" cy="1257300"/>
          <wp:effectExtent l="0" t="0" r="6350" b="0"/>
          <wp:wrapNone/>
          <wp:docPr id="949743675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16596"/>
                  <a:stretch>
                    <a:fillRect/>
                  </a:stretch>
                </pic:blipFill>
                <pic:spPr>
                  <a:xfrm>
                    <a:off x="0" y="0"/>
                    <a:ext cx="7753939" cy="1257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631614" w:rsidRDefault="00631614" w:rsidP="00631614">
    <w:pPr>
      <w:ind w:left="-426"/>
      <w:rPr>
        <w:rFonts w:ascii="Noto Sans" w:hAnsi="Noto Sans"/>
        <w:b/>
        <w:sz w:val="22"/>
      </w:rPr>
    </w:pPr>
  </w:p>
  <w:p w:rsidR="00631614" w:rsidRDefault="00631614" w:rsidP="00631614">
    <w:pPr>
      <w:ind w:left="-426"/>
      <w:rPr>
        <w:rFonts w:ascii="Noto Sans" w:hAnsi="Noto Sans"/>
        <w:b/>
        <w:sz w:val="22"/>
      </w:rPr>
    </w:pPr>
  </w:p>
  <w:p w:rsidR="00F859CD" w:rsidRDefault="00631614" w:rsidP="00631614">
    <w:pPr>
      <w:ind w:left="-426"/>
    </w:pPr>
    <w:r>
      <w:rPr>
        <w:rFonts w:ascii="Noto Sans" w:hAnsi="Noto Sans"/>
        <w:b/>
        <w:sz w:val="22"/>
      </w:rPr>
      <w:t>Subsecretaría de Industria y Comercio</w:t>
    </w:r>
  </w:p>
  <w:p w:rsidR="009966CB" w:rsidRPr="004A1AF8" w:rsidRDefault="009966CB" w:rsidP="004A1AF8">
    <w:pPr>
      <w:ind w:left="-426"/>
      <w:rPr>
        <w:rFonts w:ascii="Calibri" w:hAnsi="Calibri" w:cs="Calibri"/>
        <w:b/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36F2A"/>
    <w:multiLevelType w:val="hybridMultilevel"/>
    <w:tmpl w:val="E26A873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66058"/>
    <w:multiLevelType w:val="multilevel"/>
    <w:tmpl w:val="CF0E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00E73"/>
    <w:multiLevelType w:val="multilevel"/>
    <w:tmpl w:val="F8E6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C74F6"/>
    <w:multiLevelType w:val="hybridMultilevel"/>
    <w:tmpl w:val="BD24C636"/>
    <w:lvl w:ilvl="0" w:tplc="040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09B5062C"/>
    <w:multiLevelType w:val="multilevel"/>
    <w:tmpl w:val="E0D4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B75AF"/>
    <w:multiLevelType w:val="multilevel"/>
    <w:tmpl w:val="F990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A051B"/>
    <w:multiLevelType w:val="multilevel"/>
    <w:tmpl w:val="F70C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26045"/>
    <w:multiLevelType w:val="hybridMultilevel"/>
    <w:tmpl w:val="2886F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4B1544"/>
    <w:multiLevelType w:val="multilevel"/>
    <w:tmpl w:val="1DC4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E7BD5"/>
    <w:multiLevelType w:val="multilevel"/>
    <w:tmpl w:val="E21E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70303"/>
    <w:multiLevelType w:val="hybridMultilevel"/>
    <w:tmpl w:val="77764E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613076"/>
    <w:multiLevelType w:val="multilevel"/>
    <w:tmpl w:val="DC6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37F62"/>
    <w:multiLevelType w:val="hybridMultilevel"/>
    <w:tmpl w:val="491E8574"/>
    <w:lvl w:ilvl="0" w:tplc="4736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D72D51"/>
    <w:multiLevelType w:val="hybridMultilevel"/>
    <w:tmpl w:val="B27E3374"/>
    <w:lvl w:ilvl="0" w:tplc="3A18FC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7E7B97"/>
    <w:multiLevelType w:val="hybridMultilevel"/>
    <w:tmpl w:val="2A4A9C34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0F28E7"/>
    <w:multiLevelType w:val="multilevel"/>
    <w:tmpl w:val="B01C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0E56A7"/>
    <w:multiLevelType w:val="multilevel"/>
    <w:tmpl w:val="2B92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F13CCD"/>
    <w:multiLevelType w:val="multilevel"/>
    <w:tmpl w:val="AEE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731D8"/>
    <w:multiLevelType w:val="hybridMultilevel"/>
    <w:tmpl w:val="E58CE21C"/>
    <w:lvl w:ilvl="0" w:tplc="0C348DAA">
      <w:start w:val="1"/>
      <w:numFmt w:val="upperRoman"/>
      <w:pStyle w:val="Ttulo4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985ED9"/>
    <w:multiLevelType w:val="hybridMultilevel"/>
    <w:tmpl w:val="D24C2C1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270ACC"/>
    <w:multiLevelType w:val="multilevel"/>
    <w:tmpl w:val="DDD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6F1DE7"/>
    <w:multiLevelType w:val="multilevel"/>
    <w:tmpl w:val="AF8E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745AEF"/>
    <w:multiLevelType w:val="multilevel"/>
    <w:tmpl w:val="7770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90047D"/>
    <w:multiLevelType w:val="hybridMultilevel"/>
    <w:tmpl w:val="A822CF98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4" w15:restartNumberingAfterBreak="0">
    <w:nsid w:val="609E5CAF"/>
    <w:multiLevelType w:val="hybridMultilevel"/>
    <w:tmpl w:val="DBFCED5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203C88"/>
    <w:multiLevelType w:val="multilevel"/>
    <w:tmpl w:val="CC1C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68072D"/>
    <w:multiLevelType w:val="hybridMultilevel"/>
    <w:tmpl w:val="050879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157499"/>
    <w:multiLevelType w:val="multilevel"/>
    <w:tmpl w:val="C582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6C00BF"/>
    <w:multiLevelType w:val="multilevel"/>
    <w:tmpl w:val="981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7327C8"/>
    <w:multiLevelType w:val="hybridMultilevel"/>
    <w:tmpl w:val="4BBA90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A16731"/>
    <w:multiLevelType w:val="multilevel"/>
    <w:tmpl w:val="0A64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B60062"/>
    <w:multiLevelType w:val="hybridMultilevel"/>
    <w:tmpl w:val="F4BA4BB8"/>
    <w:lvl w:ilvl="0" w:tplc="4736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60E2529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55585F"/>
    <w:multiLevelType w:val="multilevel"/>
    <w:tmpl w:val="EE74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0F537A"/>
    <w:multiLevelType w:val="multilevel"/>
    <w:tmpl w:val="4F3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536124"/>
    <w:multiLevelType w:val="multilevel"/>
    <w:tmpl w:val="F65C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1B2C3D"/>
    <w:multiLevelType w:val="hybridMultilevel"/>
    <w:tmpl w:val="7A1B2C3E"/>
    <w:lvl w:ilvl="0" w:tplc="F266E762">
      <w:start w:val="1"/>
      <w:numFmt w:val="bullet"/>
      <w:lvlText w:val=""/>
      <w:lvlJc w:val="left"/>
      <w:pPr>
        <w:ind w:left="432" w:hanging="288"/>
      </w:pPr>
      <w:rPr>
        <w:rFonts w:ascii="Symbol" w:hAnsi="Symbol" w:hint="default"/>
      </w:rPr>
    </w:lvl>
    <w:lvl w:ilvl="1" w:tplc="1A44F988">
      <w:numFmt w:val="decimal"/>
      <w:lvlText w:val=""/>
      <w:lvlJc w:val="left"/>
    </w:lvl>
    <w:lvl w:ilvl="2" w:tplc="784A313A">
      <w:numFmt w:val="decimal"/>
      <w:lvlText w:val=""/>
      <w:lvlJc w:val="left"/>
    </w:lvl>
    <w:lvl w:ilvl="3" w:tplc="E940B9BA">
      <w:numFmt w:val="decimal"/>
      <w:lvlText w:val=""/>
      <w:lvlJc w:val="left"/>
    </w:lvl>
    <w:lvl w:ilvl="4" w:tplc="CE9E15B0">
      <w:numFmt w:val="decimal"/>
      <w:lvlText w:val=""/>
      <w:lvlJc w:val="left"/>
    </w:lvl>
    <w:lvl w:ilvl="5" w:tplc="803CE1A8">
      <w:numFmt w:val="decimal"/>
      <w:lvlText w:val=""/>
      <w:lvlJc w:val="left"/>
    </w:lvl>
    <w:lvl w:ilvl="6" w:tplc="7EBEE4BC">
      <w:numFmt w:val="decimal"/>
      <w:lvlText w:val=""/>
      <w:lvlJc w:val="left"/>
    </w:lvl>
    <w:lvl w:ilvl="7" w:tplc="AD3C62DA">
      <w:numFmt w:val="decimal"/>
      <w:lvlText w:val=""/>
      <w:lvlJc w:val="left"/>
    </w:lvl>
    <w:lvl w:ilvl="8" w:tplc="C35E76F4">
      <w:numFmt w:val="decimal"/>
      <w:lvlText w:val=""/>
      <w:lvlJc w:val="left"/>
    </w:lvl>
  </w:abstractNum>
  <w:abstractNum w:abstractNumId="36" w15:restartNumberingAfterBreak="0">
    <w:nsid w:val="7B7C15D2"/>
    <w:multiLevelType w:val="hybridMultilevel"/>
    <w:tmpl w:val="9E941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7C1AA1"/>
    <w:multiLevelType w:val="multilevel"/>
    <w:tmpl w:val="749C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7"/>
  </w:num>
  <w:num w:numId="3">
    <w:abstractNumId w:val="22"/>
  </w:num>
  <w:num w:numId="4">
    <w:abstractNumId w:val="37"/>
  </w:num>
  <w:num w:numId="5">
    <w:abstractNumId w:val="30"/>
  </w:num>
  <w:num w:numId="6">
    <w:abstractNumId w:val="11"/>
  </w:num>
  <w:num w:numId="7">
    <w:abstractNumId w:val="33"/>
  </w:num>
  <w:num w:numId="8">
    <w:abstractNumId w:val="9"/>
  </w:num>
  <w:num w:numId="9">
    <w:abstractNumId w:val="6"/>
  </w:num>
  <w:num w:numId="10">
    <w:abstractNumId w:val="17"/>
  </w:num>
  <w:num w:numId="11">
    <w:abstractNumId w:val="21"/>
  </w:num>
  <w:num w:numId="12">
    <w:abstractNumId w:val="20"/>
  </w:num>
  <w:num w:numId="13">
    <w:abstractNumId w:val="8"/>
  </w:num>
  <w:num w:numId="14">
    <w:abstractNumId w:val="15"/>
  </w:num>
  <w:num w:numId="15">
    <w:abstractNumId w:val="34"/>
  </w:num>
  <w:num w:numId="16">
    <w:abstractNumId w:val="1"/>
  </w:num>
  <w:num w:numId="17">
    <w:abstractNumId w:val="27"/>
  </w:num>
  <w:num w:numId="18">
    <w:abstractNumId w:val="16"/>
  </w:num>
  <w:num w:numId="19">
    <w:abstractNumId w:val="26"/>
  </w:num>
  <w:num w:numId="20">
    <w:abstractNumId w:val="29"/>
  </w:num>
  <w:num w:numId="21">
    <w:abstractNumId w:val="13"/>
  </w:num>
  <w:num w:numId="22">
    <w:abstractNumId w:val="2"/>
  </w:num>
  <w:num w:numId="23">
    <w:abstractNumId w:val="25"/>
  </w:num>
  <w:num w:numId="24">
    <w:abstractNumId w:val="28"/>
  </w:num>
  <w:num w:numId="25">
    <w:abstractNumId w:val="4"/>
  </w:num>
  <w:num w:numId="26">
    <w:abstractNumId w:val="5"/>
  </w:num>
  <w:num w:numId="27">
    <w:abstractNumId w:val="32"/>
  </w:num>
  <w:num w:numId="28">
    <w:abstractNumId w:val="10"/>
  </w:num>
  <w:num w:numId="29">
    <w:abstractNumId w:val="36"/>
  </w:num>
  <w:num w:numId="30">
    <w:abstractNumId w:val="35"/>
  </w:num>
  <w:num w:numId="31">
    <w:abstractNumId w:val="3"/>
  </w:num>
  <w:num w:numId="32">
    <w:abstractNumId w:val="23"/>
  </w:num>
  <w:num w:numId="33">
    <w:abstractNumId w:val="14"/>
  </w:num>
  <w:num w:numId="34">
    <w:abstractNumId w:val="12"/>
  </w:num>
  <w:num w:numId="35">
    <w:abstractNumId w:val="31"/>
  </w:num>
  <w:num w:numId="36">
    <w:abstractNumId w:val="0"/>
  </w:num>
  <w:num w:numId="37">
    <w:abstractNumId w:val="19"/>
  </w:num>
  <w:num w:numId="38">
    <w:abstractNumId w:val="2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4C"/>
    <w:rsid w:val="00002027"/>
    <w:rsid w:val="00003EA0"/>
    <w:rsid w:val="0000545B"/>
    <w:rsid w:val="00020C49"/>
    <w:rsid w:val="000258F9"/>
    <w:rsid w:val="00025A89"/>
    <w:rsid w:val="00030E8C"/>
    <w:rsid w:val="0003237D"/>
    <w:rsid w:val="000377A6"/>
    <w:rsid w:val="00041BD6"/>
    <w:rsid w:val="000438FF"/>
    <w:rsid w:val="00043F02"/>
    <w:rsid w:val="00046781"/>
    <w:rsid w:val="00050586"/>
    <w:rsid w:val="00054CA4"/>
    <w:rsid w:val="00054FB9"/>
    <w:rsid w:val="000571C6"/>
    <w:rsid w:val="0006003F"/>
    <w:rsid w:val="000A3591"/>
    <w:rsid w:val="000A46AA"/>
    <w:rsid w:val="000A71DD"/>
    <w:rsid w:val="000B3C45"/>
    <w:rsid w:val="000D126D"/>
    <w:rsid w:val="000D5B48"/>
    <w:rsid w:val="000D796F"/>
    <w:rsid w:val="000E1551"/>
    <w:rsid w:val="000E263D"/>
    <w:rsid w:val="00105FFE"/>
    <w:rsid w:val="001106F9"/>
    <w:rsid w:val="00113971"/>
    <w:rsid w:val="00113ADD"/>
    <w:rsid w:val="001259AE"/>
    <w:rsid w:val="00136317"/>
    <w:rsid w:val="0013733B"/>
    <w:rsid w:val="001410AA"/>
    <w:rsid w:val="00151B05"/>
    <w:rsid w:val="00152E28"/>
    <w:rsid w:val="00153B11"/>
    <w:rsid w:val="00154DA5"/>
    <w:rsid w:val="00155A77"/>
    <w:rsid w:val="00155DFB"/>
    <w:rsid w:val="00166051"/>
    <w:rsid w:val="00167BCF"/>
    <w:rsid w:val="0018050E"/>
    <w:rsid w:val="00193DC0"/>
    <w:rsid w:val="00197050"/>
    <w:rsid w:val="00197ADD"/>
    <w:rsid w:val="001A6402"/>
    <w:rsid w:val="001B2972"/>
    <w:rsid w:val="001B64D3"/>
    <w:rsid w:val="001C2D90"/>
    <w:rsid w:val="001C5436"/>
    <w:rsid w:val="001D27D6"/>
    <w:rsid w:val="001D4DE9"/>
    <w:rsid w:val="001E072F"/>
    <w:rsid w:val="001F561B"/>
    <w:rsid w:val="00204B82"/>
    <w:rsid w:val="0021097E"/>
    <w:rsid w:val="00220619"/>
    <w:rsid w:val="002360E8"/>
    <w:rsid w:val="00246E09"/>
    <w:rsid w:val="00254C67"/>
    <w:rsid w:val="00290C17"/>
    <w:rsid w:val="00294C95"/>
    <w:rsid w:val="002C459E"/>
    <w:rsid w:val="002E0889"/>
    <w:rsid w:val="002E131D"/>
    <w:rsid w:val="002E3C28"/>
    <w:rsid w:val="002F4E7A"/>
    <w:rsid w:val="00320CA1"/>
    <w:rsid w:val="00341FF9"/>
    <w:rsid w:val="00344789"/>
    <w:rsid w:val="00354A81"/>
    <w:rsid w:val="00360F50"/>
    <w:rsid w:val="0036312B"/>
    <w:rsid w:val="00370C60"/>
    <w:rsid w:val="003817DF"/>
    <w:rsid w:val="003919F7"/>
    <w:rsid w:val="003B7AF4"/>
    <w:rsid w:val="003E400C"/>
    <w:rsid w:val="003E7119"/>
    <w:rsid w:val="003F7434"/>
    <w:rsid w:val="004135C9"/>
    <w:rsid w:val="00424E7E"/>
    <w:rsid w:val="0042728A"/>
    <w:rsid w:val="00430CE8"/>
    <w:rsid w:val="00431758"/>
    <w:rsid w:val="004362C5"/>
    <w:rsid w:val="00437209"/>
    <w:rsid w:val="00465707"/>
    <w:rsid w:val="004676E4"/>
    <w:rsid w:val="00470257"/>
    <w:rsid w:val="0047264F"/>
    <w:rsid w:val="004869A7"/>
    <w:rsid w:val="00486FFD"/>
    <w:rsid w:val="00491EE7"/>
    <w:rsid w:val="0049299F"/>
    <w:rsid w:val="00495548"/>
    <w:rsid w:val="004A1AF8"/>
    <w:rsid w:val="004A74A4"/>
    <w:rsid w:val="004A78F6"/>
    <w:rsid w:val="004B221D"/>
    <w:rsid w:val="004C2B18"/>
    <w:rsid w:val="004D104B"/>
    <w:rsid w:val="004D2236"/>
    <w:rsid w:val="004D5A8C"/>
    <w:rsid w:val="004E388B"/>
    <w:rsid w:val="004E65ED"/>
    <w:rsid w:val="004E776E"/>
    <w:rsid w:val="004F3817"/>
    <w:rsid w:val="004F590A"/>
    <w:rsid w:val="0050130F"/>
    <w:rsid w:val="00502F3D"/>
    <w:rsid w:val="005267AC"/>
    <w:rsid w:val="00527411"/>
    <w:rsid w:val="005279B6"/>
    <w:rsid w:val="00550647"/>
    <w:rsid w:val="00580B12"/>
    <w:rsid w:val="00587300"/>
    <w:rsid w:val="00591B3A"/>
    <w:rsid w:val="00593514"/>
    <w:rsid w:val="00594464"/>
    <w:rsid w:val="005A57CC"/>
    <w:rsid w:val="005A6B97"/>
    <w:rsid w:val="005C3EB9"/>
    <w:rsid w:val="005D105A"/>
    <w:rsid w:val="00625F36"/>
    <w:rsid w:val="00631614"/>
    <w:rsid w:val="00634088"/>
    <w:rsid w:val="00646C52"/>
    <w:rsid w:val="00646D11"/>
    <w:rsid w:val="00647CCC"/>
    <w:rsid w:val="00655D4F"/>
    <w:rsid w:val="0065662B"/>
    <w:rsid w:val="00661ED1"/>
    <w:rsid w:val="006626AF"/>
    <w:rsid w:val="00662863"/>
    <w:rsid w:val="00667278"/>
    <w:rsid w:val="00671DD9"/>
    <w:rsid w:val="0068031A"/>
    <w:rsid w:val="006808CC"/>
    <w:rsid w:val="00697E37"/>
    <w:rsid w:val="006A1F60"/>
    <w:rsid w:val="006A3BB6"/>
    <w:rsid w:val="006E3E97"/>
    <w:rsid w:val="006F4646"/>
    <w:rsid w:val="00705DC8"/>
    <w:rsid w:val="007150D8"/>
    <w:rsid w:val="007462AF"/>
    <w:rsid w:val="007471F1"/>
    <w:rsid w:val="007759A6"/>
    <w:rsid w:val="00776F8B"/>
    <w:rsid w:val="007816C7"/>
    <w:rsid w:val="00783447"/>
    <w:rsid w:val="0078392B"/>
    <w:rsid w:val="0079704D"/>
    <w:rsid w:val="007B7560"/>
    <w:rsid w:val="007C74E0"/>
    <w:rsid w:val="007D06F1"/>
    <w:rsid w:val="007D3385"/>
    <w:rsid w:val="007D4D3C"/>
    <w:rsid w:val="007F60B5"/>
    <w:rsid w:val="00810EC6"/>
    <w:rsid w:val="00812AED"/>
    <w:rsid w:val="00815835"/>
    <w:rsid w:val="0082026B"/>
    <w:rsid w:val="00830352"/>
    <w:rsid w:val="00832176"/>
    <w:rsid w:val="0083711C"/>
    <w:rsid w:val="008544E1"/>
    <w:rsid w:val="0086418A"/>
    <w:rsid w:val="00864D64"/>
    <w:rsid w:val="00887FBD"/>
    <w:rsid w:val="00896916"/>
    <w:rsid w:val="00897B8A"/>
    <w:rsid w:val="008A56B9"/>
    <w:rsid w:val="008B36BF"/>
    <w:rsid w:val="008B5764"/>
    <w:rsid w:val="008D09CA"/>
    <w:rsid w:val="008F0109"/>
    <w:rsid w:val="008F2DC2"/>
    <w:rsid w:val="008F54BD"/>
    <w:rsid w:val="009117FA"/>
    <w:rsid w:val="00927F12"/>
    <w:rsid w:val="00930605"/>
    <w:rsid w:val="009612F9"/>
    <w:rsid w:val="009667A4"/>
    <w:rsid w:val="00981CAC"/>
    <w:rsid w:val="00981DEF"/>
    <w:rsid w:val="00994331"/>
    <w:rsid w:val="00994DCF"/>
    <w:rsid w:val="00995175"/>
    <w:rsid w:val="009966CB"/>
    <w:rsid w:val="00997820"/>
    <w:rsid w:val="009A75BB"/>
    <w:rsid w:val="009B2B04"/>
    <w:rsid w:val="009D1660"/>
    <w:rsid w:val="009D513B"/>
    <w:rsid w:val="009D662C"/>
    <w:rsid w:val="009D770D"/>
    <w:rsid w:val="009E6351"/>
    <w:rsid w:val="00A0058F"/>
    <w:rsid w:val="00A25E9B"/>
    <w:rsid w:val="00A27EAB"/>
    <w:rsid w:val="00A34818"/>
    <w:rsid w:val="00A45FB8"/>
    <w:rsid w:val="00A503BD"/>
    <w:rsid w:val="00A73CF4"/>
    <w:rsid w:val="00A84A08"/>
    <w:rsid w:val="00A8694C"/>
    <w:rsid w:val="00A87331"/>
    <w:rsid w:val="00A91676"/>
    <w:rsid w:val="00AA572B"/>
    <w:rsid w:val="00AA5821"/>
    <w:rsid w:val="00AB7467"/>
    <w:rsid w:val="00AC6FD8"/>
    <w:rsid w:val="00AE45C4"/>
    <w:rsid w:val="00B00558"/>
    <w:rsid w:val="00B00ACC"/>
    <w:rsid w:val="00B109F8"/>
    <w:rsid w:val="00B131F1"/>
    <w:rsid w:val="00B23CE9"/>
    <w:rsid w:val="00B273F4"/>
    <w:rsid w:val="00B62B90"/>
    <w:rsid w:val="00B64AE2"/>
    <w:rsid w:val="00B72087"/>
    <w:rsid w:val="00B93C35"/>
    <w:rsid w:val="00B94BFE"/>
    <w:rsid w:val="00B96CD0"/>
    <w:rsid w:val="00BA690B"/>
    <w:rsid w:val="00BA7AF6"/>
    <w:rsid w:val="00BB1DC9"/>
    <w:rsid w:val="00BB3B44"/>
    <w:rsid w:val="00BB4307"/>
    <w:rsid w:val="00BC0BB8"/>
    <w:rsid w:val="00BC0F57"/>
    <w:rsid w:val="00BD38B1"/>
    <w:rsid w:val="00BE2C85"/>
    <w:rsid w:val="00BF5F01"/>
    <w:rsid w:val="00C0087D"/>
    <w:rsid w:val="00C041DF"/>
    <w:rsid w:val="00C062EB"/>
    <w:rsid w:val="00C122A4"/>
    <w:rsid w:val="00C176D8"/>
    <w:rsid w:val="00C2663E"/>
    <w:rsid w:val="00C33446"/>
    <w:rsid w:val="00C42F66"/>
    <w:rsid w:val="00C43081"/>
    <w:rsid w:val="00C619F7"/>
    <w:rsid w:val="00C62995"/>
    <w:rsid w:val="00C639EA"/>
    <w:rsid w:val="00C65A1B"/>
    <w:rsid w:val="00C66897"/>
    <w:rsid w:val="00C74F1D"/>
    <w:rsid w:val="00C821D5"/>
    <w:rsid w:val="00C91D73"/>
    <w:rsid w:val="00C9207B"/>
    <w:rsid w:val="00C93B0C"/>
    <w:rsid w:val="00CA567C"/>
    <w:rsid w:val="00CB13F4"/>
    <w:rsid w:val="00CB38B3"/>
    <w:rsid w:val="00CB70C5"/>
    <w:rsid w:val="00CD4A23"/>
    <w:rsid w:val="00CD7369"/>
    <w:rsid w:val="00CE633D"/>
    <w:rsid w:val="00D10BEE"/>
    <w:rsid w:val="00D1508D"/>
    <w:rsid w:val="00D2057E"/>
    <w:rsid w:val="00D2376F"/>
    <w:rsid w:val="00D23B89"/>
    <w:rsid w:val="00D2506F"/>
    <w:rsid w:val="00D263C6"/>
    <w:rsid w:val="00D60BF7"/>
    <w:rsid w:val="00D70252"/>
    <w:rsid w:val="00D70D18"/>
    <w:rsid w:val="00D83A01"/>
    <w:rsid w:val="00D90AAA"/>
    <w:rsid w:val="00D92277"/>
    <w:rsid w:val="00D974FD"/>
    <w:rsid w:val="00DA0C65"/>
    <w:rsid w:val="00DA4129"/>
    <w:rsid w:val="00DB54A2"/>
    <w:rsid w:val="00DD2599"/>
    <w:rsid w:val="00DD4B7F"/>
    <w:rsid w:val="00DD6CF3"/>
    <w:rsid w:val="00DE76A7"/>
    <w:rsid w:val="00DF1756"/>
    <w:rsid w:val="00E0538C"/>
    <w:rsid w:val="00E1407E"/>
    <w:rsid w:val="00E32E74"/>
    <w:rsid w:val="00E56F00"/>
    <w:rsid w:val="00E61388"/>
    <w:rsid w:val="00E7262E"/>
    <w:rsid w:val="00E76409"/>
    <w:rsid w:val="00E94CD4"/>
    <w:rsid w:val="00EA2751"/>
    <w:rsid w:val="00EA49C5"/>
    <w:rsid w:val="00EA51AD"/>
    <w:rsid w:val="00EB1C36"/>
    <w:rsid w:val="00EB1FB8"/>
    <w:rsid w:val="00EC4C63"/>
    <w:rsid w:val="00ED0B2E"/>
    <w:rsid w:val="00ED7AE1"/>
    <w:rsid w:val="00EE755E"/>
    <w:rsid w:val="00F0340D"/>
    <w:rsid w:val="00F05F40"/>
    <w:rsid w:val="00F06026"/>
    <w:rsid w:val="00F16AAF"/>
    <w:rsid w:val="00F2051C"/>
    <w:rsid w:val="00F213F4"/>
    <w:rsid w:val="00F231FC"/>
    <w:rsid w:val="00F27FA5"/>
    <w:rsid w:val="00F3290F"/>
    <w:rsid w:val="00F367B6"/>
    <w:rsid w:val="00F37BF3"/>
    <w:rsid w:val="00F43BA1"/>
    <w:rsid w:val="00F45090"/>
    <w:rsid w:val="00F53CD8"/>
    <w:rsid w:val="00F715E8"/>
    <w:rsid w:val="00F73ED8"/>
    <w:rsid w:val="00F83769"/>
    <w:rsid w:val="00F859CD"/>
    <w:rsid w:val="00F95ABF"/>
    <w:rsid w:val="00F9737C"/>
    <w:rsid w:val="00FA6B54"/>
    <w:rsid w:val="00FB178F"/>
    <w:rsid w:val="00FD0DC2"/>
    <w:rsid w:val="00FE2C1E"/>
    <w:rsid w:val="00FE6B8B"/>
    <w:rsid w:val="00FF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4947A5"/>
  <w15:docId w15:val="{788DCC13-AF70-4DF6-8663-0D0C6439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F7434"/>
    <w:rPr>
      <w:rFonts w:ascii="Times New Roman" w:eastAsia="Times New Roman" w:hAnsi="Times New Roman" w:cs="Times New Roman"/>
      <w:lang w:eastAsia="es-ES_tradnl"/>
    </w:rPr>
  </w:style>
  <w:style w:type="paragraph" w:styleId="Ttulo1">
    <w:name w:val="heading 1"/>
    <w:basedOn w:val="Normal"/>
    <w:next w:val="Normal"/>
    <w:uiPriority w:val="9"/>
    <w:qFormat/>
    <w:rsid w:val="00CD7369"/>
    <w:pPr>
      <w:jc w:val="center"/>
      <w:outlineLvl w:val="0"/>
    </w:pPr>
    <w:rPr>
      <w:rFonts w:eastAsia="Noto Sans" w:cs="Noto Sans"/>
      <w:b/>
      <w:color w:val="670E35"/>
      <w:lang w:eastAsia="es-MX"/>
    </w:rPr>
  </w:style>
  <w:style w:type="paragraph" w:styleId="Ttulo2">
    <w:name w:val="heading 2"/>
    <w:basedOn w:val="Normal"/>
    <w:next w:val="Normal"/>
    <w:uiPriority w:val="9"/>
    <w:unhideWhenUsed/>
    <w:qFormat/>
    <w:rsid w:val="00D70252"/>
    <w:pPr>
      <w:jc w:val="center"/>
      <w:outlineLvl w:val="1"/>
    </w:pPr>
    <w:rPr>
      <w:rFonts w:eastAsia="Montserrat Light" w:cs="Montserrat Light"/>
      <w:b/>
      <w:color w:val="666666"/>
      <w:lang w:eastAsia="es-MX"/>
    </w:rPr>
  </w:style>
  <w:style w:type="paragraph" w:styleId="Ttulo3">
    <w:name w:val="heading 3"/>
    <w:basedOn w:val="Normal"/>
    <w:next w:val="Normal"/>
    <w:uiPriority w:val="9"/>
    <w:unhideWhenUsed/>
    <w:qFormat/>
    <w:rsid w:val="00CD7369"/>
    <w:pPr>
      <w:shd w:val="clear" w:color="auto" w:fill="670E35"/>
      <w:outlineLvl w:val="2"/>
    </w:pPr>
    <w:rPr>
      <w:b/>
      <w:color w:val="FFFFFF"/>
      <w:lang w:eastAsia="es-MX"/>
    </w:rPr>
  </w:style>
  <w:style w:type="paragraph" w:styleId="Ttulo4">
    <w:name w:val="heading 4"/>
    <w:basedOn w:val="Normal"/>
    <w:next w:val="Normal"/>
    <w:uiPriority w:val="9"/>
    <w:unhideWhenUsed/>
    <w:qFormat/>
    <w:rsid w:val="00D70252"/>
    <w:pPr>
      <w:keepNext/>
      <w:keepLines/>
      <w:numPr>
        <w:numId w:val="1"/>
      </w:numPr>
      <w:spacing w:before="240" w:after="40"/>
      <w:ind w:left="709" w:hanging="709"/>
      <w:outlineLvl w:val="3"/>
    </w:pPr>
    <w:rPr>
      <w:b/>
      <w:lang w:eastAsia="es-MX"/>
    </w:rPr>
  </w:style>
  <w:style w:type="paragraph" w:styleId="Ttulo5">
    <w:name w:val="heading 5"/>
    <w:basedOn w:val="Ttulo2"/>
    <w:next w:val="Normal"/>
    <w:uiPriority w:val="9"/>
    <w:unhideWhenUsed/>
    <w:qFormat/>
    <w:rsid w:val="00D70252"/>
    <w:pPr>
      <w:jc w:val="right"/>
      <w:outlineLvl w:val="4"/>
    </w:pPr>
    <w:rPr>
      <w:b w:val="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  <w:lang w:eastAsia="es-MX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  <w:rPr>
      <w:lang w:eastAsia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  <w:rPr>
      <w:lang w:eastAsia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s-MX"/>
    </w:rPr>
  </w:style>
  <w:style w:type="paragraph" w:styleId="NormalWeb">
    <w:name w:val="Normal (Web)"/>
    <w:basedOn w:val="Normal"/>
    <w:uiPriority w:val="99"/>
    <w:unhideWhenUsed/>
    <w:rsid w:val="00C84662"/>
    <w:pPr>
      <w:spacing w:before="100" w:beforeAutospacing="1" w:after="100" w:afterAutospacing="1"/>
    </w:pPr>
    <w:rPr>
      <w:lang w:eastAsia="es-MX"/>
    </w:rPr>
  </w:style>
  <w:style w:type="paragraph" w:styleId="Prrafodelista">
    <w:name w:val="List Paragraph"/>
    <w:basedOn w:val="Normal"/>
    <w:uiPriority w:val="34"/>
    <w:qFormat/>
    <w:rsid w:val="001E119D"/>
    <w:pPr>
      <w:ind w:left="720"/>
      <w:contextualSpacing/>
    </w:pPr>
    <w:rPr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E119D"/>
    <w:rPr>
      <w:rFonts w:ascii="Segoe UI" w:hAnsi="Segoe UI" w:cs="Segoe UI"/>
      <w:sz w:val="18"/>
      <w:szCs w:val="18"/>
      <w:lang w:eastAsia="es-MX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119D"/>
    <w:rPr>
      <w:rFonts w:ascii="Segoe UI" w:eastAsiaTheme="minorEastAsia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unhideWhenUsed/>
    <w:rsid w:val="00021984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8D09CA"/>
    <w:rPr>
      <w:b/>
      <w:bCs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D09CA"/>
    <w:rPr>
      <w:sz w:val="20"/>
      <w:szCs w:val="20"/>
      <w:lang w:eastAsia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D09CA"/>
    <w:rPr>
      <w:rFonts w:ascii="Montserrat" w:eastAsia="Montserrat" w:hAnsi="Montserrat" w:cs="Montserrat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8D09CA"/>
    <w:rPr>
      <w:vertAlign w:val="superscript"/>
    </w:rPr>
  </w:style>
  <w:style w:type="table" w:styleId="Tablaconcuadrcula">
    <w:name w:val="Table Grid"/>
    <w:basedOn w:val="Tablanormal"/>
    <w:uiPriority w:val="39"/>
    <w:rsid w:val="00E764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C176D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810EC6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13733B"/>
    <w:rPr>
      <w:color w:val="605E5C"/>
      <w:shd w:val="clear" w:color="auto" w:fill="E1DFDD"/>
    </w:rPr>
  </w:style>
  <w:style w:type="paragraph" w:customStyle="1" w:styleId="n01">
    <w:name w:val="n01"/>
    <w:basedOn w:val="Normal"/>
    <w:rsid w:val="00431758"/>
    <w:pPr>
      <w:keepLines/>
      <w:spacing w:before="240"/>
      <w:ind w:left="720" w:hanging="720"/>
    </w:pPr>
    <w:rPr>
      <w:rFonts w:ascii="Univers (W1)" w:hAnsi="Univers (W1)" w:cs="Arial"/>
      <w:color w:val="800080"/>
      <w:lang w:val="es-ES_tradnl" w:eastAsia="es-ES"/>
    </w:rPr>
  </w:style>
  <w:style w:type="table" w:styleId="Tablaconcuadrcula1clara-nfasis6">
    <w:name w:val="Grid Table 1 Light Accent 6"/>
    <w:basedOn w:val="Tablanormal"/>
    <w:uiPriority w:val="46"/>
    <w:rsid w:val="00054FB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6">
    <w:name w:val="Grid Table 2 Accent 6"/>
    <w:basedOn w:val="Tablanormal"/>
    <w:uiPriority w:val="47"/>
    <w:rsid w:val="00054FB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Nmerodepgina">
    <w:name w:val="page number"/>
    <w:basedOn w:val="Fuentedeprrafopredeter"/>
    <w:uiPriority w:val="99"/>
    <w:semiHidden/>
    <w:unhideWhenUsed/>
    <w:rsid w:val="008544E1"/>
  </w:style>
  <w:style w:type="character" w:styleId="Hipervnculovisitado">
    <w:name w:val="FollowedHyperlink"/>
    <w:basedOn w:val="Fuentedeprrafopredeter"/>
    <w:uiPriority w:val="99"/>
    <w:semiHidden/>
    <w:unhideWhenUsed/>
    <w:rsid w:val="00502F3D"/>
    <w:rPr>
      <w:color w:val="96607D"/>
      <w:u w:val="single"/>
    </w:rPr>
  </w:style>
  <w:style w:type="paragraph" w:customStyle="1" w:styleId="msonormal0">
    <w:name w:val="msonormal"/>
    <w:basedOn w:val="Normal"/>
    <w:rsid w:val="00502F3D"/>
    <w:pPr>
      <w:spacing w:before="100" w:beforeAutospacing="1" w:after="100" w:afterAutospacing="1"/>
    </w:pPr>
    <w:rPr>
      <w:lang w:eastAsia="es-MX"/>
    </w:rPr>
  </w:style>
  <w:style w:type="paragraph" w:customStyle="1" w:styleId="xl65">
    <w:name w:val="xl65"/>
    <w:basedOn w:val="Normal"/>
    <w:rsid w:val="00502F3D"/>
    <w:pPr>
      <w:spacing w:before="100" w:beforeAutospacing="1" w:after="100" w:afterAutospacing="1"/>
    </w:pPr>
    <w:rPr>
      <w:lang w:eastAsia="es-MX"/>
    </w:rPr>
  </w:style>
  <w:style w:type="paragraph" w:customStyle="1" w:styleId="xl66">
    <w:name w:val="xl66"/>
    <w:basedOn w:val="Normal"/>
    <w:rsid w:val="00502F3D"/>
    <w:pPr>
      <w:spacing w:before="100" w:beforeAutospacing="1" w:after="100" w:afterAutospacing="1"/>
    </w:pPr>
    <w:rPr>
      <w:rFonts w:ascii="Calibri" w:hAnsi="Calibri" w:cs="Calibri"/>
      <w:color w:val="000000"/>
      <w:lang w:eastAsia="es-MX"/>
    </w:rPr>
  </w:style>
  <w:style w:type="table" w:styleId="Tablaconcuadrcula4-nfasis6">
    <w:name w:val="Grid Table 4 Accent 6"/>
    <w:basedOn w:val="Tablanormal"/>
    <w:uiPriority w:val="49"/>
    <w:rsid w:val="00502F3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xl67">
    <w:name w:val="xl67"/>
    <w:basedOn w:val="Normal"/>
    <w:rsid w:val="00E94CD4"/>
    <w:pPr>
      <w:spacing w:before="100" w:beforeAutospacing="1" w:after="100" w:afterAutospacing="1"/>
    </w:pPr>
    <w:rPr>
      <w:lang w:eastAsia="es-MX"/>
    </w:rPr>
  </w:style>
  <w:style w:type="paragraph" w:customStyle="1" w:styleId="xl68">
    <w:name w:val="xl68"/>
    <w:basedOn w:val="Normal"/>
    <w:rsid w:val="00E94CD4"/>
    <w:pPr>
      <w:spacing w:before="100" w:beforeAutospacing="1" w:after="100" w:afterAutospacing="1"/>
    </w:pPr>
    <w:rPr>
      <w:rFonts w:ascii="Calibri" w:hAnsi="Calibri" w:cs="Calibri"/>
      <w:color w:val="000000"/>
      <w:lang w:eastAsia="es-MX"/>
    </w:rPr>
  </w:style>
  <w:style w:type="paragraph" w:customStyle="1" w:styleId="pdq2pgselectionanchorcontainer">
    <w:name w:val="pdq2pg_selectionanchorcontainer"/>
    <w:basedOn w:val="Normal"/>
    <w:rsid w:val="00360F5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04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0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2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7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9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0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2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6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4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5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7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4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1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4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4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23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6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4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8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13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98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5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1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66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78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5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2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6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9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7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7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7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2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8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8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7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92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0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2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7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4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1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5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FpWPCfcsQFbrBypFpD4BWtRFLg==">CgMxLjA4AHIhMWpKWC1ZV1ZyUWxfelVTd2oxcUhWdVVqaW9sTHRWRGpD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9D64906-F587-E343-9BA4-37AF4E433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562</Words>
  <Characters>3093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Ximena Escobedo Juárez</dc:creator>
  <cp:lastModifiedBy>Luis Enrique Buendía</cp:lastModifiedBy>
  <cp:revision>37</cp:revision>
  <cp:lastPrinted>2026-06-17T17:31:00Z</cp:lastPrinted>
  <dcterms:created xsi:type="dcterms:W3CDTF">2026-07-24T04:18:00Z</dcterms:created>
  <dcterms:modified xsi:type="dcterms:W3CDTF">2026-08-10T18:22:00Z</dcterms:modified>
</cp:coreProperties>
</file>