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shd w:val="clear" w:color="auto" w:fill="235B4C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414"/>
        <w:gridCol w:w="4414"/>
      </w:tblGrid>
      <w:tr w:rsidR="00246E09" w:rsidRPr="006A3BB6">
        <w:tc>
          <w:tcPr>
            <w:tcW w:w="8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35B4C"/>
          </w:tcPr>
          <w:p w:rsidR="00246E09" w:rsidRPr="006A3BB6" w:rsidRDefault="00465707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color w:val="FFFFFF"/>
                <w:sz w:val="20"/>
              </w:rPr>
              <w:t>Encuesta Nacional de Ocupación y Empleo</w:t>
            </w:r>
          </w:p>
          <w:p w:rsidR="00246E09" w:rsidRPr="006A3BB6" w:rsidRDefault="00465707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b/>
                <w:color w:val="FFFFFF"/>
                <w:sz w:val="40"/>
              </w:rPr>
              <w:t>ENOE · Junio 2026</w:t>
            </w:r>
          </w:p>
          <w:p w:rsidR="009966CB" w:rsidRPr="006A3BB6" w:rsidRDefault="00465707" w:rsidP="00054CA4">
            <w:pPr>
              <w:jc w:val="center"/>
              <w:rPr>
                <w:rFonts w:ascii="Noto Sans" w:hAnsi="Noto Sans" w:cs="Noto Sans"/>
                <w:color w:val="FFFFFF"/>
                <w:sz w:val="20"/>
              </w:rPr>
            </w:pPr>
            <w:r w:rsidRPr="006A3BB6">
              <w:rPr>
                <w:rFonts w:ascii="Noto Sans" w:hAnsi="Noto Sans" w:cs="Noto Sans"/>
                <w:color w:val="FFFFFF"/>
                <w:sz w:val="20"/>
              </w:rPr>
              <w:t>Boletín de Indicador del 24 de julio de 2026 | INEGI</w:t>
            </w:r>
          </w:p>
        </w:tc>
      </w:tr>
      <w:tr w:rsidR="00246E09" w:rsidRPr="006A3BB6">
        <w:tc>
          <w:tcPr>
            <w:tcW w:w="4414" w:type="dxa"/>
            <w:tcBorders>
              <w:top w:val="nil"/>
              <w:left w:val="nil"/>
              <w:bottom w:val="nil"/>
              <w:right w:val="nil"/>
            </w:tcBorders>
            <w:shd w:val="clear" w:color="auto" w:fill="F4F4F2"/>
          </w:tcPr>
          <w:p w:rsidR="00246E09" w:rsidRPr="006A3BB6" w:rsidRDefault="00465707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b/>
                <w:color w:val="8C8C8C"/>
                <w:sz w:val="17"/>
              </w:rPr>
              <w:t>TASA DE DESOCUPACIÓN</w:t>
            </w:r>
          </w:p>
          <w:p w:rsidR="00246E09" w:rsidRPr="00BA690B" w:rsidRDefault="00465707">
            <w:pPr>
              <w:jc w:val="center"/>
              <w:rPr>
                <w:rFonts w:ascii="Noto Sans" w:hAnsi="Noto Sans" w:cs="Noto Sans"/>
              </w:rPr>
            </w:pPr>
            <w:r w:rsidRPr="00BA690B">
              <w:rPr>
                <w:rFonts w:ascii="Noto Sans" w:hAnsi="Noto Sans" w:cs="Noto Sans"/>
                <w:b/>
                <w:color w:val="006341"/>
                <w:sz w:val="72"/>
              </w:rPr>
              <w:t>2.9%</w:t>
            </w:r>
          </w:p>
          <w:p w:rsidR="00246E09" w:rsidRPr="006A3BB6" w:rsidRDefault="00465707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color w:val="6B6864"/>
                <w:sz w:val="16"/>
              </w:rPr>
              <w:t>Junio 2026 · variación anual +0.2 pp</w:t>
            </w:r>
          </w:p>
        </w:tc>
        <w:tc>
          <w:tcPr>
            <w:tcW w:w="4414" w:type="dxa"/>
            <w:tcBorders>
              <w:top w:val="nil"/>
              <w:left w:val="nil"/>
              <w:bottom w:val="nil"/>
              <w:right w:val="nil"/>
            </w:tcBorders>
            <w:shd w:val="clear" w:color="auto" w:fill="611232"/>
          </w:tcPr>
          <w:p w:rsidR="00246E09" w:rsidRPr="006A3BB6" w:rsidRDefault="00465707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b/>
                <w:color w:val="FFFFFF"/>
                <w:sz w:val="17"/>
              </w:rPr>
              <w:t>TASA DE INFORMALIDAD LABORAL</w:t>
            </w:r>
          </w:p>
          <w:p w:rsidR="00246E09" w:rsidRPr="00BA690B" w:rsidRDefault="00465707">
            <w:pPr>
              <w:jc w:val="center"/>
              <w:rPr>
                <w:rFonts w:ascii="Noto Sans" w:hAnsi="Noto Sans" w:cs="Noto Sans"/>
                <w:sz w:val="28"/>
              </w:rPr>
            </w:pPr>
            <w:r w:rsidRPr="00BA690B">
              <w:rPr>
                <w:rFonts w:ascii="Noto Sans" w:hAnsi="Noto Sans" w:cs="Noto Sans"/>
                <w:b/>
                <w:color w:val="FFFFFF"/>
                <w:sz w:val="72"/>
              </w:rPr>
              <w:t>55.0%</w:t>
            </w:r>
          </w:p>
          <w:p w:rsidR="00246E09" w:rsidRPr="006A3BB6" w:rsidRDefault="00465707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color w:val="FFFFFF"/>
                <w:sz w:val="16"/>
              </w:rPr>
              <w:t>Junio 2026 · variación anual +0.3 pp</w:t>
            </w:r>
          </w:p>
        </w:tc>
      </w:tr>
    </w:tbl>
    <w:p w:rsidR="00246E09" w:rsidRPr="006A3BB6" w:rsidRDefault="00246E09">
      <w:pPr>
        <w:rPr>
          <w:rFonts w:ascii="Noto Sans" w:hAnsi="Noto Sans" w:cs="Noto Sans"/>
          <w:sz w:val="6"/>
          <w:szCs w:val="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73"/>
        <w:gridCol w:w="1473"/>
        <w:gridCol w:w="1473"/>
        <w:gridCol w:w="1473"/>
        <w:gridCol w:w="1473"/>
        <w:gridCol w:w="1473"/>
      </w:tblGrid>
      <w:tr w:rsidR="003817DF" w:rsidRPr="006A3BB6" w:rsidTr="009966CB">
        <w:tc>
          <w:tcPr>
            <w:tcW w:w="1473" w:type="dxa"/>
            <w:shd w:val="clear" w:color="auto" w:fill="235B4C"/>
            <w:vAlign w:val="center"/>
          </w:tcPr>
          <w:p w:rsidR="003817DF" w:rsidRPr="006A3BB6" w:rsidRDefault="005C3EB9" w:rsidP="009966CB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b/>
                <w:color w:val="FFFFFF"/>
                <w:sz w:val="16"/>
              </w:rPr>
              <w:t>PEA</w:t>
            </w:r>
          </w:p>
        </w:tc>
        <w:tc>
          <w:tcPr>
            <w:tcW w:w="1473" w:type="dxa"/>
            <w:shd w:val="clear" w:color="auto" w:fill="235B4C"/>
            <w:vAlign w:val="center"/>
          </w:tcPr>
          <w:p w:rsidR="003817DF" w:rsidRPr="006A3BB6" w:rsidRDefault="005C3EB9" w:rsidP="009966CB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b/>
                <w:color w:val="FFFFFF"/>
                <w:sz w:val="16"/>
              </w:rPr>
              <w:t>Participación</w:t>
            </w:r>
          </w:p>
        </w:tc>
        <w:tc>
          <w:tcPr>
            <w:tcW w:w="1473" w:type="dxa"/>
            <w:shd w:val="clear" w:color="auto" w:fill="235B4C"/>
            <w:vAlign w:val="center"/>
          </w:tcPr>
          <w:p w:rsidR="003817DF" w:rsidRPr="006A3BB6" w:rsidRDefault="005C3EB9" w:rsidP="009966CB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b/>
                <w:color w:val="FFFFFF"/>
                <w:sz w:val="16"/>
              </w:rPr>
              <w:t>Subocupación</w:t>
            </w:r>
          </w:p>
        </w:tc>
        <w:tc>
          <w:tcPr>
            <w:tcW w:w="1473" w:type="dxa"/>
            <w:shd w:val="clear" w:color="auto" w:fill="235B4C"/>
            <w:vAlign w:val="center"/>
          </w:tcPr>
          <w:p w:rsidR="003817DF" w:rsidRPr="006A3BB6" w:rsidRDefault="005C3EB9" w:rsidP="009966CB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b/>
                <w:color w:val="FFFFFF"/>
                <w:sz w:val="16"/>
              </w:rPr>
              <w:t>Cond. críticas ocup.*</w:t>
            </w:r>
          </w:p>
        </w:tc>
        <w:tc>
          <w:tcPr>
            <w:tcW w:w="1473" w:type="dxa"/>
            <w:shd w:val="clear" w:color="auto" w:fill="235B4C"/>
            <w:vAlign w:val="center"/>
          </w:tcPr>
          <w:p w:rsidR="003817DF" w:rsidRPr="006A3BB6" w:rsidRDefault="005C3EB9" w:rsidP="009966CB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b/>
                <w:color w:val="FFFFFF"/>
                <w:sz w:val="16"/>
              </w:rPr>
              <w:t>Sector informal</w:t>
            </w:r>
          </w:p>
        </w:tc>
        <w:tc>
          <w:tcPr>
            <w:tcW w:w="1473" w:type="dxa"/>
            <w:shd w:val="clear" w:color="auto" w:fill="235B4C"/>
            <w:vAlign w:val="center"/>
          </w:tcPr>
          <w:p w:rsidR="003817DF" w:rsidRPr="006A3BB6" w:rsidRDefault="005C3EB9" w:rsidP="009966CB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b/>
                <w:color w:val="FFFFFF"/>
                <w:sz w:val="16"/>
              </w:rPr>
              <w:t>Trabajo asalariado</w:t>
            </w:r>
          </w:p>
        </w:tc>
      </w:tr>
      <w:tr w:rsidR="003817DF" w:rsidRPr="006A3BB6">
        <w:tc>
          <w:tcPr>
            <w:tcW w:w="1473" w:type="dxa"/>
            <w:shd w:val="clear" w:color="auto" w:fill="F4F4F2"/>
          </w:tcPr>
          <w:p w:rsidR="003817DF" w:rsidRPr="006A3BB6" w:rsidRDefault="005C3EB9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b/>
                <w:color w:val="000000"/>
                <w:sz w:val="20"/>
              </w:rPr>
              <w:t>61.9 M</w:t>
            </w:r>
          </w:p>
          <w:p w:rsidR="003817DF" w:rsidRPr="006A3BB6" w:rsidRDefault="005C3EB9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color w:val="4C545B"/>
                <w:sz w:val="15"/>
              </w:rPr>
              <w:t>+48 mil</w:t>
            </w:r>
          </w:p>
        </w:tc>
        <w:tc>
          <w:tcPr>
            <w:tcW w:w="1473" w:type="dxa"/>
            <w:shd w:val="clear" w:color="auto" w:fill="F4F4F2"/>
          </w:tcPr>
          <w:p w:rsidR="003817DF" w:rsidRPr="006A3BB6" w:rsidRDefault="005C3EB9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b/>
                <w:color w:val="000000"/>
                <w:sz w:val="20"/>
              </w:rPr>
              <w:t>58.8 %</w:t>
            </w:r>
          </w:p>
          <w:p w:rsidR="003817DF" w:rsidRPr="006A3BB6" w:rsidRDefault="005C3EB9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color w:val="4C545B"/>
                <w:sz w:val="15"/>
              </w:rPr>
              <w:t>-1.0 pp</w:t>
            </w:r>
          </w:p>
        </w:tc>
        <w:tc>
          <w:tcPr>
            <w:tcW w:w="1473" w:type="dxa"/>
            <w:shd w:val="clear" w:color="auto" w:fill="F4F4F2"/>
          </w:tcPr>
          <w:p w:rsidR="003817DF" w:rsidRPr="006A3BB6" w:rsidRDefault="005C3EB9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b/>
                <w:color w:val="000000"/>
                <w:sz w:val="20"/>
              </w:rPr>
              <w:t>6.6 %</w:t>
            </w:r>
          </w:p>
          <w:p w:rsidR="003817DF" w:rsidRPr="006A3BB6" w:rsidRDefault="005C3EB9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color w:val="4C545B"/>
                <w:sz w:val="15"/>
              </w:rPr>
              <w:t>-0.8 pp</w:t>
            </w:r>
          </w:p>
        </w:tc>
        <w:tc>
          <w:tcPr>
            <w:tcW w:w="1473" w:type="dxa"/>
            <w:shd w:val="clear" w:color="auto" w:fill="F4F4F2"/>
          </w:tcPr>
          <w:p w:rsidR="003817DF" w:rsidRPr="006A3BB6" w:rsidRDefault="005C3EB9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b/>
                <w:color w:val="000000"/>
                <w:sz w:val="20"/>
              </w:rPr>
              <w:t>38.5 %</w:t>
            </w:r>
          </w:p>
          <w:p w:rsidR="003817DF" w:rsidRPr="006A3BB6" w:rsidRDefault="005C3EB9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color w:val="4C545B"/>
                <w:sz w:val="15"/>
              </w:rPr>
              <w:t>+1.8 pp</w:t>
            </w:r>
          </w:p>
        </w:tc>
        <w:tc>
          <w:tcPr>
            <w:tcW w:w="1473" w:type="dxa"/>
            <w:shd w:val="clear" w:color="auto" w:fill="F4F4F2"/>
          </w:tcPr>
          <w:p w:rsidR="003817DF" w:rsidRPr="006A3BB6" w:rsidRDefault="005C3EB9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b/>
                <w:color w:val="000000"/>
                <w:sz w:val="20"/>
              </w:rPr>
              <w:t>29.8 %</w:t>
            </w:r>
          </w:p>
          <w:p w:rsidR="003817DF" w:rsidRPr="006A3BB6" w:rsidRDefault="005C3EB9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color w:val="4C545B"/>
                <w:sz w:val="15"/>
              </w:rPr>
              <w:t>+0.9 pp</w:t>
            </w:r>
          </w:p>
        </w:tc>
        <w:tc>
          <w:tcPr>
            <w:tcW w:w="1473" w:type="dxa"/>
            <w:shd w:val="clear" w:color="auto" w:fill="F4F4F2"/>
          </w:tcPr>
          <w:p w:rsidR="003817DF" w:rsidRPr="006A3BB6" w:rsidRDefault="005C3EB9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b/>
                <w:color w:val="000000"/>
                <w:sz w:val="20"/>
              </w:rPr>
              <w:t>66.5 %</w:t>
            </w:r>
          </w:p>
          <w:p w:rsidR="003817DF" w:rsidRPr="006A3BB6" w:rsidRDefault="005C3EB9">
            <w:pPr>
              <w:jc w:val="center"/>
              <w:rPr>
                <w:rFonts w:ascii="Noto Sans" w:hAnsi="Noto Sans" w:cs="Noto Sans"/>
              </w:rPr>
            </w:pPr>
            <w:r w:rsidRPr="006A3BB6">
              <w:rPr>
                <w:rFonts w:ascii="Noto Sans" w:hAnsi="Noto Sans" w:cs="Noto Sans"/>
                <w:color w:val="4C545B"/>
                <w:sz w:val="15"/>
              </w:rPr>
              <w:t>+0.4 pp</w:t>
            </w:r>
          </w:p>
        </w:tc>
      </w:tr>
    </w:tbl>
    <w:p w:rsidR="00BC0BB8" w:rsidRPr="003E400C" w:rsidRDefault="003E400C" w:rsidP="00BA690B">
      <w:pPr>
        <w:spacing w:before="120"/>
        <w:jc w:val="both"/>
        <w:rPr>
          <w:rFonts w:ascii="Noto Sans" w:hAnsi="Noto Sans" w:cs="Noto Sans"/>
          <w:sz w:val="22"/>
          <w:szCs w:val="22"/>
        </w:rPr>
      </w:pPr>
      <w:r w:rsidRPr="003E400C">
        <w:rPr>
          <w:rFonts w:ascii="Noto Sans" w:hAnsi="Noto Sans" w:cs="Noto Sans"/>
          <w:color w:val="1A1A1A"/>
          <w:sz w:val="22"/>
          <w:szCs w:val="22"/>
        </w:rPr>
        <w:t xml:space="preserve">En junio de 2026, el mercado laboral mostró menor dinamismo: la población ocupada se ubicó en </w:t>
      </w:r>
      <w:r w:rsidRPr="003E400C">
        <w:rPr>
          <w:rFonts w:ascii="Noto Sans" w:hAnsi="Noto Sans" w:cs="Noto Sans"/>
          <w:b/>
          <w:color w:val="1A1A1A"/>
          <w:sz w:val="22"/>
          <w:szCs w:val="22"/>
        </w:rPr>
        <w:t>60.1 millones de personas</w:t>
      </w:r>
      <w:r w:rsidRPr="003E400C">
        <w:rPr>
          <w:rFonts w:ascii="Noto Sans" w:hAnsi="Noto Sans" w:cs="Noto Sans"/>
          <w:color w:val="1A1A1A"/>
          <w:sz w:val="22"/>
          <w:szCs w:val="22"/>
        </w:rPr>
        <w:t xml:space="preserve"> (-84 mil anual) y la tasa de participación bajó a </w:t>
      </w:r>
      <w:r w:rsidRPr="003E400C">
        <w:rPr>
          <w:rFonts w:ascii="Noto Sans" w:hAnsi="Noto Sans" w:cs="Noto Sans"/>
          <w:b/>
          <w:color w:val="1A1A1A"/>
          <w:sz w:val="22"/>
          <w:szCs w:val="22"/>
        </w:rPr>
        <w:t>58.8 %</w:t>
      </w:r>
      <w:r w:rsidRPr="003E400C">
        <w:rPr>
          <w:rFonts w:ascii="Noto Sans" w:hAnsi="Noto Sans" w:cs="Noto Sans"/>
          <w:color w:val="1A1A1A"/>
          <w:sz w:val="22"/>
          <w:szCs w:val="22"/>
        </w:rPr>
        <w:t xml:space="preserve"> (-1.0 pp). No obstante, la desocupación se mantuvo acotada en </w:t>
      </w:r>
      <w:r w:rsidRPr="003E400C">
        <w:rPr>
          <w:rFonts w:ascii="Noto Sans" w:hAnsi="Noto Sans" w:cs="Noto Sans"/>
          <w:b/>
          <w:color w:val="1A1A1A"/>
          <w:sz w:val="22"/>
          <w:szCs w:val="22"/>
        </w:rPr>
        <w:t>2.9 %</w:t>
      </w:r>
      <w:r w:rsidRPr="003E400C">
        <w:rPr>
          <w:rFonts w:ascii="Noto Sans" w:hAnsi="Noto Sans" w:cs="Noto Sans"/>
          <w:color w:val="1A1A1A"/>
          <w:sz w:val="22"/>
          <w:szCs w:val="22"/>
        </w:rPr>
        <w:t xml:space="preserve"> y la subocupación bajó a </w:t>
      </w:r>
      <w:r w:rsidRPr="003E400C">
        <w:rPr>
          <w:rFonts w:ascii="Noto Sans" w:hAnsi="Noto Sans" w:cs="Noto Sans"/>
          <w:b/>
          <w:color w:val="1A1A1A"/>
          <w:sz w:val="22"/>
          <w:szCs w:val="22"/>
        </w:rPr>
        <w:t>6.6 %</w:t>
      </w:r>
      <w:r w:rsidRPr="003E400C">
        <w:rPr>
          <w:rFonts w:ascii="Noto Sans" w:hAnsi="Noto Sans" w:cs="Noto Sans"/>
          <w:color w:val="1A1A1A"/>
          <w:sz w:val="22"/>
          <w:szCs w:val="22"/>
        </w:rPr>
        <w:t xml:space="preserve">, su menor nivel para un mes de junio desde 2021. </w:t>
      </w:r>
      <w:r w:rsidR="007462AF" w:rsidRPr="007462AF">
        <w:rPr>
          <w:rFonts w:ascii="Noto Sans" w:hAnsi="Noto Sans" w:cs="Noto Sans"/>
          <w:color w:val="1A1A1A"/>
          <w:sz w:val="22"/>
          <w:szCs w:val="22"/>
        </w:rPr>
        <w:t>La lectura es de menor incorporación laboral, con una mejora puntual en la presión por horas adicionales de trabajo.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4F4F2"/>
        <w:tblLook w:val="04A0" w:firstRow="1" w:lastRow="0" w:firstColumn="1" w:lastColumn="0" w:noHBand="0" w:noVBand="1"/>
      </w:tblPr>
      <w:tblGrid>
        <w:gridCol w:w="8828"/>
      </w:tblGrid>
      <w:tr w:rsidR="00246E09" w:rsidRPr="006A3BB6" w:rsidTr="005A6B97">
        <w:trPr>
          <w:trHeight w:val="1623"/>
        </w:trPr>
        <w:tc>
          <w:tcPr>
            <w:tcW w:w="8828" w:type="dxa"/>
            <w:shd w:val="clear" w:color="auto" w:fill="F4F4F2"/>
          </w:tcPr>
          <w:p w:rsidR="00246E09" w:rsidRPr="006A3BB6" w:rsidRDefault="00465707" w:rsidP="005A6B97">
            <w:pPr>
              <w:shd w:val="clear" w:color="auto" w:fill="F4F4F2"/>
              <w:spacing w:before="120"/>
              <w:rPr>
                <w:rFonts w:ascii="Noto Sans" w:hAnsi="Noto Sans" w:cs="Noto Sans"/>
                <w:sz w:val="22"/>
                <w:szCs w:val="22"/>
              </w:rPr>
            </w:pPr>
            <w:r w:rsidRPr="006A3BB6">
              <w:rPr>
                <w:rFonts w:ascii="Noto Sans" w:hAnsi="Noto Sans" w:cs="Noto Sans"/>
                <w:b/>
                <w:bCs/>
                <w:color w:val="10312B"/>
                <w:sz w:val="22"/>
                <w:szCs w:val="22"/>
              </w:rPr>
              <w:t>Resumen ejecutivo</w:t>
            </w:r>
          </w:p>
          <w:p w:rsidR="003E400C" w:rsidRPr="003E400C" w:rsidRDefault="003E400C" w:rsidP="00BA690B">
            <w:pPr>
              <w:pStyle w:val="pdq2pgselectionanchorcontainer"/>
              <w:numPr>
                <w:ilvl w:val="0"/>
                <w:numId w:val="34"/>
              </w:numPr>
              <w:spacing w:before="120" w:beforeAutospacing="0"/>
              <w:ind w:left="453" w:hanging="357"/>
              <w:jc w:val="both"/>
              <w:rPr>
                <w:rFonts w:ascii="Noto Sans" w:hAnsi="Noto Sans" w:cs="Noto Sans"/>
                <w:color w:val="000000"/>
                <w:sz w:val="22"/>
                <w:szCs w:val="22"/>
              </w:rPr>
            </w:pPr>
            <w:r w:rsidRPr="003E400C">
              <w:rPr>
                <w:rFonts w:ascii="Noto Sans" w:hAnsi="Noto Sans" w:cs="Noto Sans"/>
                <w:color w:val="000000"/>
                <w:sz w:val="22"/>
                <w:szCs w:val="22"/>
              </w:rPr>
              <w:t xml:space="preserve">La PEA </w:t>
            </w:r>
            <w:r w:rsidR="007462AF">
              <w:rPr>
                <w:rFonts w:ascii="Noto Sans" w:hAnsi="Noto Sans" w:cs="Noto Sans"/>
                <w:color w:val="000000"/>
                <w:sz w:val="22"/>
                <w:szCs w:val="22"/>
              </w:rPr>
              <w:t>aumentó</w:t>
            </w:r>
            <w:r w:rsidRPr="003E400C">
              <w:rPr>
                <w:rFonts w:ascii="Noto Sans" w:hAnsi="Noto Sans" w:cs="Noto Sans"/>
                <w:color w:val="000000"/>
                <w:sz w:val="22"/>
                <w:szCs w:val="22"/>
              </w:rPr>
              <w:t xml:space="preserve"> </w:t>
            </w:r>
            <w:r w:rsidR="00BA690B">
              <w:rPr>
                <w:rFonts w:ascii="Noto Sans" w:hAnsi="Noto Sans" w:cs="Noto Sans"/>
                <w:color w:val="000000"/>
                <w:sz w:val="22"/>
                <w:szCs w:val="22"/>
              </w:rPr>
              <w:t xml:space="preserve">en </w:t>
            </w:r>
            <w:r w:rsidRPr="007462AF">
              <w:rPr>
                <w:rFonts w:ascii="Noto Sans" w:hAnsi="Noto Sans" w:cs="Noto Sans"/>
                <w:b/>
                <w:color w:val="000000"/>
                <w:sz w:val="22"/>
                <w:szCs w:val="22"/>
              </w:rPr>
              <w:t>48 mil personas anual</w:t>
            </w:r>
            <w:r w:rsidRPr="003E400C">
              <w:rPr>
                <w:rFonts w:ascii="Noto Sans" w:hAnsi="Noto Sans" w:cs="Noto Sans"/>
                <w:color w:val="000000"/>
                <w:sz w:val="22"/>
                <w:szCs w:val="22"/>
              </w:rPr>
              <w:t>, el menor avance reciente; la tasa de participación bajó a 58.8 % (-1.0 pp).</w:t>
            </w:r>
          </w:p>
          <w:p w:rsidR="003E400C" w:rsidRPr="003E400C" w:rsidRDefault="003E400C" w:rsidP="003E400C">
            <w:pPr>
              <w:pStyle w:val="pdq2pgselectionanchorcontainer"/>
              <w:numPr>
                <w:ilvl w:val="0"/>
                <w:numId w:val="34"/>
              </w:numPr>
              <w:spacing w:before="120"/>
              <w:ind w:left="457"/>
              <w:jc w:val="both"/>
              <w:rPr>
                <w:rFonts w:ascii="Noto Sans" w:hAnsi="Noto Sans" w:cs="Noto Sans"/>
                <w:color w:val="000000"/>
                <w:sz w:val="22"/>
                <w:szCs w:val="22"/>
              </w:rPr>
            </w:pPr>
            <w:r w:rsidRPr="003E400C">
              <w:rPr>
                <w:rFonts w:ascii="Noto Sans" w:hAnsi="Noto Sans" w:cs="Noto Sans"/>
                <w:color w:val="000000"/>
                <w:sz w:val="22"/>
                <w:szCs w:val="22"/>
              </w:rPr>
              <w:t>La población ocupada disminuyó 84 mil personas anual y la desocupación subió a 2.9 % (+0.2 pp), aunque se mantiene baja en perspectiva histórica.</w:t>
            </w:r>
          </w:p>
          <w:p w:rsidR="00246E09" w:rsidRPr="003E400C" w:rsidRDefault="003E400C" w:rsidP="00BA690B">
            <w:pPr>
              <w:pStyle w:val="pdq2pgselectionanchorcontainer"/>
              <w:numPr>
                <w:ilvl w:val="0"/>
                <w:numId w:val="34"/>
              </w:numPr>
              <w:spacing w:after="0" w:afterAutospacing="0"/>
              <w:ind w:left="453" w:hanging="357"/>
              <w:jc w:val="both"/>
              <w:rPr>
                <w:rFonts w:ascii="Noto Sans" w:hAnsi="Noto Sans" w:cs="Noto Sans"/>
                <w:color w:val="000000"/>
                <w:sz w:val="22"/>
                <w:szCs w:val="22"/>
              </w:rPr>
            </w:pPr>
            <w:r w:rsidRPr="003E400C">
              <w:rPr>
                <w:rFonts w:ascii="Noto Sans" w:hAnsi="Noto Sans" w:cs="Noto Sans"/>
                <w:color w:val="000000"/>
                <w:sz w:val="22"/>
                <w:szCs w:val="22"/>
              </w:rPr>
              <w:t>La señal favorable fue la subocupación: bajó a 6.6 % (-0.8 pp), mientras el trabajo asalariado aumentó a 66.5 % (+0.4 pp).</w:t>
            </w:r>
          </w:p>
        </w:tc>
      </w:tr>
    </w:tbl>
    <w:p w:rsidR="005A6B97" w:rsidRPr="006A3BB6" w:rsidRDefault="005A6B97" w:rsidP="005A6B97">
      <w:pPr>
        <w:rPr>
          <w:rFonts w:ascii="Noto Sans" w:hAnsi="Noto Sans" w:cs="Noto Sans"/>
          <w:b/>
          <w:color w:val="10312B"/>
          <w:sz w:val="22"/>
          <w:szCs w:val="22"/>
        </w:rPr>
      </w:pPr>
    </w:p>
    <w:p w:rsidR="00246E09" w:rsidRPr="006A3BB6" w:rsidRDefault="00465707" w:rsidP="00815835">
      <w:pPr>
        <w:spacing w:after="120"/>
        <w:jc w:val="center"/>
        <w:rPr>
          <w:rFonts w:ascii="Noto Sans" w:hAnsi="Noto Sans" w:cs="Noto Sans"/>
          <w:sz w:val="22"/>
          <w:szCs w:val="22"/>
        </w:rPr>
      </w:pPr>
      <w:r w:rsidRPr="006A3BB6">
        <w:rPr>
          <w:rFonts w:ascii="Noto Sans" w:hAnsi="Noto Sans" w:cs="Noto Sans"/>
          <w:b/>
          <w:color w:val="10312B"/>
          <w:sz w:val="22"/>
          <w:szCs w:val="22"/>
        </w:rPr>
        <w:t xml:space="preserve">Tasa de desocupación y tasa de informalidad laboral, junio de cada año, 2021-2026 </w:t>
      </w:r>
    </w:p>
    <w:p w:rsidR="00BA690B" w:rsidRDefault="00465707" w:rsidP="007462AF">
      <w:pPr>
        <w:jc w:val="center"/>
        <w:rPr>
          <w:rFonts w:ascii="Noto Sans" w:hAnsi="Noto Sans" w:cs="Noto Sans"/>
          <w:sz w:val="22"/>
          <w:szCs w:val="22"/>
        </w:rPr>
      </w:pPr>
      <w:r w:rsidRPr="006A3BB6">
        <w:rPr>
          <w:rFonts w:ascii="Noto Sans" w:hAnsi="Noto Sans" w:cs="Noto Sans"/>
          <w:noProof/>
          <w:sz w:val="22"/>
          <w:szCs w:val="22"/>
        </w:rPr>
        <w:drawing>
          <wp:inline distT="0" distB="0" distL="0" distR="0">
            <wp:extent cx="5267194" cy="188510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a1_tendenc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9734" cy="191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B44" w:rsidRPr="006A3BB6" w:rsidRDefault="00BB3B44" w:rsidP="007462AF">
      <w:pPr>
        <w:jc w:val="center"/>
        <w:rPr>
          <w:rFonts w:ascii="Noto Sans" w:hAnsi="Noto Sans" w:cs="Noto Sans"/>
          <w:sz w:val="22"/>
          <w:szCs w:val="22"/>
        </w:rPr>
      </w:pPr>
      <w:bookmarkStart w:id="0" w:name="_GoBack"/>
      <w:bookmarkEnd w:id="0"/>
    </w:p>
    <w:p w:rsidR="00246E09" w:rsidRPr="006A3BB6" w:rsidRDefault="00465707">
      <w:pPr>
        <w:shd w:val="clear" w:color="auto" w:fill="005E4C"/>
        <w:jc w:val="both"/>
        <w:rPr>
          <w:rFonts w:ascii="Noto Sans" w:hAnsi="Noto Sans" w:cs="Noto Sans"/>
          <w:sz w:val="22"/>
          <w:szCs w:val="22"/>
        </w:rPr>
      </w:pPr>
      <w:r w:rsidRPr="006A3BB6">
        <w:rPr>
          <w:rFonts w:ascii="Noto Sans" w:hAnsi="Noto Sans" w:cs="Noto Sans"/>
          <w:b/>
          <w:bCs/>
          <w:color w:val="FFFFFF" w:themeColor="background1"/>
          <w:sz w:val="22"/>
          <w:szCs w:val="22"/>
        </w:rPr>
        <w:lastRenderedPageBreak/>
        <w:t>Análisis</w:t>
      </w:r>
    </w:p>
    <w:p w:rsidR="003E400C" w:rsidRPr="003E400C" w:rsidRDefault="003E400C" w:rsidP="00BA690B">
      <w:pPr>
        <w:pStyle w:val="Prrafodelista"/>
        <w:numPr>
          <w:ilvl w:val="0"/>
          <w:numId w:val="35"/>
        </w:numPr>
        <w:spacing w:before="120"/>
        <w:ind w:left="425" w:hanging="357"/>
        <w:jc w:val="both"/>
        <w:rPr>
          <w:rFonts w:ascii="Noto Sans" w:hAnsi="Noto Sans" w:cs="Noto Sans"/>
          <w:color w:val="000000"/>
          <w:sz w:val="22"/>
          <w:szCs w:val="22"/>
        </w:rPr>
      </w:pPr>
      <w:r w:rsidRPr="003E400C">
        <w:rPr>
          <w:rFonts w:ascii="Noto Sans" w:hAnsi="Noto Sans" w:cs="Noto Sans"/>
          <w:color w:val="000000"/>
          <w:sz w:val="22"/>
          <w:szCs w:val="22"/>
        </w:rPr>
        <w:t>La moderación se observa en dos frentes: menor participación económica y ligera baja anual de la ocupación. Aun así, el aumento de la desocupación fue acotado y la tasa permanece por debajo de los niveles de junio de 2021 y 2022.</w:t>
      </w:r>
    </w:p>
    <w:p w:rsidR="00BA690B" w:rsidRDefault="003E400C" w:rsidP="00FE6430">
      <w:pPr>
        <w:pStyle w:val="Prrafodelista"/>
        <w:numPr>
          <w:ilvl w:val="0"/>
          <w:numId w:val="35"/>
        </w:numPr>
        <w:spacing w:before="120"/>
        <w:ind w:left="425" w:hanging="357"/>
        <w:jc w:val="both"/>
        <w:rPr>
          <w:rFonts w:ascii="Noto Sans" w:hAnsi="Noto Sans" w:cs="Noto Sans"/>
          <w:color w:val="000000"/>
          <w:sz w:val="22"/>
          <w:szCs w:val="22"/>
        </w:rPr>
      </w:pPr>
      <w:r w:rsidRPr="00BA690B">
        <w:rPr>
          <w:rFonts w:ascii="Noto Sans" w:hAnsi="Noto Sans" w:cs="Noto Sans"/>
          <w:color w:val="000000"/>
          <w:sz w:val="22"/>
          <w:szCs w:val="22"/>
        </w:rPr>
        <w:t xml:space="preserve">La mejora en subocupación y el aumento del trabajo asalariado son los datos favorables del mes. </w:t>
      </w:r>
      <w:r w:rsidR="00815835">
        <w:rPr>
          <w:rFonts w:ascii="Noto Sans" w:hAnsi="Noto Sans" w:cs="Noto Sans"/>
          <w:color w:val="000000"/>
          <w:sz w:val="22"/>
          <w:szCs w:val="22"/>
        </w:rPr>
        <w:t>L</w:t>
      </w:r>
      <w:r w:rsidRPr="00BA690B">
        <w:rPr>
          <w:rFonts w:ascii="Noto Sans" w:hAnsi="Noto Sans" w:cs="Noto Sans"/>
          <w:color w:val="000000"/>
          <w:sz w:val="22"/>
          <w:szCs w:val="22"/>
        </w:rPr>
        <w:t xml:space="preserve">a informalidad </w:t>
      </w:r>
      <w:r w:rsidR="00815835" w:rsidRPr="00815835">
        <w:rPr>
          <w:rFonts w:ascii="Noto Sans" w:hAnsi="Noto Sans" w:cs="Noto Sans"/>
          <w:color w:val="000000"/>
          <w:sz w:val="22"/>
          <w:szCs w:val="22"/>
        </w:rPr>
        <w:t>en 55.0 %</w:t>
      </w:r>
      <w:r w:rsidR="00815835">
        <w:rPr>
          <w:rFonts w:ascii="Noto Sans" w:hAnsi="Noto Sans" w:cs="Noto Sans"/>
          <w:color w:val="000000"/>
          <w:sz w:val="22"/>
          <w:szCs w:val="22"/>
        </w:rPr>
        <w:t xml:space="preserve">, </w:t>
      </w:r>
      <w:r w:rsidRPr="00BA690B">
        <w:rPr>
          <w:rFonts w:ascii="Noto Sans" w:hAnsi="Noto Sans" w:cs="Noto Sans"/>
          <w:color w:val="000000"/>
          <w:sz w:val="22"/>
          <w:szCs w:val="22"/>
        </w:rPr>
        <w:t>se mantiene elevada</w:t>
      </w:r>
      <w:r w:rsidR="00BA690B">
        <w:rPr>
          <w:rFonts w:ascii="Noto Sans" w:hAnsi="Noto Sans" w:cs="Noto Sans"/>
          <w:color w:val="000000"/>
          <w:sz w:val="22"/>
          <w:szCs w:val="22"/>
        </w:rPr>
        <w:t>.</w:t>
      </w:r>
    </w:p>
    <w:p w:rsidR="00815835" w:rsidRDefault="00815835" w:rsidP="00815835"/>
    <w:p w:rsidR="00BA690B" w:rsidRPr="00815835" w:rsidRDefault="00815835" w:rsidP="00815835">
      <w:pPr>
        <w:spacing w:after="120"/>
        <w:jc w:val="center"/>
        <w:rPr>
          <w:rFonts w:ascii="Noto Sans" w:hAnsi="Noto Sans" w:cs="Noto Sans"/>
          <w:b/>
          <w:color w:val="10312B"/>
          <w:sz w:val="22"/>
          <w:szCs w:val="22"/>
        </w:rPr>
      </w:pPr>
      <w:r w:rsidRPr="00815835">
        <w:rPr>
          <w:rFonts w:ascii="Noto Sans" w:hAnsi="Noto Sans" w:cs="Noto Sans"/>
          <w:b/>
          <w:color w:val="10312B"/>
          <w:sz w:val="22"/>
          <w:szCs w:val="22"/>
        </w:rPr>
        <w:t>Comparación mensual, marzo-junio de 2026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655D4F" w:rsidRPr="006A3BB6">
        <w:tc>
          <w:tcPr>
            <w:tcW w:w="2209" w:type="dxa"/>
            <w:shd w:val="clear" w:color="auto" w:fill="235B4C"/>
          </w:tcPr>
          <w:p w:rsidR="00655D4F" w:rsidRPr="006A3BB6" w:rsidRDefault="001259AE">
            <w:pPr>
              <w:rPr>
                <w:rFonts w:ascii="Noto Sans" w:hAnsi="Noto Sans" w:cs="Noto Sans"/>
                <w:sz w:val="16"/>
                <w:szCs w:val="16"/>
              </w:rPr>
            </w:pPr>
            <w:r w:rsidRPr="006A3BB6">
              <w:rPr>
                <w:rFonts w:ascii="Noto Sans" w:hAnsi="Noto Sans" w:cs="Noto Sans"/>
                <w:b/>
                <w:color w:val="FFFFFF"/>
                <w:sz w:val="16"/>
                <w:szCs w:val="16"/>
              </w:rPr>
              <w:t>Indicador</w:t>
            </w:r>
          </w:p>
        </w:tc>
        <w:tc>
          <w:tcPr>
            <w:tcW w:w="2209" w:type="dxa"/>
            <w:shd w:val="clear" w:color="auto" w:fill="235B4C"/>
          </w:tcPr>
          <w:p w:rsidR="00655D4F" w:rsidRPr="006A3BB6" w:rsidRDefault="001259AE">
            <w:pPr>
              <w:jc w:val="center"/>
              <w:rPr>
                <w:rFonts w:ascii="Noto Sans" w:hAnsi="Noto Sans" w:cs="Noto Sans"/>
                <w:sz w:val="16"/>
                <w:szCs w:val="16"/>
              </w:rPr>
            </w:pPr>
            <w:r w:rsidRPr="006A3BB6">
              <w:rPr>
                <w:rFonts w:ascii="Noto Sans" w:hAnsi="Noto Sans" w:cs="Noto Sans"/>
                <w:b/>
                <w:color w:val="FFFFFF"/>
                <w:sz w:val="16"/>
                <w:szCs w:val="16"/>
              </w:rPr>
              <w:t>Marzo</w:t>
            </w:r>
          </w:p>
        </w:tc>
        <w:tc>
          <w:tcPr>
            <w:tcW w:w="2209" w:type="dxa"/>
            <w:shd w:val="clear" w:color="auto" w:fill="235B4C"/>
          </w:tcPr>
          <w:p w:rsidR="00655D4F" w:rsidRPr="006A3BB6" w:rsidRDefault="001259AE">
            <w:pPr>
              <w:jc w:val="center"/>
              <w:rPr>
                <w:rFonts w:ascii="Noto Sans" w:hAnsi="Noto Sans" w:cs="Noto Sans"/>
                <w:sz w:val="16"/>
                <w:szCs w:val="16"/>
              </w:rPr>
            </w:pPr>
            <w:r w:rsidRPr="006A3BB6">
              <w:rPr>
                <w:rFonts w:ascii="Noto Sans" w:hAnsi="Noto Sans" w:cs="Noto Sans"/>
                <w:b/>
                <w:color w:val="FFFFFF"/>
                <w:sz w:val="16"/>
                <w:szCs w:val="16"/>
              </w:rPr>
              <w:t>Mayo</w:t>
            </w:r>
          </w:p>
        </w:tc>
        <w:tc>
          <w:tcPr>
            <w:tcW w:w="2209" w:type="dxa"/>
            <w:shd w:val="clear" w:color="auto" w:fill="235B4C"/>
          </w:tcPr>
          <w:p w:rsidR="00655D4F" w:rsidRPr="006A3BB6" w:rsidRDefault="001259AE">
            <w:pPr>
              <w:jc w:val="center"/>
              <w:rPr>
                <w:rFonts w:ascii="Noto Sans" w:hAnsi="Noto Sans" w:cs="Noto Sans"/>
                <w:sz w:val="16"/>
                <w:szCs w:val="16"/>
              </w:rPr>
            </w:pPr>
            <w:r w:rsidRPr="006A3BB6">
              <w:rPr>
                <w:rFonts w:ascii="Noto Sans" w:hAnsi="Noto Sans" w:cs="Noto Sans"/>
                <w:b/>
                <w:color w:val="FFFFFF"/>
                <w:sz w:val="16"/>
                <w:szCs w:val="16"/>
              </w:rPr>
              <w:t>Junio</w:t>
            </w:r>
          </w:p>
        </w:tc>
      </w:tr>
      <w:tr w:rsidR="00655D4F" w:rsidRPr="006A3BB6">
        <w:tc>
          <w:tcPr>
            <w:tcW w:w="2209" w:type="dxa"/>
            <w:shd w:val="clear" w:color="auto" w:fill="F4F4F2"/>
          </w:tcPr>
          <w:p w:rsidR="00655D4F" w:rsidRPr="006A3BB6" w:rsidRDefault="001259AE">
            <w:pPr>
              <w:rPr>
                <w:rFonts w:ascii="Noto Sans" w:hAnsi="Noto Sans" w:cs="Noto Sans"/>
                <w:sz w:val="16"/>
                <w:szCs w:val="16"/>
              </w:rPr>
            </w:pPr>
            <w:r w:rsidRPr="006A3BB6">
              <w:rPr>
                <w:rFonts w:ascii="Noto Sans" w:hAnsi="Noto Sans" w:cs="Noto Sans"/>
                <w:b/>
                <w:color w:val="000000"/>
                <w:sz w:val="16"/>
                <w:szCs w:val="16"/>
              </w:rPr>
              <w:t>PEA (var. anual, miles)</w:t>
            </w:r>
          </w:p>
        </w:tc>
        <w:tc>
          <w:tcPr>
            <w:tcW w:w="2209" w:type="dxa"/>
            <w:shd w:val="clear" w:color="auto" w:fill="F4F4F2"/>
          </w:tcPr>
          <w:p w:rsidR="00655D4F" w:rsidRPr="006A3BB6" w:rsidRDefault="001259AE">
            <w:pPr>
              <w:jc w:val="center"/>
              <w:rPr>
                <w:rFonts w:ascii="Noto Sans" w:hAnsi="Noto Sans" w:cs="Noto Sans"/>
                <w:sz w:val="16"/>
                <w:szCs w:val="16"/>
              </w:rPr>
            </w:pPr>
            <w:r w:rsidRPr="006A3BB6">
              <w:rPr>
                <w:rFonts w:ascii="Noto Sans" w:hAnsi="Noto Sans" w:cs="Noto Sans"/>
                <w:color w:val="000000"/>
                <w:sz w:val="16"/>
                <w:szCs w:val="16"/>
              </w:rPr>
              <w:t>+558</w:t>
            </w:r>
          </w:p>
        </w:tc>
        <w:tc>
          <w:tcPr>
            <w:tcW w:w="2209" w:type="dxa"/>
            <w:shd w:val="clear" w:color="auto" w:fill="F4F4F2"/>
          </w:tcPr>
          <w:p w:rsidR="00655D4F" w:rsidRPr="006A3BB6" w:rsidRDefault="001259AE">
            <w:pPr>
              <w:jc w:val="center"/>
              <w:rPr>
                <w:rFonts w:ascii="Noto Sans" w:hAnsi="Noto Sans" w:cs="Noto Sans"/>
                <w:sz w:val="16"/>
                <w:szCs w:val="16"/>
              </w:rPr>
            </w:pPr>
            <w:r w:rsidRPr="006A3BB6">
              <w:rPr>
                <w:rFonts w:ascii="Noto Sans" w:hAnsi="Noto Sans" w:cs="Noto Sans"/>
                <w:color w:val="000000"/>
                <w:sz w:val="16"/>
                <w:szCs w:val="16"/>
              </w:rPr>
              <w:t>+460</w:t>
            </w:r>
          </w:p>
        </w:tc>
        <w:tc>
          <w:tcPr>
            <w:tcW w:w="2209" w:type="dxa"/>
            <w:shd w:val="clear" w:color="auto" w:fill="F4F4F2"/>
          </w:tcPr>
          <w:p w:rsidR="00655D4F" w:rsidRPr="006A3BB6" w:rsidRDefault="001259AE">
            <w:pPr>
              <w:jc w:val="center"/>
              <w:rPr>
                <w:rFonts w:ascii="Noto Sans" w:hAnsi="Noto Sans" w:cs="Noto Sans"/>
                <w:sz w:val="16"/>
                <w:szCs w:val="16"/>
              </w:rPr>
            </w:pPr>
            <w:r w:rsidRPr="006A3BB6">
              <w:rPr>
                <w:rFonts w:ascii="Noto Sans" w:hAnsi="Noto Sans" w:cs="Noto Sans"/>
                <w:color w:val="000000"/>
                <w:sz w:val="16"/>
                <w:szCs w:val="16"/>
              </w:rPr>
              <w:t>+48</w:t>
            </w:r>
          </w:p>
        </w:tc>
      </w:tr>
      <w:tr w:rsidR="00655D4F" w:rsidRPr="006A3BB6">
        <w:tc>
          <w:tcPr>
            <w:tcW w:w="2209" w:type="dxa"/>
          </w:tcPr>
          <w:p w:rsidR="00655D4F" w:rsidRPr="006A3BB6" w:rsidRDefault="001259AE">
            <w:pPr>
              <w:rPr>
                <w:rFonts w:ascii="Noto Sans" w:hAnsi="Noto Sans" w:cs="Noto Sans"/>
                <w:sz w:val="16"/>
                <w:szCs w:val="16"/>
              </w:rPr>
            </w:pPr>
            <w:r w:rsidRPr="006A3BB6">
              <w:rPr>
                <w:rFonts w:ascii="Noto Sans" w:hAnsi="Noto Sans" w:cs="Noto Sans"/>
                <w:b/>
                <w:color w:val="000000"/>
                <w:sz w:val="16"/>
                <w:szCs w:val="16"/>
              </w:rPr>
              <w:t>Tasa de desocupación</w:t>
            </w:r>
          </w:p>
        </w:tc>
        <w:tc>
          <w:tcPr>
            <w:tcW w:w="2209" w:type="dxa"/>
          </w:tcPr>
          <w:p w:rsidR="00655D4F" w:rsidRPr="006A3BB6" w:rsidRDefault="001259AE">
            <w:pPr>
              <w:jc w:val="center"/>
              <w:rPr>
                <w:rFonts w:ascii="Noto Sans" w:hAnsi="Noto Sans" w:cs="Noto Sans"/>
                <w:sz w:val="16"/>
                <w:szCs w:val="16"/>
              </w:rPr>
            </w:pPr>
            <w:r w:rsidRPr="006A3BB6">
              <w:rPr>
                <w:rFonts w:ascii="Noto Sans" w:hAnsi="Noto Sans" w:cs="Noto Sans"/>
                <w:color w:val="000000"/>
                <w:sz w:val="16"/>
                <w:szCs w:val="16"/>
              </w:rPr>
              <w:t>2.4 %</w:t>
            </w:r>
          </w:p>
        </w:tc>
        <w:tc>
          <w:tcPr>
            <w:tcW w:w="2209" w:type="dxa"/>
          </w:tcPr>
          <w:p w:rsidR="00655D4F" w:rsidRPr="006A3BB6" w:rsidRDefault="001259AE">
            <w:pPr>
              <w:jc w:val="center"/>
              <w:rPr>
                <w:rFonts w:ascii="Noto Sans" w:hAnsi="Noto Sans" w:cs="Noto Sans"/>
                <w:sz w:val="16"/>
                <w:szCs w:val="16"/>
              </w:rPr>
            </w:pPr>
            <w:r w:rsidRPr="006A3BB6">
              <w:rPr>
                <w:rFonts w:ascii="Noto Sans" w:hAnsi="Noto Sans" w:cs="Noto Sans"/>
                <w:color w:val="000000"/>
                <w:sz w:val="16"/>
                <w:szCs w:val="16"/>
              </w:rPr>
              <w:t>2.8 %</w:t>
            </w:r>
          </w:p>
        </w:tc>
        <w:tc>
          <w:tcPr>
            <w:tcW w:w="2209" w:type="dxa"/>
          </w:tcPr>
          <w:p w:rsidR="00655D4F" w:rsidRPr="006A3BB6" w:rsidRDefault="001259AE">
            <w:pPr>
              <w:jc w:val="center"/>
              <w:rPr>
                <w:rFonts w:ascii="Noto Sans" w:hAnsi="Noto Sans" w:cs="Noto Sans"/>
                <w:sz w:val="16"/>
                <w:szCs w:val="16"/>
              </w:rPr>
            </w:pPr>
            <w:r w:rsidRPr="006A3BB6">
              <w:rPr>
                <w:rFonts w:ascii="Noto Sans" w:hAnsi="Noto Sans" w:cs="Noto Sans"/>
                <w:color w:val="000000"/>
                <w:sz w:val="16"/>
                <w:szCs w:val="16"/>
              </w:rPr>
              <w:t>2.9 %</w:t>
            </w:r>
          </w:p>
        </w:tc>
      </w:tr>
      <w:tr w:rsidR="00655D4F" w:rsidRPr="006A3BB6">
        <w:tc>
          <w:tcPr>
            <w:tcW w:w="2209" w:type="dxa"/>
            <w:shd w:val="clear" w:color="auto" w:fill="F4F4F2"/>
          </w:tcPr>
          <w:p w:rsidR="00655D4F" w:rsidRPr="006A3BB6" w:rsidRDefault="001259AE">
            <w:pPr>
              <w:rPr>
                <w:rFonts w:ascii="Noto Sans" w:hAnsi="Noto Sans" w:cs="Noto Sans"/>
                <w:sz w:val="16"/>
                <w:szCs w:val="16"/>
              </w:rPr>
            </w:pPr>
            <w:r w:rsidRPr="006A3BB6">
              <w:rPr>
                <w:rFonts w:ascii="Noto Sans" w:hAnsi="Noto Sans" w:cs="Noto Sans"/>
                <w:b/>
                <w:color w:val="000000"/>
                <w:sz w:val="16"/>
                <w:szCs w:val="16"/>
              </w:rPr>
              <w:t>Tasa de subocupación</w:t>
            </w:r>
          </w:p>
        </w:tc>
        <w:tc>
          <w:tcPr>
            <w:tcW w:w="2209" w:type="dxa"/>
            <w:shd w:val="clear" w:color="auto" w:fill="F4F4F2"/>
          </w:tcPr>
          <w:p w:rsidR="00655D4F" w:rsidRPr="006A3BB6" w:rsidRDefault="001259AE">
            <w:pPr>
              <w:jc w:val="center"/>
              <w:rPr>
                <w:rFonts w:ascii="Noto Sans" w:hAnsi="Noto Sans" w:cs="Noto Sans"/>
                <w:sz w:val="16"/>
                <w:szCs w:val="16"/>
              </w:rPr>
            </w:pPr>
            <w:r w:rsidRPr="006A3BB6">
              <w:rPr>
                <w:rFonts w:ascii="Noto Sans" w:hAnsi="Noto Sans" w:cs="Noto Sans"/>
                <w:color w:val="000000"/>
                <w:sz w:val="16"/>
                <w:szCs w:val="16"/>
              </w:rPr>
              <w:t>6.7 %</w:t>
            </w:r>
          </w:p>
        </w:tc>
        <w:tc>
          <w:tcPr>
            <w:tcW w:w="2209" w:type="dxa"/>
            <w:shd w:val="clear" w:color="auto" w:fill="F4F4F2"/>
          </w:tcPr>
          <w:p w:rsidR="00655D4F" w:rsidRPr="006A3BB6" w:rsidRDefault="001259AE">
            <w:pPr>
              <w:jc w:val="center"/>
              <w:rPr>
                <w:rFonts w:ascii="Noto Sans" w:hAnsi="Noto Sans" w:cs="Noto Sans"/>
                <w:sz w:val="16"/>
                <w:szCs w:val="16"/>
              </w:rPr>
            </w:pPr>
            <w:r w:rsidRPr="006A3BB6">
              <w:rPr>
                <w:rFonts w:ascii="Noto Sans" w:hAnsi="Noto Sans" w:cs="Noto Sans"/>
                <w:color w:val="000000"/>
                <w:sz w:val="16"/>
                <w:szCs w:val="16"/>
              </w:rPr>
              <w:t>7.0 %</w:t>
            </w:r>
          </w:p>
        </w:tc>
        <w:tc>
          <w:tcPr>
            <w:tcW w:w="2209" w:type="dxa"/>
            <w:shd w:val="clear" w:color="auto" w:fill="F4F4F2"/>
          </w:tcPr>
          <w:p w:rsidR="00655D4F" w:rsidRPr="006A3BB6" w:rsidRDefault="001259AE">
            <w:pPr>
              <w:jc w:val="center"/>
              <w:rPr>
                <w:rFonts w:ascii="Noto Sans" w:hAnsi="Noto Sans" w:cs="Noto Sans"/>
                <w:sz w:val="16"/>
                <w:szCs w:val="16"/>
              </w:rPr>
            </w:pPr>
            <w:r w:rsidRPr="006A3BB6">
              <w:rPr>
                <w:rFonts w:ascii="Noto Sans" w:hAnsi="Noto Sans" w:cs="Noto Sans"/>
                <w:color w:val="000000"/>
                <w:sz w:val="16"/>
                <w:szCs w:val="16"/>
              </w:rPr>
              <w:t>6.6 %</w:t>
            </w:r>
          </w:p>
        </w:tc>
      </w:tr>
      <w:tr w:rsidR="00655D4F" w:rsidRPr="006A3BB6">
        <w:tc>
          <w:tcPr>
            <w:tcW w:w="2209" w:type="dxa"/>
          </w:tcPr>
          <w:p w:rsidR="00655D4F" w:rsidRPr="006A3BB6" w:rsidRDefault="001259AE">
            <w:pPr>
              <w:rPr>
                <w:rFonts w:ascii="Noto Sans" w:hAnsi="Noto Sans" w:cs="Noto Sans"/>
                <w:sz w:val="16"/>
                <w:szCs w:val="16"/>
              </w:rPr>
            </w:pPr>
            <w:r w:rsidRPr="006A3BB6">
              <w:rPr>
                <w:rFonts w:ascii="Noto Sans" w:hAnsi="Noto Sans" w:cs="Noto Sans"/>
                <w:b/>
                <w:color w:val="000000"/>
                <w:sz w:val="16"/>
                <w:szCs w:val="16"/>
              </w:rPr>
              <w:t>TCCO (var. anual, pp)</w:t>
            </w:r>
          </w:p>
        </w:tc>
        <w:tc>
          <w:tcPr>
            <w:tcW w:w="2209" w:type="dxa"/>
          </w:tcPr>
          <w:p w:rsidR="00655D4F" w:rsidRPr="006A3BB6" w:rsidRDefault="001259AE">
            <w:pPr>
              <w:jc w:val="center"/>
              <w:rPr>
                <w:rFonts w:ascii="Noto Sans" w:hAnsi="Noto Sans" w:cs="Noto Sans"/>
                <w:sz w:val="16"/>
                <w:szCs w:val="16"/>
              </w:rPr>
            </w:pPr>
            <w:r w:rsidRPr="006A3BB6">
              <w:rPr>
                <w:rFonts w:ascii="Noto Sans" w:hAnsi="Noto Sans" w:cs="Noto Sans"/>
                <w:color w:val="000000"/>
                <w:sz w:val="16"/>
                <w:szCs w:val="16"/>
              </w:rPr>
              <w:t>+1.2</w:t>
            </w:r>
          </w:p>
        </w:tc>
        <w:tc>
          <w:tcPr>
            <w:tcW w:w="2209" w:type="dxa"/>
          </w:tcPr>
          <w:p w:rsidR="00655D4F" w:rsidRPr="006A3BB6" w:rsidRDefault="001259AE">
            <w:pPr>
              <w:jc w:val="center"/>
              <w:rPr>
                <w:rFonts w:ascii="Noto Sans" w:hAnsi="Noto Sans" w:cs="Noto Sans"/>
                <w:sz w:val="16"/>
                <w:szCs w:val="16"/>
              </w:rPr>
            </w:pPr>
            <w:r w:rsidRPr="006A3BB6">
              <w:rPr>
                <w:rFonts w:ascii="Noto Sans" w:hAnsi="Noto Sans" w:cs="Noto Sans"/>
                <w:color w:val="000000"/>
                <w:sz w:val="16"/>
                <w:szCs w:val="16"/>
              </w:rPr>
              <w:t>+2.4</w:t>
            </w:r>
          </w:p>
        </w:tc>
        <w:tc>
          <w:tcPr>
            <w:tcW w:w="2209" w:type="dxa"/>
          </w:tcPr>
          <w:p w:rsidR="00655D4F" w:rsidRPr="006A3BB6" w:rsidRDefault="001259AE">
            <w:pPr>
              <w:jc w:val="center"/>
              <w:rPr>
                <w:rFonts w:ascii="Noto Sans" w:hAnsi="Noto Sans" w:cs="Noto Sans"/>
                <w:sz w:val="16"/>
                <w:szCs w:val="16"/>
              </w:rPr>
            </w:pPr>
            <w:r w:rsidRPr="006A3BB6">
              <w:rPr>
                <w:rFonts w:ascii="Noto Sans" w:hAnsi="Noto Sans" w:cs="Noto Sans"/>
                <w:color w:val="000000"/>
                <w:sz w:val="16"/>
                <w:szCs w:val="16"/>
              </w:rPr>
              <w:t>+1.8</w:t>
            </w:r>
          </w:p>
        </w:tc>
      </w:tr>
    </w:tbl>
    <w:p w:rsidR="00F3290F" w:rsidRDefault="003E400C" w:rsidP="00BA690B">
      <w:pPr>
        <w:spacing w:before="120"/>
        <w:jc w:val="both"/>
        <w:rPr>
          <w:rFonts w:ascii="Noto Sans" w:hAnsi="Noto Sans" w:cs="Noto Sans"/>
          <w:sz w:val="22"/>
        </w:rPr>
      </w:pPr>
      <w:r w:rsidRPr="003E400C">
        <w:rPr>
          <w:rFonts w:ascii="Noto Sans" w:hAnsi="Noto Sans" w:cs="Noto Sans"/>
          <w:sz w:val="22"/>
        </w:rPr>
        <w:t>La comparación reciente confirma menor avance de la PEA, pero también una mejora de la subocupación frente a mayo.</w:t>
      </w:r>
    </w:p>
    <w:p w:rsidR="003E400C" w:rsidRDefault="003E400C">
      <w:pPr>
        <w:jc w:val="center"/>
        <w:rPr>
          <w:rFonts w:ascii="Noto Sans" w:hAnsi="Noto Sans" w:cs="Noto Sans"/>
          <w:b/>
          <w:color w:val="10312B"/>
          <w:sz w:val="22"/>
          <w:szCs w:val="22"/>
        </w:rPr>
      </w:pPr>
    </w:p>
    <w:p w:rsidR="00246E09" w:rsidRPr="006A3BB6" w:rsidRDefault="00465707">
      <w:pPr>
        <w:jc w:val="center"/>
        <w:rPr>
          <w:rFonts w:ascii="Noto Sans" w:hAnsi="Noto Sans" w:cs="Noto Sans"/>
          <w:sz w:val="22"/>
          <w:szCs w:val="22"/>
        </w:rPr>
      </w:pPr>
      <w:r w:rsidRPr="006A3BB6">
        <w:rPr>
          <w:rFonts w:ascii="Noto Sans" w:hAnsi="Noto Sans" w:cs="Noto Sans"/>
          <w:b/>
          <w:color w:val="10312B"/>
          <w:sz w:val="22"/>
          <w:szCs w:val="22"/>
        </w:rPr>
        <w:t>Variación anual de la población ocupada por sector de actividad económica, junio 2025-2026 (miles de personas)</w:t>
      </w:r>
    </w:p>
    <w:p w:rsidR="0065662B" w:rsidRPr="006A3BB6" w:rsidRDefault="00465707" w:rsidP="00154DA5">
      <w:pPr>
        <w:jc w:val="center"/>
        <w:rPr>
          <w:rFonts w:ascii="Noto Sans" w:hAnsi="Noto Sans" w:cs="Noto Sans"/>
          <w:sz w:val="22"/>
          <w:szCs w:val="22"/>
        </w:rPr>
      </w:pPr>
      <w:r w:rsidRPr="006A3BB6">
        <w:rPr>
          <w:rFonts w:ascii="Noto Sans" w:hAnsi="Noto Sans" w:cs="Noto Sans"/>
          <w:noProof/>
          <w:sz w:val="22"/>
          <w:szCs w:val="22"/>
        </w:rPr>
        <w:drawing>
          <wp:inline distT="0" distB="0" distL="0" distR="0">
            <wp:extent cx="5528551" cy="2356432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a2_sectori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2048" cy="237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00C" w:rsidRDefault="003E400C">
      <w:pPr>
        <w:jc w:val="both"/>
        <w:rPr>
          <w:rFonts w:ascii="Noto Sans" w:hAnsi="Noto Sans" w:cs="Noto Sans"/>
          <w:color w:val="10312B"/>
          <w:sz w:val="22"/>
          <w:szCs w:val="22"/>
        </w:rPr>
      </w:pPr>
      <w:r w:rsidRPr="003E400C">
        <w:rPr>
          <w:rFonts w:ascii="Noto Sans" w:hAnsi="Noto Sans" w:cs="Noto Sans"/>
          <w:color w:val="10312B"/>
          <w:sz w:val="22"/>
          <w:szCs w:val="22"/>
        </w:rPr>
        <w:t>Por sector, los avances en servicios diversos (+296 mil) y construcción (+139 mil) contrastaron con los ajustes en servicios profesionales (-308 mil) y servicios sociales (-263 mil).</w:t>
      </w:r>
    </w:p>
    <w:p w:rsidR="00BA690B" w:rsidRPr="00BA690B" w:rsidRDefault="00BA690B">
      <w:pPr>
        <w:jc w:val="both"/>
        <w:rPr>
          <w:rFonts w:ascii="Noto Sans" w:hAnsi="Noto Sans" w:cs="Noto Sans"/>
          <w:color w:val="10312B"/>
          <w:sz w:val="22"/>
          <w:szCs w:val="22"/>
        </w:rPr>
      </w:pPr>
    </w:p>
    <w:p w:rsidR="003F7434" w:rsidRPr="00F3290F" w:rsidRDefault="003F7434">
      <w:pPr>
        <w:jc w:val="both"/>
        <w:rPr>
          <w:rFonts w:ascii="Noto Sans" w:hAnsi="Noto Sans" w:cs="Noto Sans"/>
          <w:color w:val="4C545B"/>
          <w:sz w:val="16"/>
          <w:szCs w:val="22"/>
        </w:rPr>
      </w:pPr>
      <w:r w:rsidRPr="00F3290F">
        <w:rPr>
          <w:rFonts w:ascii="Noto Sans" w:hAnsi="Noto Sans" w:cs="Noto Sans"/>
          <w:color w:val="4C545B"/>
          <w:sz w:val="16"/>
          <w:szCs w:val="22"/>
        </w:rPr>
        <w:t xml:space="preserve">Nota: </w:t>
      </w:r>
      <w:r w:rsidR="003E400C" w:rsidRPr="003E400C">
        <w:rPr>
          <w:rFonts w:ascii="Noto Sans" w:hAnsi="Noto Sans" w:cs="Noto Sans"/>
          <w:color w:val="4C545B"/>
          <w:sz w:val="16"/>
          <w:szCs w:val="22"/>
        </w:rPr>
        <w:t>cifras no desestacionalizadas, salvo donde se indique. Las variaciones son anuales, junio 2025-junio 2026. La TCCO se calcula con salarios mínimos equivalentes, base enero de 2026; por ello, debe leerse con cautela.</w:t>
      </w:r>
    </w:p>
    <w:p w:rsidR="003F7434" w:rsidRPr="006A3BB6" w:rsidRDefault="003F7434">
      <w:pPr>
        <w:jc w:val="both"/>
        <w:rPr>
          <w:rFonts w:ascii="Noto Sans" w:hAnsi="Noto Sans" w:cs="Noto Sans"/>
          <w:color w:val="4C545B"/>
          <w:sz w:val="22"/>
          <w:szCs w:val="22"/>
        </w:rPr>
      </w:pPr>
    </w:p>
    <w:p w:rsidR="00246E09" w:rsidRPr="006A3BB6" w:rsidRDefault="00246E09">
      <w:pPr>
        <w:jc w:val="both"/>
        <w:rPr>
          <w:rFonts w:ascii="Noto Sans" w:hAnsi="Noto Sans" w:cs="Noto Sans"/>
          <w:sz w:val="16"/>
          <w:szCs w:val="16"/>
        </w:rPr>
      </w:pPr>
    </w:p>
    <w:sectPr w:rsidR="00246E09" w:rsidRPr="006A3BB6">
      <w:headerReference w:type="default" r:id="rId11"/>
      <w:footerReference w:type="even" r:id="rId12"/>
      <w:footerReference w:type="default" r:id="rId13"/>
      <w:pgSz w:w="12240" w:h="15840"/>
      <w:pgMar w:top="1134" w:right="1701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96CD0" w:rsidRDefault="00B96CD0" w:rsidP="00E32E74">
      <w:r>
        <w:separator/>
      </w:r>
    </w:p>
  </w:endnote>
  <w:endnote w:type="continuationSeparator" w:id="0">
    <w:p w:rsidR="00B96CD0" w:rsidRDefault="00B96CD0" w:rsidP="00E32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">
    <w:altName w:val="Calibri"/>
    <w:panose1 w:val="020B0502040504020204"/>
    <w:charset w:val="00"/>
    <w:family w:val="swiss"/>
    <w:pitch w:val="variable"/>
    <w:sig w:usb0="E00882FF" w:usb1="400078FF" w:usb2="08000029" w:usb3="00000000" w:csb0="0000019F" w:csb1="00000000"/>
  </w:font>
  <w:font w:name="Montserrat Light">
    <w:altName w:val="Calibri"/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altName w:val="Arial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Univers (W1)">
    <w:altName w:val="Arial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merodepgina"/>
      </w:rPr>
      <w:id w:val="144527516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:rsidR="008544E1" w:rsidRDefault="008544E1" w:rsidP="00DA379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CE633D"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:rsidR="008544E1" w:rsidRDefault="008544E1" w:rsidP="008544E1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54A2" w:rsidRDefault="00D60BF7" w:rsidP="008544E1">
    <w:pPr>
      <w:ind w:right="360"/>
    </w:pPr>
    <w:r>
      <w:rPr>
        <w:noProof/>
        <w:color w:val="000000"/>
      </w:rPr>
      <w:drawing>
        <wp:anchor distT="0" distB="0" distL="114300" distR="114300" simplePos="0" relativeHeight="251660288" behindDoc="1" locked="0" layoutInCell="1" allowOverlap="1" wp14:anchorId="093B9EEA" wp14:editId="414DD1FB">
          <wp:simplePos x="0" y="0"/>
          <wp:positionH relativeFrom="page">
            <wp:posOffset>-121920</wp:posOffset>
          </wp:positionH>
          <wp:positionV relativeFrom="paragraph">
            <wp:posOffset>-45085</wp:posOffset>
          </wp:positionV>
          <wp:extent cx="7894873" cy="1293628"/>
          <wp:effectExtent l="0" t="0" r="5080" b="1905"/>
          <wp:wrapNone/>
          <wp:docPr id="441815502" name="Imagen 1" descr="Imagen que contiene Aplicación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7835576" name="Imagen 1" descr="Imagen que contiene Aplicación  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139"/>
                  <a:stretch>
                    <a:fillRect/>
                  </a:stretch>
                </pic:blipFill>
                <pic:spPr bwMode="auto">
                  <a:xfrm>
                    <a:off x="0" y="0"/>
                    <a:ext cx="7894873" cy="129362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B54A2" w:rsidRPr="00E7262E" w:rsidRDefault="00DB54A2" w:rsidP="00A27EAB">
    <w:pPr>
      <w:jc w:val="right"/>
    </w:pPr>
  </w:p>
  <w:p w:rsidR="00B62B90" w:rsidRDefault="00B62B90" w:rsidP="00E32E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96CD0" w:rsidRDefault="00B96CD0" w:rsidP="00E32E74">
      <w:r>
        <w:separator/>
      </w:r>
    </w:p>
  </w:footnote>
  <w:footnote w:type="continuationSeparator" w:id="0">
    <w:p w:rsidR="00B96CD0" w:rsidRDefault="00B96CD0" w:rsidP="00E32E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54A2" w:rsidRDefault="00EA49C5" w:rsidP="00E32E74">
    <w:r>
      <w:rPr>
        <w:noProof/>
      </w:rPr>
      <w:drawing>
        <wp:anchor distT="0" distB="0" distL="0" distR="0" simplePos="0" relativeHeight="251658240" behindDoc="1" locked="0" layoutInCell="1" hidden="0" allowOverlap="1" wp14:anchorId="3C194DD2" wp14:editId="09349DB6">
          <wp:simplePos x="0" y="0"/>
          <wp:positionH relativeFrom="page">
            <wp:posOffset>-12700</wp:posOffset>
          </wp:positionH>
          <wp:positionV relativeFrom="paragraph">
            <wp:posOffset>-436626</wp:posOffset>
          </wp:positionV>
          <wp:extent cx="7753939" cy="1257300"/>
          <wp:effectExtent l="0" t="0" r="6350" b="0"/>
          <wp:wrapNone/>
          <wp:docPr id="949743675" name="image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16596"/>
                  <a:stretch>
                    <a:fillRect/>
                  </a:stretch>
                </pic:blipFill>
                <pic:spPr>
                  <a:xfrm>
                    <a:off x="0" y="0"/>
                    <a:ext cx="7753939" cy="1257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B54A2" w:rsidRDefault="00DB54A2" w:rsidP="00E32E74"/>
  <w:p w:rsidR="00DB54A2" w:rsidRDefault="00DB54A2" w:rsidP="00E32E74"/>
  <w:p w:rsidR="00F859CD" w:rsidRDefault="00F859CD" w:rsidP="00E32E74"/>
  <w:p w:rsidR="00EA51AD" w:rsidRDefault="009966CB" w:rsidP="00FE6B8B">
    <w:pPr>
      <w:ind w:left="-426"/>
      <w:rPr>
        <w:rFonts w:ascii="Calibri" w:hAnsi="Calibri" w:cs="Calibri"/>
        <w:b/>
        <w:sz w:val="22"/>
      </w:rPr>
    </w:pPr>
    <w:r>
      <w:rPr>
        <w:rFonts w:ascii="Noto Sans" w:hAnsi="Noto Sans"/>
        <w:b/>
        <w:sz w:val="22"/>
      </w:rPr>
      <w:t>Secretaría de Economía</w:t>
    </w:r>
  </w:p>
  <w:p w:rsidR="009966CB" w:rsidRPr="009966CB" w:rsidRDefault="009966CB" w:rsidP="00FE6B8B">
    <w:pPr>
      <w:ind w:left="-426"/>
      <w:rPr>
        <w:rFonts w:ascii="Calibri" w:hAnsi="Calibri" w:cs="Calibri"/>
        <w:b/>
        <w:bCs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66058"/>
    <w:multiLevelType w:val="multilevel"/>
    <w:tmpl w:val="CF0EF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00E73"/>
    <w:multiLevelType w:val="multilevel"/>
    <w:tmpl w:val="F8E6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74F6"/>
    <w:multiLevelType w:val="hybridMultilevel"/>
    <w:tmpl w:val="BD24C636"/>
    <w:lvl w:ilvl="0" w:tplc="040A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" w15:restartNumberingAfterBreak="0">
    <w:nsid w:val="09B5062C"/>
    <w:multiLevelType w:val="multilevel"/>
    <w:tmpl w:val="E0D4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B75AF"/>
    <w:multiLevelType w:val="multilevel"/>
    <w:tmpl w:val="F990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A051B"/>
    <w:multiLevelType w:val="multilevel"/>
    <w:tmpl w:val="F70C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26045"/>
    <w:multiLevelType w:val="hybridMultilevel"/>
    <w:tmpl w:val="2886F9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4B1544"/>
    <w:multiLevelType w:val="multilevel"/>
    <w:tmpl w:val="1DC4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E7BD5"/>
    <w:multiLevelType w:val="multilevel"/>
    <w:tmpl w:val="E21E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70303"/>
    <w:multiLevelType w:val="hybridMultilevel"/>
    <w:tmpl w:val="77764E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13076"/>
    <w:multiLevelType w:val="multilevel"/>
    <w:tmpl w:val="DC60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37F62"/>
    <w:multiLevelType w:val="hybridMultilevel"/>
    <w:tmpl w:val="491E8574"/>
    <w:lvl w:ilvl="0" w:tplc="47363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D72D51"/>
    <w:multiLevelType w:val="hybridMultilevel"/>
    <w:tmpl w:val="B27E3374"/>
    <w:lvl w:ilvl="0" w:tplc="3A18FC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7E7B97"/>
    <w:multiLevelType w:val="hybridMultilevel"/>
    <w:tmpl w:val="2A4A9C34"/>
    <w:lvl w:ilvl="0" w:tplc="BE928576">
      <w:numFmt w:val="bullet"/>
      <w:lvlText w:val="•"/>
      <w:lvlJc w:val="left"/>
      <w:pPr>
        <w:ind w:left="504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0F28E7"/>
    <w:multiLevelType w:val="multilevel"/>
    <w:tmpl w:val="B01CB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0E56A7"/>
    <w:multiLevelType w:val="multilevel"/>
    <w:tmpl w:val="2B92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F13CCD"/>
    <w:multiLevelType w:val="multilevel"/>
    <w:tmpl w:val="AEEE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7731D8"/>
    <w:multiLevelType w:val="hybridMultilevel"/>
    <w:tmpl w:val="E58CE21C"/>
    <w:lvl w:ilvl="0" w:tplc="0C348DAA">
      <w:start w:val="1"/>
      <w:numFmt w:val="upperRoman"/>
      <w:pStyle w:val="Ttulo4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270ACC"/>
    <w:multiLevelType w:val="multilevel"/>
    <w:tmpl w:val="DDDE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6F1DE7"/>
    <w:multiLevelType w:val="multilevel"/>
    <w:tmpl w:val="AF8E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745AEF"/>
    <w:multiLevelType w:val="multilevel"/>
    <w:tmpl w:val="77708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90047D"/>
    <w:multiLevelType w:val="hybridMultilevel"/>
    <w:tmpl w:val="A822CF98"/>
    <w:lvl w:ilvl="0" w:tplc="BE928576">
      <w:numFmt w:val="bullet"/>
      <w:lvlText w:val="•"/>
      <w:lvlJc w:val="left"/>
      <w:pPr>
        <w:ind w:left="504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2" w15:restartNumberingAfterBreak="0">
    <w:nsid w:val="62203C88"/>
    <w:multiLevelType w:val="multilevel"/>
    <w:tmpl w:val="CC1C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68072D"/>
    <w:multiLevelType w:val="hybridMultilevel"/>
    <w:tmpl w:val="050879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157499"/>
    <w:multiLevelType w:val="multilevel"/>
    <w:tmpl w:val="C582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6C00BF"/>
    <w:multiLevelType w:val="multilevel"/>
    <w:tmpl w:val="9810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7327C8"/>
    <w:multiLevelType w:val="hybridMultilevel"/>
    <w:tmpl w:val="4BBA90A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A16731"/>
    <w:multiLevelType w:val="multilevel"/>
    <w:tmpl w:val="0A64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B60062"/>
    <w:multiLevelType w:val="hybridMultilevel"/>
    <w:tmpl w:val="F4BA4BB8"/>
    <w:lvl w:ilvl="0" w:tplc="47363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60E2529C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55585F"/>
    <w:multiLevelType w:val="multilevel"/>
    <w:tmpl w:val="EE74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0F537A"/>
    <w:multiLevelType w:val="multilevel"/>
    <w:tmpl w:val="4F3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536124"/>
    <w:multiLevelType w:val="multilevel"/>
    <w:tmpl w:val="F65C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1B2C3D"/>
    <w:multiLevelType w:val="hybridMultilevel"/>
    <w:tmpl w:val="7A1B2C3E"/>
    <w:lvl w:ilvl="0" w:tplc="F266E762">
      <w:start w:val="1"/>
      <w:numFmt w:val="bullet"/>
      <w:lvlText w:val=""/>
      <w:lvlJc w:val="left"/>
      <w:pPr>
        <w:ind w:left="432" w:hanging="288"/>
      </w:pPr>
      <w:rPr>
        <w:rFonts w:ascii="Symbol" w:hAnsi="Symbol" w:hint="default"/>
      </w:rPr>
    </w:lvl>
    <w:lvl w:ilvl="1" w:tplc="1A44F988">
      <w:numFmt w:val="decimal"/>
      <w:lvlText w:val=""/>
      <w:lvlJc w:val="left"/>
    </w:lvl>
    <w:lvl w:ilvl="2" w:tplc="784A313A">
      <w:numFmt w:val="decimal"/>
      <w:lvlText w:val=""/>
      <w:lvlJc w:val="left"/>
    </w:lvl>
    <w:lvl w:ilvl="3" w:tplc="E940B9BA">
      <w:numFmt w:val="decimal"/>
      <w:lvlText w:val=""/>
      <w:lvlJc w:val="left"/>
    </w:lvl>
    <w:lvl w:ilvl="4" w:tplc="CE9E15B0">
      <w:numFmt w:val="decimal"/>
      <w:lvlText w:val=""/>
      <w:lvlJc w:val="left"/>
    </w:lvl>
    <w:lvl w:ilvl="5" w:tplc="803CE1A8">
      <w:numFmt w:val="decimal"/>
      <w:lvlText w:val=""/>
      <w:lvlJc w:val="left"/>
    </w:lvl>
    <w:lvl w:ilvl="6" w:tplc="7EBEE4BC">
      <w:numFmt w:val="decimal"/>
      <w:lvlText w:val=""/>
      <w:lvlJc w:val="left"/>
    </w:lvl>
    <w:lvl w:ilvl="7" w:tplc="AD3C62DA">
      <w:numFmt w:val="decimal"/>
      <w:lvlText w:val=""/>
      <w:lvlJc w:val="left"/>
    </w:lvl>
    <w:lvl w:ilvl="8" w:tplc="C35E76F4">
      <w:numFmt w:val="decimal"/>
      <w:lvlText w:val=""/>
      <w:lvlJc w:val="left"/>
    </w:lvl>
  </w:abstractNum>
  <w:abstractNum w:abstractNumId="33" w15:restartNumberingAfterBreak="0">
    <w:nsid w:val="7B7C15D2"/>
    <w:multiLevelType w:val="hybridMultilevel"/>
    <w:tmpl w:val="9E9411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7C1AA1"/>
    <w:multiLevelType w:val="multilevel"/>
    <w:tmpl w:val="749C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6"/>
  </w:num>
  <w:num w:numId="3">
    <w:abstractNumId w:val="20"/>
  </w:num>
  <w:num w:numId="4">
    <w:abstractNumId w:val="34"/>
  </w:num>
  <w:num w:numId="5">
    <w:abstractNumId w:val="27"/>
  </w:num>
  <w:num w:numId="6">
    <w:abstractNumId w:val="10"/>
  </w:num>
  <w:num w:numId="7">
    <w:abstractNumId w:val="30"/>
  </w:num>
  <w:num w:numId="8">
    <w:abstractNumId w:val="8"/>
  </w:num>
  <w:num w:numId="9">
    <w:abstractNumId w:val="5"/>
  </w:num>
  <w:num w:numId="10">
    <w:abstractNumId w:val="16"/>
  </w:num>
  <w:num w:numId="11">
    <w:abstractNumId w:val="19"/>
  </w:num>
  <w:num w:numId="12">
    <w:abstractNumId w:val="18"/>
  </w:num>
  <w:num w:numId="13">
    <w:abstractNumId w:val="7"/>
  </w:num>
  <w:num w:numId="14">
    <w:abstractNumId w:val="14"/>
  </w:num>
  <w:num w:numId="15">
    <w:abstractNumId w:val="31"/>
  </w:num>
  <w:num w:numId="16">
    <w:abstractNumId w:val="0"/>
  </w:num>
  <w:num w:numId="17">
    <w:abstractNumId w:val="24"/>
  </w:num>
  <w:num w:numId="18">
    <w:abstractNumId w:val="15"/>
  </w:num>
  <w:num w:numId="19">
    <w:abstractNumId w:val="23"/>
  </w:num>
  <w:num w:numId="20">
    <w:abstractNumId w:val="26"/>
  </w:num>
  <w:num w:numId="21">
    <w:abstractNumId w:val="12"/>
  </w:num>
  <w:num w:numId="22">
    <w:abstractNumId w:val="1"/>
  </w:num>
  <w:num w:numId="23">
    <w:abstractNumId w:val="22"/>
  </w:num>
  <w:num w:numId="24">
    <w:abstractNumId w:val="25"/>
  </w:num>
  <w:num w:numId="25">
    <w:abstractNumId w:val="3"/>
  </w:num>
  <w:num w:numId="26">
    <w:abstractNumId w:val="4"/>
  </w:num>
  <w:num w:numId="27">
    <w:abstractNumId w:val="29"/>
  </w:num>
  <w:num w:numId="28">
    <w:abstractNumId w:val="9"/>
  </w:num>
  <w:num w:numId="29">
    <w:abstractNumId w:val="33"/>
  </w:num>
  <w:num w:numId="30">
    <w:abstractNumId w:val="32"/>
  </w:num>
  <w:num w:numId="31">
    <w:abstractNumId w:val="2"/>
  </w:num>
  <w:num w:numId="32">
    <w:abstractNumId w:val="21"/>
  </w:num>
  <w:num w:numId="33">
    <w:abstractNumId w:val="13"/>
  </w:num>
  <w:num w:numId="34">
    <w:abstractNumId w:val="11"/>
  </w:num>
  <w:num w:numId="35">
    <w:abstractNumId w:val="2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3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94C"/>
    <w:rsid w:val="00002027"/>
    <w:rsid w:val="00003EA0"/>
    <w:rsid w:val="0000545B"/>
    <w:rsid w:val="000258F9"/>
    <w:rsid w:val="00025A89"/>
    <w:rsid w:val="00030E8C"/>
    <w:rsid w:val="0003237D"/>
    <w:rsid w:val="000377A6"/>
    <w:rsid w:val="00041BD6"/>
    <w:rsid w:val="000438FF"/>
    <w:rsid w:val="00043F02"/>
    <w:rsid w:val="00046781"/>
    <w:rsid w:val="00050586"/>
    <w:rsid w:val="00054CA4"/>
    <w:rsid w:val="00054FB9"/>
    <w:rsid w:val="000571C6"/>
    <w:rsid w:val="0006003F"/>
    <w:rsid w:val="000A3591"/>
    <w:rsid w:val="000A46AA"/>
    <w:rsid w:val="000A71DD"/>
    <w:rsid w:val="000B3C45"/>
    <w:rsid w:val="000D126D"/>
    <w:rsid w:val="000D5B48"/>
    <w:rsid w:val="000D796F"/>
    <w:rsid w:val="000E1551"/>
    <w:rsid w:val="000E263D"/>
    <w:rsid w:val="001106F9"/>
    <w:rsid w:val="00113971"/>
    <w:rsid w:val="00113ADD"/>
    <w:rsid w:val="001259AE"/>
    <w:rsid w:val="00136317"/>
    <w:rsid w:val="0013733B"/>
    <w:rsid w:val="001410AA"/>
    <w:rsid w:val="00151B05"/>
    <w:rsid w:val="00153B11"/>
    <w:rsid w:val="00154DA5"/>
    <w:rsid w:val="00155DFB"/>
    <w:rsid w:val="0018050E"/>
    <w:rsid w:val="00193DC0"/>
    <w:rsid w:val="00197050"/>
    <w:rsid w:val="00197ADD"/>
    <w:rsid w:val="001A6402"/>
    <w:rsid w:val="001B2972"/>
    <w:rsid w:val="001B64D3"/>
    <w:rsid w:val="001C2D90"/>
    <w:rsid w:val="001C5436"/>
    <w:rsid w:val="001D27D6"/>
    <w:rsid w:val="001D4DE9"/>
    <w:rsid w:val="001E072F"/>
    <w:rsid w:val="001F561B"/>
    <w:rsid w:val="00204B82"/>
    <w:rsid w:val="00220619"/>
    <w:rsid w:val="002360E8"/>
    <w:rsid w:val="00246E09"/>
    <w:rsid w:val="00254C67"/>
    <w:rsid w:val="00290C17"/>
    <w:rsid w:val="00294C95"/>
    <w:rsid w:val="002C459E"/>
    <w:rsid w:val="002E0889"/>
    <w:rsid w:val="002E131D"/>
    <w:rsid w:val="002E3C28"/>
    <w:rsid w:val="002F4E7A"/>
    <w:rsid w:val="00320CA1"/>
    <w:rsid w:val="00341FF9"/>
    <w:rsid w:val="00344789"/>
    <w:rsid w:val="00360F50"/>
    <w:rsid w:val="0036312B"/>
    <w:rsid w:val="003817DF"/>
    <w:rsid w:val="003919F7"/>
    <w:rsid w:val="003B7AF4"/>
    <w:rsid w:val="003E400C"/>
    <w:rsid w:val="003E7119"/>
    <w:rsid w:val="003F7434"/>
    <w:rsid w:val="004135C9"/>
    <w:rsid w:val="00424E7E"/>
    <w:rsid w:val="0042728A"/>
    <w:rsid w:val="00431758"/>
    <w:rsid w:val="004362C5"/>
    <w:rsid w:val="00437209"/>
    <w:rsid w:val="00465707"/>
    <w:rsid w:val="004676E4"/>
    <w:rsid w:val="00470257"/>
    <w:rsid w:val="0047264F"/>
    <w:rsid w:val="004869A7"/>
    <w:rsid w:val="00486FFD"/>
    <w:rsid w:val="00491EE7"/>
    <w:rsid w:val="0049299F"/>
    <w:rsid w:val="00495548"/>
    <w:rsid w:val="004A74A4"/>
    <w:rsid w:val="004A78F6"/>
    <w:rsid w:val="004B221D"/>
    <w:rsid w:val="004C2B18"/>
    <w:rsid w:val="004D104B"/>
    <w:rsid w:val="004D2236"/>
    <w:rsid w:val="004D5A8C"/>
    <w:rsid w:val="004E388B"/>
    <w:rsid w:val="004E776E"/>
    <w:rsid w:val="004F3817"/>
    <w:rsid w:val="004F590A"/>
    <w:rsid w:val="0050130F"/>
    <w:rsid w:val="00502F3D"/>
    <w:rsid w:val="005267AC"/>
    <w:rsid w:val="00527411"/>
    <w:rsid w:val="005279B6"/>
    <w:rsid w:val="00550647"/>
    <w:rsid w:val="00580B12"/>
    <w:rsid w:val="00587300"/>
    <w:rsid w:val="00591B3A"/>
    <w:rsid w:val="00593514"/>
    <w:rsid w:val="005A57CC"/>
    <w:rsid w:val="005A6B97"/>
    <w:rsid w:val="005C3EB9"/>
    <w:rsid w:val="005D105A"/>
    <w:rsid w:val="00625F36"/>
    <w:rsid w:val="00646C52"/>
    <w:rsid w:val="00655D4F"/>
    <w:rsid w:val="0065662B"/>
    <w:rsid w:val="00661ED1"/>
    <w:rsid w:val="006626AF"/>
    <w:rsid w:val="00662863"/>
    <w:rsid w:val="00667278"/>
    <w:rsid w:val="00671DD9"/>
    <w:rsid w:val="0068031A"/>
    <w:rsid w:val="006808CC"/>
    <w:rsid w:val="00697E37"/>
    <w:rsid w:val="006A1F60"/>
    <w:rsid w:val="006A3BB6"/>
    <w:rsid w:val="006F4646"/>
    <w:rsid w:val="00705DC8"/>
    <w:rsid w:val="007462AF"/>
    <w:rsid w:val="007471F1"/>
    <w:rsid w:val="007759A6"/>
    <w:rsid w:val="007816C7"/>
    <w:rsid w:val="0078392B"/>
    <w:rsid w:val="0079704D"/>
    <w:rsid w:val="007B7560"/>
    <w:rsid w:val="007C74E0"/>
    <w:rsid w:val="007D06F1"/>
    <w:rsid w:val="007D3385"/>
    <w:rsid w:val="007F60B5"/>
    <w:rsid w:val="00810EC6"/>
    <w:rsid w:val="00815835"/>
    <w:rsid w:val="0082026B"/>
    <w:rsid w:val="00830352"/>
    <w:rsid w:val="00832176"/>
    <w:rsid w:val="0083711C"/>
    <w:rsid w:val="008544E1"/>
    <w:rsid w:val="0086418A"/>
    <w:rsid w:val="00864D64"/>
    <w:rsid w:val="00887FBD"/>
    <w:rsid w:val="00897B8A"/>
    <w:rsid w:val="008A56B9"/>
    <w:rsid w:val="008B36BF"/>
    <w:rsid w:val="008B5764"/>
    <w:rsid w:val="008D09CA"/>
    <w:rsid w:val="008F0109"/>
    <w:rsid w:val="008F2DC2"/>
    <w:rsid w:val="008F54BD"/>
    <w:rsid w:val="009117FA"/>
    <w:rsid w:val="00927F12"/>
    <w:rsid w:val="00930605"/>
    <w:rsid w:val="009667A4"/>
    <w:rsid w:val="00981CAC"/>
    <w:rsid w:val="00994331"/>
    <w:rsid w:val="00995175"/>
    <w:rsid w:val="009966CB"/>
    <w:rsid w:val="00997820"/>
    <w:rsid w:val="009B2B04"/>
    <w:rsid w:val="009D1660"/>
    <w:rsid w:val="009D513B"/>
    <w:rsid w:val="009D662C"/>
    <w:rsid w:val="009E6351"/>
    <w:rsid w:val="00A25E9B"/>
    <w:rsid w:val="00A27EAB"/>
    <w:rsid w:val="00A34818"/>
    <w:rsid w:val="00A503BD"/>
    <w:rsid w:val="00A73CF4"/>
    <w:rsid w:val="00A84A08"/>
    <w:rsid w:val="00A8694C"/>
    <w:rsid w:val="00A87331"/>
    <w:rsid w:val="00A91676"/>
    <w:rsid w:val="00AA572B"/>
    <w:rsid w:val="00AA5821"/>
    <w:rsid w:val="00AE45C4"/>
    <w:rsid w:val="00B00ACC"/>
    <w:rsid w:val="00B109F8"/>
    <w:rsid w:val="00B131F1"/>
    <w:rsid w:val="00B23CE9"/>
    <w:rsid w:val="00B273F4"/>
    <w:rsid w:val="00B62B90"/>
    <w:rsid w:val="00B64AE2"/>
    <w:rsid w:val="00B72087"/>
    <w:rsid w:val="00B93C35"/>
    <w:rsid w:val="00B94BFE"/>
    <w:rsid w:val="00B96CD0"/>
    <w:rsid w:val="00BA690B"/>
    <w:rsid w:val="00BA7AF6"/>
    <w:rsid w:val="00BB1DC9"/>
    <w:rsid w:val="00BB3B44"/>
    <w:rsid w:val="00BB4307"/>
    <w:rsid w:val="00BC0BB8"/>
    <w:rsid w:val="00BC0F57"/>
    <w:rsid w:val="00BD38B1"/>
    <w:rsid w:val="00BE2C85"/>
    <w:rsid w:val="00BF5F01"/>
    <w:rsid w:val="00C0087D"/>
    <w:rsid w:val="00C062EB"/>
    <w:rsid w:val="00C122A4"/>
    <w:rsid w:val="00C176D8"/>
    <w:rsid w:val="00C2663E"/>
    <w:rsid w:val="00C33446"/>
    <w:rsid w:val="00C42F66"/>
    <w:rsid w:val="00C43081"/>
    <w:rsid w:val="00C619F7"/>
    <w:rsid w:val="00C62995"/>
    <w:rsid w:val="00C639EA"/>
    <w:rsid w:val="00C65A1B"/>
    <w:rsid w:val="00C66897"/>
    <w:rsid w:val="00C821D5"/>
    <w:rsid w:val="00C9207B"/>
    <w:rsid w:val="00CA567C"/>
    <w:rsid w:val="00CB13F4"/>
    <w:rsid w:val="00CB38B3"/>
    <w:rsid w:val="00CB70C5"/>
    <w:rsid w:val="00CD4A23"/>
    <w:rsid w:val="00CD7369"/>
    <w:rsid w:val="00CE633D"/>
    <w:rsid w:val="00D10BEE"/>
    <w:rsid w:val="00D2057E"/>
    <w:rsid w:val="00D2376F"/>
    <w:rsid w:val="00D23B89"/>
    <w:rsid w:val="00D2506F"/>
    <w:rsid w:val="00D263C6"/>
    <w:rsid w:val="00D60BF7"/>
    <w:rsid w:val="00D70252"/>
    <w:rsid w:val="00D70D18"/>
    <w:rsid w:val="00D83A01"/>
    <w:rsid w:val="00D90AAA"/>
    <w:rsid w:val="00D92277"/>
    <w:rsid w:val="00D974FD"/>
    <w:rsid w:val="00DA0C65"/>
    <w:rsid w:val="00DB54A2"/>
    <w:rsid w:val="00DD2599"/>
    <w:rsid w:val="00DD4B7F"/>
    <w:rsid w:val="00DD6CF3"/>
    <w:rsid w:val="00DE76A7"/>
    <w:rsid w:val="00E0538C"/>
    <w:rsid w:val="00E1407E"/>
    <w:rsid w:val="00E32E74"/>
    <w:rsid w:val="00E56F00"/>
    <w:rsid w:val="00E61388"/>
    <w:rsid w:val="00E7262E"/>
    <w:rsid w:val="00E76409"/>
    <w:rsid w:val="00E94CD4"/>
    <w:rsid w:val="00EA2751"/>
    <w:rsid w:val="00EA49C5"/>
    <w:rsid w:val="00EA51AD"/>
    <w:rsid w:val="00EB1C36"/>
    <w:rsid w:val="00EB1FB8"/>
    <w:rsid w:val="00ED0B2E"/>
    <w:rsid w:val="00F0340D"/>
    <w:rsid w:val="00F05F40"/>
    <w:rsid w:val="00F06026"/>
    <w:rsid w:val="00F16AAF"/>
    <w:rsid w:val="00F231FC"/>
    <w:rsid w:val="00F3290F"/>
    <w:rsid w:val="00F367B6"/>
    <w:rsid w:val="00F37BF3"/>
    <w:rsid w:val="00F43BA1"/>
    <w:rsid w:val="00F45090"/>
    <w:rsid w:val="00F53CD8"/>
    <w:rsid w:val="00F715E8"/>
    <w:rsid w:val="00F73ED8"/>
    <w:rsid w:val="00F83769"/>
    <w:rsid w:val="00F859CD"/>
    <w:rsid w:val="00F95ABF"/>
    <w:rsid w:val="00F9737C"/>
    <w:rsid w:val="00FA6B54"/>
    <w:rsid w:val="00FB178F"/>
    <w:rsid w:val="00FD0DC2"/>
    <w:rsid w:val="00FE2C1E"/>
    <w:rsid w:val="00FE6B8B"/>
    <w:rsid w:val="00FF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707EBC"/>
  <w15:docId w15:val="{788DCC13-AF70-4DF6-8663-0D0C6439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F7434"/>
    <w:rPr>
      <w:rFonts w:ascii="Times New Roman" w:eastAsia="Times New Roman" w:hAnsi="Times New Roman" w:cs="Times New Roman"/>
      <w:lang w:eastAsia="es-ES_tradnl"/>
    </w:rPr>
  </w:style>
  <w:style w:type="paragraph" w:styleId="Ttulo1">
    <w:name w:val="heading 1"/>
    <w:basedOn w:val="Normal"/>
    <w:next w:val="Normal"/>
    <w:uiPriority w:val="9"/>
    <w:qFormat/>
    <w:rsid w:val="00CD7369"/>
    <w:pPr>
      <w:jc w:val="center"/>
      <w:outlineLvl w:val="0"/>
    </w:pPr>
    <w:rPr>
      <w:rFonts w:eastAsia="Noto Sans" w:cs="Noto Sans"/>
      <w:b/>
      <w:color w:val="670E35"/>
      <w:lang w:eastAsia="es-MX"/>
    </w:rPr>
  </w:style>
  <w:style w:type="paragraph" w:styleId="Ttulo2">
    <w:name w:val="heading 2"/>
    <w:basedOn w:val="Normal"/>
    <w:next w:val="Normal"/>
    <w:uiPriority w:val="9"/>
    <w:unhideWhenUsed/>
    <w:qFormat/>
    <w:rsid w:val="00D70252"/>
    <w:pPr>
      <w:jc w:val="center"/>
      <w:outlineLvl w:val="1"/>
    </w:pPr>
    <w:rPr>
      <w:rFonts w:eastAsia="Montserrat Light" w:cs="Montserrat Light"/>
      <w:b/>
      <w:color w:val="666666"/>
      <w:lang w:eastAsia="es-MX"/>
    </w:rPr>
  </w:style>
  <w:style w:type="paragraph" w:styleId="Ttulo3">
    <w:name w:val="heading 3"/>
    <w:basedOn w:val="Normal"/>
    <w:next w:val="Normal"/>
    <w:uiPriority w:val="9"/>
    <w:unhideWhenUsed/>
    <w:qFormat/>
    <w:rsid w:val="00CD7369"/>
    <w:pPr>
      <w:shd w:val="clear" w:color="auto" w:fill="670E35"/>
      <w:outlineLvl w:val="2"/>
    </w:pPr>
    <w:rPr>
      <w:b/>
      <w:color w:val="FFFFFF"/>
      <w:lang w:eastAsia="es-MX"/>
    </w:rPr>
  </w:style>
  <w:style w:type="paragraph" w:styleId="Ttulo4">
    <w:name w:val="heading 4"/>
    <w:basedOn w:val="Normal"/>
    <w:next w:val="Normal"/>
    <w:uiPriority w:val="9"/>
    <w:unhideWhenUsed/>
    <w:qFormat/>
    <w:rsid w:val="00D70252"/>
    <w:pPr>
      <w:keepNext/>
      <w:keepLines/>
      <w:numPr>
        <w:numId w:val="1"/>
      </w:numPr>
      <w:spacing w:before="240" w:after="40"/>
      <w:ind w:left="709" w:hanging="709"/>
      <w:outlineLvl w:val="3"/>
    </w:pPr>
    <w:rPr>
      <w:b/>
      <w:lang w:eastAsia="es-MX"/>
    </w:rPr>
  </w:style>
  <w:style w:type="paragraph" w:styleId="Ttulo5">
    <w:name w:val="heading 5"/>
    <w:basedOn w:val="Ttulo2"/>
    <w:next w:val="Normal"/>
    <w:uiPriority w:val="9"/>
    <w:unhideWhenUsed/>
    <w:qFormat/>
    <w:rsid w:val="00D70252"/>
    <w:pPr>
      <w:jc w:val="right"/>
      <w:outlineLvl w:val="4"/>
    </w:pPr>
    <w:rPr>
      <w:b w:val="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  <w:lang w:eastAsia="es-MX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73D65"/>
    <w:pPr>
      <w:tabs>
        <w:tab w:val="center" w:pos="4419"/>
        <w:tab w:val="right" w:pos="8838"/>
      </w:tabs>
    </w:pPr>
    <w:rPr>
      <w:lang w:eastAsia="es-MX"/>
    </w:rPr>
  </w:style>
  <w:style w:type="character" w:customStyle="1" w:styleId="EncabezadoCar">
    <w:name w:val="Encabezado Car"/>
    <w:basedOn w:val="Fuentedeprrafopredeter"/>
    <w:link w:val="Encabezado"/>
    <w:uiPriority w:val="99"/>
    <w:rsid w:val="00A73D65"/>
    <w:rPr>
      <w:rFonts w:eastAsiaTheme="minorEastAs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3D65"/>
    <w:pPr>
      <w:tabs>
        <w:tab w:val="center" w:pos="4419"/>
        <w:tab w:val="right" w:pos="8838"/>
      </w:tabs>
    </w:pPr>
    <w:rPr>
      <w:lang w:eastAsia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73D65"/>
    <w:rPr>
      <w:rFonts w:eastAsiaTheme="minorEastAsia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es-MX"/>
    </w:rPr>
  </w:style>
  <w:style w:type="paragraph" w:styleId="NormalWeb">
    <w:name w:val="Normal (Web)"/>
    <w:basedOn w:val="Normal"/>
    <w:uiPriority w:val="99"/>
    <w:unhideWhenUsed/>
    <w:rsid w:val="00C84662"/>
    <w:pPr>
      <w:spacing w:before="100" w:beforeAutospacing="1" w:after="100" w:afterAutospacing="1"/>
    </w:pPr>
    <w:rPr>
      <w:lang w:eastAsia="es-MX"/>
    </w:rPr>
  </w:style>
  <w:style w:type="paragraph" w:styleId="Prrafodelista">
    <w:name w:val="List Paragraph"/>
    <w:basedOn w:val="Normal"/>
    <w:uiPriority w:val="34"/>
    <w:qFormat/>
    <w:rsid w:val="001E119D"/>
    <w:pPr>
      <w:ind w:left="720"/>
      <w:contextualSpacing/>
    </w:pPr>
    <w:rPr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E119D"/>
    <w:rPr>
      <w:rFonts w:ascii="Segoe UI" w:hAnsi="Segoe UI" w:cs="Segoe UI"/>
      <w:sz w:val="18"/>
      <w:szCs w:val="18"/>
      <w:lang w:eastAsia="es-MX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119D"/>
    <w:rPr>
      <w:rFonts w:ascii="Segoe UI" w:eastAsiaTheme="minorEastAsia" w:hAnsi="Segoe UI" w:cs="Segoe UI"/>
      <w:sz w:val="18"/>
      <w:szCs w:val="18"/>
      <w:lang w:val="es-ES"/>
    </w:rPr>
  </w:style>
  <w:style w:type="character" w:styleId="Hipervnculo">
    <w:name w:val="Hyperlink"/>
    <w:basedOn w:val="Fuentedeprrafopredeter"/>
    <w:uiPriority w:val="99"/>
    <w:unhideWhenUsed/>
    <w:rsid w:val="00021984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8D09CA"/>
    <w:rPr>
      <w:b/>
      <w:bCs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D09CA"/>
    <w:rPr>
      <w:sz w:val="20"/>
      <w:szCs w:val="20"/>
      <w:lang w:eastAsia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D09CA"/>
    <w:rPr>
      <w:rFonts w:ascii="Montserrat" w:eastAsia="Montserrat" w:hAnsi="Montserrat" w:cs="Montserrat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8D09CA"/>
    <w:rPr>
      <w:vertAlign w:val="superscript"/>
    </w:rPr>
  </w:style>
  <w:style w:type="table" w:styleId="Tablaconcuadrcula">
    <w:name w:val="Table Grid"/>
    <w:basedOn w:val="Tablanormal"/>
    <w:uiPriority w:val="39"/>
    <w:rsid w:val="00E764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3">
    <w:name w:val="Grid Table 4 Accent 3"/>
    <w:basedOn w:val="Tablanormal"/>
    <w:uiPriority w:val="49"/>
    <w:rsid w:val="00C176D8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810EC6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13733B"/>
    <w:rPr>
      <w:color w:val="605E5C"/>
      <w:shd w:val="clear" w:color="auto" w:fill="E1DFDD"/>
    </w:rPr>
  </w:style>
  <w:style w:type="paragraph" w:customStyle="1" w:styleId="n01">
    <w:name w:val="n01"/>
    <w:basedOn w:val="Normal"/>
    <w:rsid w:val="00431758"/>
    <w:pPr>
      <w:keepLines/>
      <w:spacing w:before="240"/>
      <w:ind w:left="720" w:hanging="720"/>
    </w:pPr>
    <w:rPr>
      <w:rFonts w:ascii="Univers (W1)" w:hAnsi="Univers (W1)" w:cs="Arial"/>
      <w:color w:val="800080"/>
      <w:lang w:val="es-ES_tradnl" w:eastAsia="es-ES"/>
    </w:rPr>
  </w:style>
  <w:style w:type="table" w:styleId="Tablaconcuadrcula1clara-nfasis6">
    <w:name w:val="Grid Table 1 Light Accent 6"/>
    <w:basedOn w:val="Tablanormal"/>
    <w:uiPriority w:val="46"/>
    <w:rsid w:val="00054FB9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6">
    <w:name w:val="Grid Table 2 Accent 6"/>
    <w:basedOn w:val="Tablanormal"/>
    <w:uiPriority w:val="47"/>
    <w:rsid w:val="00054FB9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Nmerodepgina">
    <w:name w:val="page number"/>
    <w:basedOn w:val="Fuentedeprrafopredeter"/>
    <w:uiPriority w:val="99"/>
    <w:semiHidden/>
    <w:unhideWhenUsed/>
    <w:rsid w:val="008544E1"/>
  </w:style>
  <w:style w:type="character" w:styleId="Hipervnculovisitado">
    <w:name w:val="FollowedHyperlink"/>
    <w:basedOn w:val="Fuentedeprrafopredeter"/>
    <w:uiPriority w:val="99"/>
    <w:semiHidden/>
    <w:unhideWhenUsed/>
    <w:rsid w:val="00502F3D"/>
    <w:rPr>
      <w:color w:val="96607D"/>
      <w:u w:val="single"/>
    </w:rPr>
  </w:style>
  <w:style w:type="paragraph" w:customStyle="1" w:styleId="msonormal0">
    <w:name w:val="msonormal"/>
    <w:basedOn w:val="Normal"/>
    <w:rsid w:val="00502F3D"/>
    <w:pPr>
      <w:spacing w:before="100" w:beforeAutospacing="1" w:after="100" w:afterAutospacing="1"/>
    </w:pPr>
    <w:rPr>
      <w:lang w:eastAsia="es-MX"/>
    </w:rPr>
  </w:style>
  <w:style w:type="paragraph" w:customStyle="1" w:styleId="xl65">
    <w:name w:val="xl65"/>
    <w:basedOn w:val="Normal"/>
    <w:rsid w:val="00502F3D"/>
    <w:pPr>
      <w:spacing w:before="100" w:beforeAutospacing="1" w:after="100" w:afterAutospacing="1"/>
    </w:pPr>
    <w:rPr>
      <w:lang w:eastAsia="es-MX"/>
    </w:rPr>
  </w:style>
  <w:style w:type="paragraph" w:customStyle="1" w:styleId="xl66">
    <w:name w:val="xl66"/>
    <w:basedOn w:val="Normal"/>
    <w:rsid w:val="00502F3D"/>
    <w:pPr>
      <w:spacing w:before="100" w:beforeAutospacing="1" w:after="100" w:afterAutospacing="1"/>
    </w:pPr>
    <w:rPr>
      <w:rFonts w:ascii="Calibri" w:hAnsi="Calibri" w:cs="Calibri"/>
      <w:color w:val="000000"/>
      <w:lang w:eastAsia="es-MX"/>
    </w:rPr>
  </w:style>
  <w:style w:type="table" w:styleId="Tablaconcuadrcula4-nfasis6">
    <w:name w:val="Grid Table 4 Accent 6"/>
    <w:basedOn w:val="Tablanormal"/>
    <w:uiPriority w:val="49"/>
    <w:rsid w:val="00502F3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customStyle="1" w:styleId="xl67">
    <w:name w:val="xl67"/>
    <w:basedOn w:val="Normal"/>
    <w:rsid w:val="00E94CD4"/>
    <w:pPr>
      <w:spacing w:before="100" w:beforeAutospacing="1" w:after="100" w:afterAutospacing="1"/>
    </w:pPr>
    <w:rPr>
      <w:lang w:eastAsia="es-MX"/>
    </w:rPr>
  </w:style>
  <w:style w:type="paragraph" w:customStyle="1" w:styleId="xl68">
    <w:name w:val="xl68"/>
    <w:basedOn w:val="Normal"/>
    <w:rsid w:val="00E94CD4"/>
    <w:pPr>
      <w:spacing w:before="100" w:beforeAutospacing="1" w:after="100" w:afterAutospacing="1"/>
    </w:pPr>
    <w:rPr>
      <w:rFonts w:ascii="Calibri" w:hAnsi="Calibri" w:cs="Calibri"/>
      <w:color w:val="000000"/>
      <w:lang w:eastAsia="es-MX"/>
    </w:rPr>
  </w:style>
  <w:style w:type="paragraph" w:customStyle="1" w:styleId="pdq2pgselectionanchorcontainer">
    <w:name w:val="pdq2pg_selectionanchorcontainer"/>
    <w:basedOn w:val="Normal"/>
    <w:rsid w:val="00360F5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9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04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4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0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1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42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2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3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67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9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0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2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6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9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7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7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6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2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9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8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8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5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72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92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60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32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77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4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7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1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65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FpWPCfcsQFbrBypFpD4BWtRFLg==">CgMxLjA4AHIhMWpKWC1ZV1ZyUWxfelVTd2oxcUhWdVVqaW9sTHRWRGpD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D76E79C-F710-CD4C-B00C-E0875D4E34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401</Words>
  <Characters>2208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Ximena Escobedo Juárez</dc:creator>
  <cp:lastModifiedBy>maria eugenia garcia macias</cp:lastModifiedBy>
  <cp:revision>6</cp:revision>
  <cp:lastPrinted>2026-06-17T17:31:00Z</cp:lastPrinted>
  <dcterms:created xsi:type="dcterms:W3CDTF">2026-07-24T04:18:00Z</dcterms:created>
  <dcterms:modified xsi:type="dcterms:W3CDTF">2026-07-24T04:30:00Z</dcterms:modified>
</cp:coreProperties>
</file>