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0" w:type="auto"/>
        <w:shd w:val="clear" w:color="auto" w:fill="235B4C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414"/>
        <w:gridCol w:w="4414"/>
      </w:tblGrid>
      <w:tr w:rsidR="00246E09"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35B4C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FFFFFF" w:themeColor="background1"/>
                <w:sz w:val="20"/>
                <w:szCs w:val="20"/>
              </w:rPr>
              <w:t>Indicador Global de la Actividad Económica</w:t>
            </w:r>
          </w:p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b/>
                <w:bCs/>
                <w:color w:val="FFFFFF" w:themeColor="background1"/>
                <w:sz w:val="40"/>
                <w:szCs w:val="40"/>
              </w:rPr>
              <w:t>IGAE · Abril 2026</w:t>
            </w:r>
          </w:p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FFFFFF" w:themeColor="background1"/>
                <w:sz w:val="20"/>
                <w:szCs w:val="20"/>
              </w:rPr>
              <w:t>Boletín de Indicador 400/26 del 23 de junio de 2026 | INEGI</w:t>
            </w:r>
          </w:p>
        </w:tc>
      </w:tr>
      <w:tr w:rsidR="00246E09"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b/>
                <w:bCs/>
                <w:color w:val="8C8C8C"/>
                <w:spacing w:val="10"/>
                <w:sz w:val="17"/>
                <w:szCs w:val="17"/>
              </w:rPr>
              <w:t>VARIACIÓN MENSUAL</w:t>
            </w:r>
          </w:p>
          <w:p w:rsidR="00246E09" w:rsidRDefault="00465707">
            <w:pPr>
              <w:jc w:val="center"/>
            </w:pPr>
            <w:r>
              <w:rPr>
                <w:rFonts w:ascii="Arial" w:hAnsi="Arial" w:cs="Arial"/>
                <w:b/>
                <w:bCs/>
                <w:color w:val="006341"/>
                <w:sz w:val="72"/>
                <w:szCs w:val="72"/>
              </w:rPr>
              <w:t>▲</w:t>
            </w:r>
            <w:r>
              <w:rPr>
                <w:rFonts w:ascii="Noto Sans" w:hAnsi="Noto Sans" w:cs="Noto Sans"/>
                <w:b/>
                <w:bCs/>
                <w:color w:val="006341"/>
                <w:sz w:val="72"/>
                <w:szCs w:val="72"/>
              </w:rPr>
              <w:t xml:space="preserve"> +1.2%</w:t>
            </w:r>
          </w:p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6B6864"/>
                <w:sz w:val="16"/>
                <w:szCs w:val="16"/>
              </w:rPr>
              <w:t>Cifras desestacionalizadas · abril 2026</w:t>
            </w: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b/>
                <w:bCs/>
                <w:color w:val="8C8C8C"/>
                <w:spacing w:val="10"/>
                <w:sz w:val="17"/>
                <w:szCs w:val="17"/>
              </w:rPr>
              <w:t>VARIACIÓN ANUAL</w:t>
            </w:r>
          </w:p>
          <w:p w:rsidR="00246E09" w:rsidRDefault="00465707">
            <w:pPr>
              <w:jc w:val="center"/>
            </w:pPr>
            <w:r>
              <w:rPr>
                <w:rFonts w:ascii="Arial" w:hAnsi="Arial" w:cs="Arial"/>
                <w:b/>
                <w:bCs/>
                <w:color w:val="006341"/>
                <w:sz w:val="72"/>
                <w:szCs w:val="72"/>
              </w:rPr>
              <w:t>▲</w:t>
            </w:r>
            <w:r>
              <w:rPr>
                <w:rFonts w:ascii="Noto Sans" w:hAnsi="Noto Sans" w:cs="Noto Sans"/>
                <w:b/>
                <w:bCs/>
                <w:color w:val="006341"/>
                <w:sz w:val="72"/>
                <w:szCs w:val="72"/>
              </w:rPr>
              <w:t xml:space="preserve"> +2.2%</w:t>
            </w:r>
          </w:p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6B6864"/>
                <w:sz w:val="16"/>
                <w:szCs w:val="16"/>
              </w:rPr>
              <w:t>Comparación abril 2026 vs abril 2025</w:t>
            </w:r>
          </w:p>
        </w:tc>
      </w:tr>
    </w:tbl>
    <w:p w:rsidR="00246E09" w:rsidRDefault="00246E09">
      <w:pPr>
        <w:rPr>
          <w:rFonts w:ascii="Noto Sans" w:hAnsi="Noto Sans" w:cs="Noto Sans"/>
          <w:sz w:val="6"/>
          <w:szCs w:val="6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4F4F2"/>
        <w:tblLook w:val="04A0" w:firstRow="1" w:lastRow="0" w:firstColumn="1" w:lastColumn="0" w:noHBand="0" w:noVBand="1"/>
      </w:tblPr>
      <w:tblGrid>
        <w:gridCol w:w="1471"/>
        <w:gridCol w:w="1471"/>
        <w:gridCol w:w="1471"/>
        <w:gridCol w:w="1472"/>
        <w:gridCol w:w="1471"/>
        <w:gridCol w:w="1472"/>
      </w:tblGrid>
      <w:tr w:rsidR="00246E09">
        <w:tc>
          <w:tcPr>
            <w:tcW w:w="2942" w:type="dxa"/>
            <w:gridSpan w:val="2"/>
            <w:shd w:val="clear" w:color="auto" w:fill="235B4C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b/>
                <w:bCs/>
                <w:color w:val="FFFFFF" w:themeColor="background1"/>
                <w:sz w:val="22"/>
                <w:szCs w:val="22"/>
              </w:rPr>
              <w:t>Actividades primarias</w:t>
            </w:r>
          </w:p>
        </w:tc>
        <w:tc>
          <w:tcPr>
            <w:tcW w:w="2943" w:type="dxa"/>
            <w:gridSpan w:val="2"/>
            <w:shd w:val="clear" w:color="auto" w:fill="235B4C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b/>
                <w:bCs/>
                <w:color w:val="FFFFFF" w:themeColor="background1"/>
                <w:sz w:val="22"/>
                <w:szCs w:val="22"/>
              </w:rPr>
              <w:t>Actividades secundarias</w:t>
            </w:r>
          </w:p>
        </w:tc>
        <w:tc>
          <w:tcPr>
            <w:tcW w:w="2943" w:type="dxa"/>
            <w:gridSpan w:val="2"/>
            <w:shd w:val="clear" w:color="auto" w:fill="235B4C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b/>
                <w:bCs/>
                <w:color w:val="FFFFFF" w:themeColor="background1"/>
                <w:sz w:val="22"/>
                <w:szCs w:val="22"/>
              </w:rPr>
              <w:t>Actividades terciarias</w:t>
            </w:r>
          </w:p>
        </w:tc>
      </w:tr>
      <w:tr w:rsidR="00246E09">
        <w:tc>
          <w:tcPr>
            <w:tcW w:w="1471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sz w:val="22"/>
                <w:szCs w:val="22"/>
              </w:rPr>
              <w:t>Mensual</w:t>
            </w:r>
          </w:p>
        </w:tc>
        <w:tc>
          <w:tcPr>
            <w:tcW w:w="14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sz w:val="22"/>
                <w:szCs w:val="22"/>
              </w:rPr>
              <w:t>Anual</w:t>
            </w:r>
          </w:p>
        </w:tc>
        <w:tc>
          <w:tcPr>
            <w:tcW w:w="14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sz w:val="22"/>
                <w:szCs w:val="22"/>
              </w:rPr>
              <w:t>Mensual</w:t>
            </w:r>
          </w:p>
        </w:tc>
        <w:tc>
          <w:tcPr>
            <w:tcW w:w="14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sz w:val="22"/>
                <w:szCs w:val="22"/>
              </w:rPr>
              <w:t>Anual</w:t>
            </w:r>
          </w:p>
        </w:tc>
        <w:tc>
          <w:tcPr>
            <w:tcW w:w="14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sz w:val="22"/>
                <w:szCs w:val="22"/>
              </w:rPr>
              <w:t>Mensual</w:t>
            </w:r>
          </w:p>
        </w:tc>
        <w:tc>
          <w:tcPr>
            <w:tcW w:w="1472" w:type="dxa"/>
            <w:tcBorders>
              <w:left w:val="single" w:sz="4" w:space="0" w:color="auto"/>
              <w:bottom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sz w:val="22"/>
                <w:szCs w:val="22"/>
              </w:rPr>
              <w:t>Anual</w:t>
            </w:r>
          </w:p>
        </w:tc>
      </w:tr>
      <w:tr w:rsidR="00246E09">
        <w:trPr>
          <w:trHeight w:val="170"/>
        </w:trPr>
        <w:tc>
          <w:tcPr>
            <w:tcW w:w="1471" w:type="dxa"/>
            <w:tcBorders>
              <w:top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Arial" w:hAnsi="Arial" w:cs="Arial"/>
                <w:b/>
                <w:color w:val="C00000"/>
                <w:sz w:val="20"/>
              </w:rPr>
              <w:t>▼</w:t>
            </w:r>
            <w:r>
              <w:rPr>
                <w:rFonts w:ascii="Noto Sans" w:hAnsi="Noto Sans" w:cs="Noto Sans"/>
                <w:b/>
                <w:color w:val="C00000"/>
                <w:sz w:val="20"/>
              </w:rPr>
              <w:t xml:space="preserve"> -0.4 %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20"/>
              </w:rPr>
              <w:t>▲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 xml:space="preserve"> 4.7 %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20"/>
              </w:rPr>
              <w:t>▲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 xml:space="preserve"> 2.1 %</w:t>
            </w:r>
          </w:p>
        </w:tc>
        <w:tc>
          <w:tcPr>
            <w:tcW w:w="1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20"/>
              </w:rPr>
              <w:t>▲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 xml:space="preserve"> 1.8 %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20"/>
              </w:rPr>
              <w:t>▲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 xml:space="preserve"> 0.7 %</w:t>
            </w:r>
          </w:p>
        </w:tc>
        <w:tc>
          <w:tcPr>
            <w:tcW w:w="1472" w:type="dxa"/>
            <w:tcBorders>
              <w:top w:val="single" w:sz="4" w:space="0" w:color="auto"/>
              <w:left w:val="single" w:sz="4" w:space="0" w:color="auto"/>
            </w:tcBorders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20"/>
              </w:rPr>
              <w:t>▲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 xml:space="preserve"> 2.4 %</w:t>
            </w:r>
          </w:p>
        </w:tc>
      </w:tr>
    </w:tbl>
    <w:p w:rsidR="00246E09" w:rsidRDefault="00246E09">
      <w:pPr>
        <w:rPr>
          <w:rFonts w:ascii="Noto Sans" w:hAnsi="Noto Sans" w:cs="Noto Sans"/>
          <w:sz w:val="22"/>
          <w:szCs w:val="22"/>
        </w:rPr>
      </w:pPr>
    </w:p>
    <w:p w:rsidR="00246E09" w:rsidRDefault="00F16AAF">
      <w:pPr>
        <w:jc w:val="both"/>
        <w:rPr>
          <w:rFonts w:ascii="Noto Sans" w:hAnsi="Noto Sans" w:cs="Noto Sans"/>
          <w:sz w:val="20"/>
          <w:szCs w:val="20"/>
        </w:rPr>
      </w:pPr>
      <w:r w:rsidRPr="00BC0BB8">
        <w:rPr>
          <w:rFonts w:ascii="Noto Sans" w:hAnsi="Noto Sans" w:cs="Noto Sans"/>
          <w:b/>
          <w:bCs/>
          <w:color w:val="1A1A1A"/>
          <w:sz w:val="20"/>
          <w:szCs w:val="20"/>
        </w:rPr>
        <w:t>Abril registr</w:t>
      </w:r>
      <w:r w:rsidRPr="00BC0BB8">
        <w:rPr>
          <w:rFonts w:ascii="Calibri" w:hAnsi="Calibri" w:cs="Calibri"/>
          <w:b/>
          <w:bCs/>
          <w:color w:val="1A1A1A"/>
          <w:sz w:val="20"/>
          <w:szCs w:val="20"/>
        </w:rPr>
        <w:t>ó</w:t>
      </w:r>
      <w:r w:rsidRPr="00BC0BB8">
        <w:rPr>
          <w:rFonts w:ascii="Noto Sans" w:hAnsi="Noto Sans" w:cs="Noto Sans"/>
          <w:b/>
          <w:bCs/>
          <w:color w:val="1A1A1A"/>
          <w:sz w:val="20"/>
          <w:szCs w:val="20"/>
        </w:rPr>
        <w:t xml:space="preserve"> el mayor avance mensual del IGAE desde octubre de 2025.</w:t>
      </w:r>
      <w:r w:rsidR="00465707" w:rsidRPr="00BC0BB8">
        <w:rPr>
          <w:rFonts w:ascii="Noto Sans" w:hAnsi="Noto Sans" w:cs="Noto Sans"/>
          <w:b/>
          <w:bCs/>
          <w:sz w:val="20"/>
          <w:szCs w:val="20"/>
        </w:rPr>
        <w:t xml:space="preserve"> </w:t>
      </w:r>
      <w:r w:rsidR="00465707" w:rsidRPr="00BC0BB8">
        <w:rPr>
          <w:rFonts w:ascii="Noto Sans" w:hAnsi="Noto Sans" w:cs="Noto Sans"/>
          <w:sz w:val="20"/>
          <w:szCs w:val="20"/>
        </w:rPr>
        <w:t>El indicador desestacionalizado creció 1.2% mensual y 2.2% anual en abril de 2026 (índice 106.9, base 2018=100). Sin embargo, en cifras originales el acumulado enero-abril fue de apenas 0.7% real anual, por lo que el dato positivo de abril todavía no revierte el bajo dinamismo observado al inicio del año.</w:t>
      </w:r>
    </w:p>
    <w:p w:rsidR="00BC0BB8" w:rsidRPr="00BC0BB8" w:rsidRDefault="00BC0BB8">
      <w:pPr>
        <w:jc w:val="both"/>
        <w:rPr>
          <w:rFonts w:ascii="Calibri" w:hAnsi="Calibri" w:cs="Calibr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4F4F2"/>
        <w:tblLook w:val="04A0" w:firstRow="1" w:lastRow="0" w:firstColumn="1" w:lastColumn="0" w:noHBand="0" w:noVBand="1"/>
      </w:tblPr>
      <w:tblGrid>
        <w:gridCol w:w="8828"/>
      </w:tblGrid>
      <w:tr w:rsidR="00246E09">
        <w:tc>
          <w:tcPr>
            <w:tcW w:w="8828" w:type="dxa"/>
            <w:shd w:val="clear" w:color="auto" w:fill="F4F4F2"/>
          </w:tcPr>
          <w:p w:rsidR="00246E09" w:rsidRDefault="00465707">
            <w:pPr>
              <w:shd w:val="clear" w:color="auto" w:fill="F4F4F2"/>
            </w:pPr>
            <w:r>
              <w:rPr>
                <w:rFonts w:ascii="Noto Sans" w:hAnsi="Noto Sans" w:cs="Noto Sans"/>
                <w:b/>
                <w:bCs/>
                <w:color w:val="10312B"/>
              </w:rPr>
              <w:t>Resumen ejecutivo</w:t>
            </w:r>
          </w:p>
          <w:p w:rsidR="00246E09" w:rsidRDefault="00465707">
            <w:pPr>
              <w:pStyle w:val="Prrafodelista"/>
              <w:numPr>
                <w:ilvl w:val="0"/>
                <w:numId w:val="32"/>
              </w:numPr>
              <w:shd w:val="clear" w:color="auto" w:fill="F4F4F2"/>
              <w:spacing w:before="30" w:after="30"/>
              <w:jc w:val="both"/>
            </w:pPr>
            <w:r>
              <w:rPr>
                <w:rFonts w:ascii="Noto Sans" w:hAnsi="Noto Sans" w:cs="Noto Sans"/>
                <w:color w:val="000000"/>
                <w:sz w:val="20"/>
              </w:rPr>
              <w:t xml:space="preserve">El IGAE desestacionalizado creció 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1.2% mensual y 2.2% anual</w:t>
            </w:r>
            <w:r>
              <w:rPr>
                <w:rFonts w:ascii="Noto Sans" w:hAnsi="Noto Sans" w:cs="Noto Sans"/>
                <w:color w:val="000000"/>
                <w:sz w:val="20"/>
              </w:rPr>
              <w:t xml:space="preserve"> en abril de 2026; en cifras originales, el acumulado enero-abril fue de apenas 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0.7% real anual</w:t>
            </w:r>
            <w:r>
              <w:rPr>
                <w:rFonts w:ascii="Noto Sans" w:hAnsi="Noto Sans" w:cs="Noto Sans"/>
                <w:color w:val="000000"/>
                <w:sz w:val="20"/>
              </w:rPr>
              <w:t>, lo que apunta a una recuperación todavía moderada.</w:t>
            </w:r>
          </w:p>
          <w:p w:rsidR="00246E09" w:rsidRDefault="00465707">
            <w:pPr>
              <w:pStyle w:val="Prrafodelista"/>
              <w:numPr>
                <w:ilvl w:val="0"/>
                <w:numId w:val="32"/>
              </w:numPr>
              <w:shd w:val="clear" w:color="auto" w:fill="F4F4F2"/>
              <w:spacing w:before="30" w:after="30"/>
              <w:jc w:val="both"/>
            </w:pPr>
            <w:r>
              <w:rPr>
                <w:rFonts w:ascii="Noto Sans" w:hAnsi="Noto Sans" w:cs="Noto Sans"/>
                <w:color w:val="000000"/>
                <w:sz w:val="20"/>
              </w:rPr>
              <w:t>Por grandes actividades, el impulso mensual provino principalmente de secundarias (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+2.1%</w:t>
            </w:r>
            <w:r>
              <w:rPr>
                <w:rFonts w:ascii="Noto Sans" w:hAnsi="Noto Sans" w:cs="Noto Sans"/>
                <w:color w:val="000000"/>
                <w:sz w:val="20"/>
              </w:rPr>
              <w:t>) y terciarias (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+0.7%</w:t>
            </w:r>
            <w:r>
              <w:rPr>
                <w:rFonts w:ascii="Noto Sans" w:hAnsi="Noto Sans" w:cs="Noto Sans"/>
                <w:color w:val="000000"/>
                <w:sz w:val="20"/>
              </w:rPr>
              <w:t xml:space="preserve">), mientras que primarias retrocedió 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0.4%</w:t>
            </w:r>
            <w:r w:rsidR="00646C52">
              <w:rPr>
                <w:rFonts w:ascii="Noto Sans" w:hAnsi="Noto Sans" w:cs="Noto Sans"/>
                <w:b/>
                <w:color w:val="000000"/>
                <w:sz w:val="20"/>
              </w:rPr>
              <w:t xml:space="preserve"> </w:t>
            </w:r>
            <w:r w:rsidR="00646C52">
              <w:rPr>
                <w:rFonts w:ascii="Calibri" w:hAnsi="Calibri" w:cs="Calibri"/>
                <w:b/>
                <w:color w:val="000000"/>
                <w:sz w:val="20"/>
              </w:rPr>
              <w:t>mensual</w:t>
            </w:r>
            <w:r>
              <w:rPr>
                <w:rFonts w:ascii="Noto Sans" w:hAnsi="Noto Sans" w:cs="Noto Sans"/>
                <w:color w:val="000000"/>
                <w:sz w:val="20"/>
              </w:rPr>
              <w:t>.</w:t>
            </w:r>
          </w:p>
          <w:p w:rsidR="00246E09" w:rsidRDefault="00465707">
            <w:pPr>
              <w:pStyle w:val="Prrafodelista"/>
              <w:numPr>
                <w:ilvl w:val="0"/>
                <w:numId w:val="32"/>
              </w:numPr>
              <w:shd w:val="clear" w:color="auto" w:fill="F4F4F2"/>
              <w:spacing w:before="30" w:after="30"/>
              <w:jc w:val="both"/>
            </w:pPr>
            <w:r>
              <w:rPr>
                <w:rFonts w:ascii="Noto Sans" w:hAnsi="Noto Sans" w:cs="Noto Sans"/>
                <w:color w:val="000000"/>
                <w:sz w:val="20"/>
              </w:rPr>
              <w:t>A tasa anual, primarias (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+4.7%</w:t>
            </w:r>
            <w:r>
              <w:rPr>
                <w:rFonts w:ascii="Noto Sans" w:hAnsi="Noto Sans" w:cs="Noto Sans"/>
                <w:color w:val="000000"/>
                <w:sz w:val="20"/>
              </w:rPr>
              <w:t>) y terciarias (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+2.4%</w:t>
            </w:r>
            <w:r>
              <w:rPr>
                <w:rFonts w:ascii="Noto Sans" w:hAnsi="Noto Sans" w:cs="Noto Sans"/>
                <w:color w:val="000000"/>
                <w:sz w:val="20"/>
              </w:rPr>
              <w:t xml:space="preserve">) mostraron los mayores avances; secundarias creció apenas 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1.8%</w:t>
            </w:r>
            <w:r>
              <w:rPr>
                <w:rFonts w:ascii="Noto Sans" w:hAnsi="Noto Sans" w:cs="Noto Sans"/>
                <w:color w:val="000000"/>
                <w:sz w:val="20"/>
              </w:rPr>
              <w:t xml:space="preserve"> y su acumulado del año permanece negativo (</w:t>
            </w:r>
            <w:r>
              <w:rPr>
                <w:rFonts w:ascii="Noto Sans" w:hAnsi="Noto Sans" w:cs="Noto Sans"/>
                <w:b/>
                <w:color w:val="000000"/>
                <w:sz w:val="20"/>
              </w:rPr>
              <w:t>-0.3%</w:t>
            </w:r>
            <w:r>
              <w:rPr>
                <w:rFonts w:ascii="Noto Sans" w:hAnsi="Noto Sans" w:cs="Noto Sans"/>
                <w:color w:val="000000"/>
                <w:sz w:val="20"/>
              </w:rPr>
              <w:t>).</w:t>
            </w:r>
          </w:p>
        </w:tc>
      </w:tr>
    </w:tbl>
    <w:p w:rsidR="00246E09" w:rsidRDefault="00246E09">
      <w:pPr>
        <w:jc w:val="both"/>
        <w:rPr>
          <w:sz w:val="10"/>
          <w:szCs w:val="10"/>
        </w:rPr>
      </w:pPr>
    </w:p>
    <w:p w:rsidR="00BC0BB8" w:rsidRDefault="00BC0BB8">
      <w:pPr>
        <w:jc w:val="center"/>
        <w:rPr>
          <w:rFonts w:ascii="Noto Sans" w:hAnsi="Noto Sans" w:cs="Noto Sans"/>
          <w:b/>
          <w:color w:val="10312B"/>
          <w:sz w:val="22"/>
          <w:szCs w:val="22"/>
        </w:rPr>
      </w:pPr>
    </w:p>
    <w:p w:rsidR="00246E09" w:rsidRDefault="00465707">
      <w:pPr>
        <w:jc w:val="center"/>
      </w:pPr>
      <w:r>
        <w:rPr>
          <w:rFonts w:ascii="Noto Sans" w:hAnsi="Noto Sans" w:cs="Noto Sans"/>
          <w:b/>
          <w:color w:val="10312B"/>
          <w:sz w:val="22"/>
          <w:szCs w:val="22"/>
        </w:rPr>
        <w:t>Variación mensual del IGAE, cifras desestacionalizadas, enero 2025–abril 2026</w:t>
      </w:r>
    </w:p>
    <w:p w:rsidR="00246E09" w:rsidRDefault="00465707">
      <w:pPr>
        <w:jc w:val="center"/>
      </w:pPr>
      <w:r>
        <w:rPr>
          <w:noProof/>
        </w:rPr>
        <w:drawing>
          <wp:inline distT="0" distB="0" distL="0" distR="0">
            <wp:extent cx="4027553" cy="159327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gae_grafic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8813" cy="161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E09" w:rsidRPr="00BC0BB8" w:rsidRDefault="00465707" w:rsidP="00BC0BB8">
      <w:pPr>
        <w:jc w:val="both"/>
        <w:rPr>
          <w:rFonts w:ascii="Noto Sans" w:hAnsi="Noto Sans" w:cs="Noto Sans"/>
          <w:color w:val="10312B"/>
          <w:sz w:val="20"/>
          <w:szCs w:val="20"/>
        </w:rPr>
      </w:pPr>
      <w:r w:rsidRPr="00BC0BB8">
        <w:rPr>
          <w:rFonts w:ascii="Noto Sans" w:hAnsi="Noto Sans" w:cs="Noto Sans"/>
          <w:color w:val="10312B"/>
          <w:sz w:val="20"/>
          <w:szCs w:val="20"/>
        </w:rPr>
        <w:t>Abril registra la variación mensual más alta desde octubre de 2025 (barra verde), tras un primer trimestre de resultados mixtos.</w:t>
      </w:r>
    </w:p>
    <w:p w:rsidR="00F859CD" w:rsidRDefault="00F859CD">
      <w:pPr>
        <w:jc w:val="both"/>
      </w:pPr>
    </w:p>
    <w:p w:rsidR="00F859CD" w:rsidRDefault="00F859CD">
      <w:pPr>
        <w:jc w:val="both"/>
      </w:pPr>
    </w:p>
    <w:p w:rsidR="00F16AAF" w:rsidRDefault="00F16AAF">
      <w:pPr>
        <w:jc w:val="both"/>
      </w:pPr>
    </w:p>
    <w:p w:rsidR="00246E09" w:rsidRDefault="00246E09">
      <w:pPr>
        <w:jc w:val="both"/>
        <w:rPr>
          <w:sz w:val="10"/>
          <w:szCs w:val="10"/>
        </w:rPr>
      </w:pPr>
    </w:p>
    <w:p w:rsidR="00246E09" w:rsidRDefault="00465707">
      <w:pPr>
        <w:shd w:val="clear" w:color="auto" w:fill="005E4C"/>
        <w:jc w:val="both"/>
      </w:pPr>
      <w:r>
        <w:rPr>
          <w:rFonts w:ascii="Noto Sans" w:hAnsi="Noto Sans" w:cs="Noto Sans"/>
          <w:b/>
          <w:bCs/>
          <w:color w:val="FFFFFF" w:themeColor="background1"/>
          <w:sz w:val="22"/>
          <w:szCs w:val="22"/>
        </w:rPr>
        <w:t>Análisis</w:t>
      </w:r>
    </w:p>
    <w:p w:rsidR="00246E09" w:rsidRPr="00BC0BB8" w:rsidRDefault="00465707">
      <w:pPr>
        <w:pStyle w:val="Prrafodelista"/>
        <w:numPr>
          <w:ilvl w:val="0"/>
          <w:numId w:val="33"/>
        </w:numPr>
        <w:jc w:val="both"/>
        <w:rPr>
          <w:sz w:val="21"/>
        </w:rPr>
      </w:pPr>
      <w:r w:rsidRPr="00BC0BB8">
        <w:rPr>
          <w:rFonts w:ascii="Noto Sans" w:hAnsi="Noto Sans" w:cs="Noto Sans"/>
          <w:color w:val="000000"/>
          <w:sz w:val="20"/>
          <w:szCs w:val="22"/>
        </w:rPr>
        <w:t>El avance mensual de abril mejora la lectura de corto plazo, pero el acumulado enero-abril confirma que la actividad económica mantiene un ritmo moderado.</w:t>
      </w:r>
    </w:p>
    <w:p w:rsidR="00246E09" w:rsidRPr="00BC0BB8" w:rsidRDefault="00465707">
      <w:pPr>
        <w:pStyle w:val="Prrafodelista"/>
        <w:numPr>
          <w:ilvl w:val="0"/>
          <w:numId w:val="33"/>
        </w:numPr>
        <w:jc w:val="both"/>
        <w:rPr>
          <w:sz w:val="21"/>
        </w:rPr>
      </w:pPr>
      <w:r w:rsidRPr="00BC0BB8">
        <w:rPr>
          <w:rFonts w:ascii="Noto Sans" w:hAnsi="Noto Sans" w:cs="Noto Sans"/>
          <w:color w:val="000000"/>
          <w:sz w:val="20"/>
          <w:szCs w:val="22"/>
        </w:rPr>
        <w:t xml:space="preserve">El componente de </w:t>
      </w:r>
      <w:r w:rsidRPr="00BC0BB8">
        <w:rPr>
          <w:rFonts w:ascii="Noto Sans" w:hAnsi="Noto Sans" w:cs="Noto Sans"/>
          <w:b/>
          <w:bCs/>
          <w:color w:val="000000"/>
          <w:sz w:val="20"/>
          <w:szCs w:val="22"/>
        </w:rPr>
        <w:t>actividades secundarias</w:t>
      </w:r>
      <w:r w:rsidRPr="00BC0BB8">
        <w:rPr>
          <w:rFonts w:ascii="Noto Sans" w:hAnsi="Noto Sans" w:cs="Noto Sans"/>
          <w:color w:val="000000"/>
          <w:sz w:val="20"/>
          <w:szCs w:val="22"/>
        </w:rPr>
        <w:t xml:space="preserve"> fue el principal motor del mes, impulsado por construcción; no obstante, su acumulado anual permanece en terreno negativo, por lo que todavía no se confirma una recuperación industrial sostenida.</w:t>
      </w:r>
    </w:p>
    <w:p w:rsidR="00246E09" w:rsidRPr="00BC0BB8" w:rsidRDefault="00465707">
      <w:pPr>
        <w:pStyle w:val="Prrafodelista"/>
        <w:numPr>
          <w:ilvl w:val="0"/>
          <w:numId w:val="33"/>
        </w:numPr>
        <w:jc w:val="both"/>
        <w:rPr>
          <w:sz w:val="21"/>
        </w:rPr>
      </w:pPr>
      <w:r w:rsidRPr="00BC0BB8">
        <w:rPr>
          <w:rFonts w:ascii="Noto Sans" w:hAnsi="Noto Sans" w:cs="Noto Sans"/>
          <w:color w:val="000000"/>
          <w:sz w:val="20"/>
          <w:szCs w:val="22"/>
        </w:rPr>
        <w:t xml:space="preserve">Las </w:t>
      </w:r>
      <w:r w:rsidRPr="00BC0BB8">
        <w:rPr>
          <w:rFonts w:ascii="Noto Sans" w:hAnsi="Noto Sans" w:cs="Noto Sans"/>
          <w:b/>
          <w:bCs/>
          <w:color w:val="000000"/>
          <w:sz w:val="20"/>
          <w:szCs w:val="22"/>
        </w:rPr>
        <w:t>actividades terciarias</w:t>
      </w:r>
      <w:r w:rsidRPr="00BC0BB8">
        <w:rPr>
          <w:rFonts w:ascii="Noto Sans" w:hAnsi="Noto Sans" w:cs="Noto Sans"/>
          <w:color w:val="000000"/>
          <w:sz w:val="20"/>
          <w:szCs w:val="22"/>
        </w:rPr>
        <w:t xml:space="preserve"> se mantienen como el componente más estable, con crecimiento mensual, anual y acumulado positivo; comercio y servicios siguen funcionando como soporte del crecimiento.</w:t>
      </w:r>
    </w:p>
    <w:p w:rsidR="00246E09" w:rsidRDefault="00246E09">
      <w:pPr>
        <w:jc w:val="both"/>
        <w:rPr>
          <w:sz w:val="10"/>
          <w:szCs w:val="10"/>
        </w:rPr>
      </w:pPr>
    </w:p>
    <w:p w:rsidR="00246E09" w:rsidRDefault="00465707">
      <w:pPr>
        <w:jc w:val="center"/>
      </w:pPr>
      <w:r>
        <w:rPr>
          <w:rFonts w:ascii="Noto Sans" w:hAnsi="Noto Sans" w:cs="Noto Sans"/>
          <w:b/>
          <w:color w:val="10312B"/>
          <w:sz w:val="22"/>
          <w:szCs w:val="22"/>
        </w:rPr>
        <w:t>Variación anual del IGAE, cifras desestacionalizadas, enero 2025–abril 2026</w:t>
      </w:r>
    </w:p>
    <w:p w:rsidR="00246E09" w:rsidRDefault="00465707">
      <w:pPr>
        <w:jc w:val="center"/>
      </w:pPr>
      <w:r>
        <w:rPr>
          <w:noProof/>
        </w:rPr>
        <w:drawing>
          <wp:inline distT="0" distB="0" distL="0" distR="0">
            <wp:extent cx="3393427" cy="1342417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gae_grafica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3639" cy="134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E09" w:rsidRDefault="00646C52">
      <w:pPr>
        <w:jc w:val="both"/>
        <w:rPr>
          <w:rFonts w:ascii="Noto Sans" w:hAnsi="Noto Sans" w:cs="Noto Sans"/>
          <w:color w:val="10312B"/>
          <w:sz w:val="20"/>
          <w:szCs w:val="22"/>
        </w:rPr>
      </w:pPr>
      <w:r w:rsidRPr="00BC0BB8">
        <w:rPr>
          <w:rFonts w:ascii="Noto Sans" w:hAnsi="Noto Sans" w:cs="Noto Sans"/>
          <w:color w:val="10312B"/>
          <w:sz w:val="20"/>
          <w:szCs w:val="22"/>
        </w:rPr>
        <w:t>El crecimiento anual repunt</w:t>
      </w:r>
      <w:r w:rsidRPr="00BC0BB8">
        <w:rPr>
          <w:rFonts w:ascii="Calibri" w:hAnsi="Calibri" w:cs="Calibri"/>
          <w:color w:val="10312B"/>
          <w:sz w:val="20"/>
          <w:szCs w:val="22"/>
        </w:rPr>
        <w:t>ó</w:t>
      </w:r>
      <w:r w:rsidRPr="00BC0BB8">
        <w:rPr>
          <w:rFonts w:ascii="Noto Sans" w:hAnsi="Noto Sans" w:cs="Noto Sans"/>
          <w:color w:val="10312B"/>
          <w:sz w:val="20"/>
          <w:szCs w:val="22"/>
        </w:rPr>
        <w:t xml:space="preserve"> en abril, aunque la serie a</w:t>
      </w:r>
      <w:r w:rsidRPr="00BC0BB8">
        <w:rPr>
          <w:rFonts w:ascii="Calibri" w:hAnsi="Calibri" w:cs="Calibri"/>
          <w:color w:val="10312B"/>
          <w:sz w:val="20"/>
          <w:szCs w:val="22"/>
        </w:rPr>
        <w:t>ú</w:t>
      </w:r>
      <w:r w:rsidRPr="00BC0BB8">
        <w:rPr>
          <w:rFonts w:ascii="Noto Sans" w:hAnsi="Noto Sans" w:cs="Noto Sans"/>
          <w:color w:val="10312B"/>
          <w:sz w:val="20"/>
          <w:szCs w:val="22"/>
        </w:rPr>
        <w:t>n muestra variaciones negativas recientes.</w:t>
      </w:r>
    </w:p>
    <w:p w:rsidR="00BC0BB8" w:rsidRPr="00BC0BB8" w:rsidRDefault="00BC0BB8">
      <w:pPr>
        <w:jc w:val="both"/>
        <w:rPr>
          <w:sz w:val="6"/>
          <w:szCs w:val="10"/>
        </w:rPr>
      </w:pPr>
    </w:p>
    <w:p w:rsidR="00246E09" w:rsidRDefault="00465707">
      <w:pPr>
        <w:shd w:val="clear" w:color="auto" w:fill="235B4C"/>
        <w:jc w:val="both"/>
      </w:pPr>
      <w:r>
        <w:rPr>
          <w:rFonts w:ascii="Noto Sans" w:hAnsi="Noto Sans" w:cs="Noto Sans"/>
          <w:b/>
          <w:bCs/>
          <w:color w:val="FFFFFF" w:themeColor="background1"/>
          <w:sz w:val="22"/>
          <w:szCs w:val="22"/>
        </w:rPr>
        <w:t>Lectura sectorial</w:t>
      </w:r>
    </w:p>
    <w:p w:rsidR="00246E09" w:rsidRDefault="00465707">
      <w:pPr>
        <w:spacing w:before="60" w:after="60"/>
        <w:jc w:val="both"/>
      </w:pPr>
      <w:r>
        <w:rPr>
          <w:rFonts w:ascii="Noto Sans" w:hAnsi="Noto Sans" w:cs="Noto Sans"/>
          <w:color w:val="000000"/>
          <w:sz w:val="20"/>
        </w:rPr>
        <w:t>El impulso anual de abril se concentró en construcción y comercio al por mayor, mientras que manufacturas aún no muestra una recuperación clara en el acumulado del año.</w:t>
      </w:r>
      <w:bookmarkStart w:id="0" w:name="_GoBack"/>
      <w:bookmarkEnd w:id="0"/>
    </w:p>
    <w:tbl>
      <w:tblPr>
        <w:tblStyle w:val="Tablaconcuadrcula"/>
        <w:tblW w:w="8828" w:type="dxa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2338"/>
        <w:gridCol w:w="1500"/>
        <w:gridCol w:w="1500"/>
        <w:gridCol w:w="3490"/>
      </w:tblGrid>
      <w:tr w:rsidR="00246E09">
        <w:tc>
          <w:tcPr>
            <w:tcW w:w="2338" w:type="dxa"/>
            <w:shd w:val="clear" w:color="auto" w:fill="235B4C"/>
          </w:tcPr>
          <w:p w:rsidR="00246E09" w:rsidRDefault="00465707">
            <w:r>
              <w:rPr>
                <w:rFonts w:ascii="Noto Sans" w:hAnsi="Noto Sans" w:cs="Noto Sans"/>
                <w:b/>
                <w:color w:val="FFFFFF"/>
                <w:sz w:val="17"/>
              </w:rPr>
              <w:t>Sector</w:t>
            </w:r>
          </w:p>
        </w:tc>
        <w:tc>
          <w:tcPr>
            <w:tcW w:w="1500" w:type="dxa"/>
            <w:shd w:val="clear" w:color="auto" w:fill="235B4C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b/>
                <w:color w:val="FFFFFF"/>
                <w:sz w:val="17"/>
              </w:rPr>
              <w:t>Var. anual abril</w:t>
            </w:r>
          </w:p>
        </w:tc>
        <w:tc>
          <w:tcPr>
            <w:tcW w:w="1500" w:type="dxa"/>
            <w:shd w:val="clear" w:color="auto" w:fill="235B4C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b/>
                <w:color w:val="FFFFFF"/>
                <w:sz w:val="17"/>
              </w:rPr>
              <w:t>Acum. ene-abr</w:t>
            </w:r>
          </w:p>
        </w:tc>
        <w:tc>
          <w:tcPr>
            <w:tcW w:w="3490" w:type="dxa"/>
            <w:shd w:val="clear" w:color="auto" w:fill="235B4C"/>
          </w:tcPr>
          <w:p w:rsidR="00246E09" w:rsidRDefault="00465707">
            <w:r>
              <w:rPr>
                <w:rFonts w:ascii="Noto Sans" w:hAnsi="Noto Sans" w:cs="Noto Sans"/>
                <w:b/>
                <w:color w:val="FFFFFF"/>
                <w:sz w:val="17"/>
              </w:rPr>
              <w:t>Lectura</w:t>
            </w:r>
          </w:p>
        </w:tc>
      </w:tr>
      <w:tr w:rsidR="00246E09">
        <w:tc>
          <w:tcPr>
            <w:tcW w:w="2338" w:type="dxa"/>
            <w:shd w:val="clear" w:color="auto" w:fill="F4F4F2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Construcción</w:t>
            </w:r>
          </w:p>
        </w:tc>
        <w:tc>
          <w:tcPr>
            <w:tcW w:w="1500" w:type="dxa"/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000000"/>
                <w:sz w:val="16"/>
              </w:rPr>
              <w:t>▲ 10.4 %</w:t>
            </w:r>
          </w:p>
        </w:tc>
        <w:tc>
          <w:tcPr>
            <w:tcW w:w="1500" w:type="dxa"/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000000"/>
                <w:sz w:val="16"/>
              </w:rPr>
              <w:t>▲ 2.2 %</w:t>
            </w:r>
          </w:p>
        </w:tc>
        <w:tc>
          <w:tcPr>
            <w:tcW w:w="3490" w:type="dxa"/>
            <w:shd w:val="clear" w:color="auto" w:fill="F4F4F2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Principal impulso de secundarias</w:t>
            </w:r>
          </w:p>
        </w:tc>
      </w:tr>
      <w:tr w:rsidR="00246E09">
        <w:tc>
          <w:tcPr>
            <w:tcW w:w="2338" w:type="dxa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Comercio al por mayor</w:t>
            </w:r>
          </w:p>
        </w:tc>
        <w:tc>
          <w:tcPr>
            <w:tcW w:w="1500" w:type="dxa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000000"/>
                <w:sz w:val="16"/>
              </w:rPr>
              <w:t>▲ 10.6 %</w:t>
            </w:r>
          </w:p>
        </w:tc>
        <w:tc>
          <w:tcPr>
            <w:tcW w:w="1500" w:type="dxa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000000"/>
                <w:sz w:val="16"/>
              </w:rPr>
              <w:t>▲ 4.0 %</w:t>
            </w:r>
          </w:p>
        </w:tc>
        <w:tc>
          <w:tcPr>
            <w:tcW w:w="3490" w:type="dxa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Soporte del avance en servicios</w:t>
            </w:r>
          </w:p>
        </w:tc>
      </w:tr>
      <w:tr w:rsidR="00246E09">
        <w:tc>
          <w:tcPr>
            <w:tcW w:w="2338" w:type="dxa"/>
            <w:shd w:val="clear" w:color="auto" w:fill="F4F4F2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Manufacturas</w:t>
            </w:r>
          </w:p>
        </w:tc>
        <w:tc>
          <w:tcPr>
            <w:tcW w:w="1500" w:type="dxa"/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000000"/>
                <w:sz w:val="16"/>
              </w:rPr>
              <w:t>0.0 %</w:t>
            </w:r>
          </w:p>
        </w:tc>
        <w:tc>
          <w:tcPr>
            <w:tcW w:w="1500" w:type="dxa"/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C00000"/>
                <w:sz w:val="16"/>
              </w:rPr>
              <w:t>▼ 1.5 %</w:t>
            </w:r>
          </w:p>
        </w:tc>
        <w:tc>
          <w:tcPr>
            <w:tcW w:w="3490" w:type="dxa"/>
            <w:shd w:val="clear" w:color="auto" w:fill="F4F4F2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Debilidad persistente</w:t>
            </w:r>
          </w:p>
        </w:tc>
      </w:tr>
      <w:tr w:rsidR="00246E09">
        <w:tc>
          <w:tcPr>
            <w:tcW w:w="2338" w:type="dxa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Alojamiento y alimentos</w:t>
            </w:r>
          </w:p>
        </w:tc>
        <w:tc>
          <w:tcPr>
            <w:tcW w:w="1500" w:type="dxa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C00000"/>
                <w:sz w:val="16"/>
              </w:rPr>
              <w:t>▼ 2.5 %</w:t>
            </w:r>
          </w:p>
        </w:tc>
        <w:tc>
          <w:tcPr>
            <w:tcW w:w="1500" w:type="dxa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C00000"/>
                <w:sz w:val="16"/>
              </w:rPr>
              <w:t>▼ 2.8 %</w:t>
            </w:r>
          </w:p>
        </w:tc>
        <w:tc>
          <w:tcPr>
            <w:tcW w:w="3490" w:type="dxa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Debilidad en turismo y resta</w:t>
            </w:r>
            <w:r w:rsidR="00F16AAF">
              <w:rPr>
                <w:rFonts w:ascii="Calibri" w:hAnsi="Calibri" w:cs="Calibri"/>
                <w:color w:val="000000"/>
                <w:sz w:val="16"/>
              </w:rPr>
              <w:t>u</w:t>
            </w:r>
            <w:r>
              <w:rPr>
                <w:rFonts w:ascii="Noto Sans" w:hAnsi="Noto Sans" w:cs="Noto Sans"/>
                <w:color w:val="000000"/>
                <w:sz w:val="16"/>
              </w:rPr>
              <w:t>rantes</w:t>
            </w:r>
          </w:p>
        </w:tc>
      </w:tr>
      <w:tr w:rsidR="00246E09">
        <w:tc>
          <w:tcPr>
            <w:tcW w:w="2338" w:type="dxa"/>
            <w:shd w:val="clear" w:color="auto" w:fill="F4F4F2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Servicios profesionales</w:t>
            </w:r>
          </w:p>
        </w:tc>
        <w:tc>
          <w:tcPr>
            <w:tcW w:w="1500" w:type="dxa"/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000000"/>
                <w:sz w:val="16"/>
              </w:rPr>
              <w:t>▲ 3.1 %</w:t>
            </w:r>
          </w:p>
        </w:tc>
        <w:tc>
          <w:tcPr>
            <w:tcW w:w="1500" w:type="dxa"/>
            <w:shd w:val="clear" w:color="auto" w:fill="F4F4F2"/>
          </w:tcPr>
          <w:p w:rsidR="00246E09" w:rsidRDefault="00465707">
            <w:pPr>
              <w:jc w:val="center"/>
            </w:pPr>
            <w:r>
              <w:rPr>
                <w:rFonts w:ascii="Noto Sans" w:hAnsi="Noto Sans" w:cs="Noto Sans"/>
                <w:color w:val="C00000"/>
                <w:sz w:val="16"/>
              </w:rPr>
              <w:t>▼ 2.0 %</w:t>
            </w:r>
          </w:p>
        </w:tc>
        <w:tc>
          <w:tcPr>
            <w:tcW w:w="3490" w:type="dxa"/>
            <w:shd w:val="clear" w:color="auto" w:fill="F4F4F2"/>
          </w:tcPr>
          <w:p w:rsidR="00246E09" w:rsidRDefault="00465707">
            <w:r>
              <w:rPr>
                <w:rFonts w:ascii="Noto Sans" w:hAnsi="Noto Sans" w:cs="Noto Sans"/>
                <w:color w:val="000000"/>
                <w:sz w:val="16"/>
              </w:rPr>
              <w:t>Mejora mensual, acumulado débil</w:t>
            </w:r>
          </w:p>
        </w:tc>
      </w:tr>
    </w:tbl>
    <w:p w:rsidR="00246E09" w:rsidRDefault="00465707">
      <w:pPr>
        <w:spacing w:before="40"/>
        <w:rPr>
          <w:rFonts w:ascii="Noto Sans" w:hAnsi="Noto Sans" w:cs="Noto Sans"/>
          <w:color w:val="4C545B"/>
          <w:sz w:val="15"/>
        </w:rPr>
      </w:pPr>
      <w:r>
        <w:rPr>
          <w:rFonts w:ascii="Noto Sans" w:hAnsi="Noto Sans" w:cs="Noto Sans"/>
          <w:color w:val="4C545B"/>
          <w:sz w:val="15"/>
        </w:rPr>
        <w:t>Nota: variación anual y acumulado enero-abril con cifras originales (no desestacionalizadas).</w:t>
      </w:r>
    </w:p>
    <w:p w:rsidR="00BC0BB8" w:rsidRDefault="00BC0BB8">
      <w:pPr>
        <w:spacing w:before="40"/>
      </w:pPr>
    </w:p>
    <w:p w:rsidR="00246E09" w:rsidRDefault="00246E09">
      <w:pPr>
        <w:jc w:val="both"/>
        <w:rPr>
          <w:sz w:val="10"/>
          <w:szCs w:val="10"/>
        </w:rPr>
      </w:pPr>
    </w:p>
    <w:p w:rsidR="00246E09" w:rsidRDefault="00465707">
      <w:pPr>
        <w:shd w:val="clear" w:color="auto" w:fill="005E4C"/>
        <w:jc w:val="both"/>
      </w:pPr>
      <w:r>
        <w:rPr>
          <w:rFonts w:ascii="Noto Sans" w:hAnsi="Noto Sans" w:cs="Noto Sans"/>
          <w:b/>
          <w:bCs/>
          <w:color w:val="FFFFFF" w:themeColor="background1"/>
          <w:sz w:val="22"/>
          <w:szCs w:val="22"/>
        </w:rPr>
        <w:t>Implicaciones</w:t>
      </w:r>
    </w:p>
    <w:p w:rsidR="00246E09" w:rsidRDefault="00465707">
      <w:pPr>
        <w:jc w:val="both"/>
        <w:rPr>
          <w:rFonts w:ascii="Noto Sans" w:hAnsi="Noto Sans" w:cs="Noto Sans"/>
          <w:b/>
          <w:sz w:val="20"/>
          <w:szCs w:val="22"/>
        </w:rPr>
      </w:pPr>
      <w:r w:rsidRPr="00BC0BB8">
        <w:rPr>
          <w:rFonts w:ascii="Noto Sans" w:hAnsi="Noto Sans" w:cs="Noto Sans"/>
          <w:b/>
          <w:sz w:val="20"/>
          <w:szCs w:val="22"/>
        </w:rPr>
        <w:t xml:space="preserve">El dato de abril mejora la lectura de corto plazo, pero no confirma todavía una recuperación consolidada. </w:t>
      </w:r>
      <w:r w:rsidRPr="00BC0BB8">
        <w:rPr>
          <w:rFonts w:ascii="Noto Sans" w:hAnsi="Noto Sans" w:cs="Noto Sans"/>
          <w:sz w:val="20"/>
          <w:szCs w:val="22"/>
        </w:rPr>
        <w:t xml:space="preserve">El avance mensual del IGAE contrasta con un acumulado enero-abril de 0.7%, lo que sugiere que la economía mantiene un ritmo moderado. Para la Secretaría, la señal clave está en la composición: construcción y servicios impulsan el repunte, mientras que manufacturas siguen débiles en el acumulado del año. </w:t>
      </w:r>
      <w:r w:rsidRPr="00BC0BB8">
        <w:rPr>
          <w:rFonts w:ascii="Noto Sans" w:hAnsi="Noto Sans" w:cs="Noto Sans"/>
          <w:b/>
          <w:sz w:val="20"/>
          <w:szCs w:val="22"/>
        </w:rPr>
        <w:t>Conviene esperar el dato de mayo, que se publicará el 23 de julio, para evaluar si el avance de abril se sostiene o si fue un rebote puntual.</w:t>
      </w:r>
    </w:p>
    <w:p w:rsidR="00BC0BB8" w:rsidRPr="00BC0BB8" w:rsidRDefault="00BC0BB8">
      <w:pPr>
        <w:jc w:val="both"/>
        <w:rPr>
          <w:sz w:val="21"/>
        </w:rPr>
      </w:pPr>
    </w:p>
    <w:p w:rsidR="00246E09" w:rsidRDefault="00246E09">
      <w:pPr>
        <w:jc w:val="both"/>
        <w:rPr>
          <w:sz w:val="10"/>
          <w:szCs w:val="10"/>
        </w:rPr>
      </w:pPr>
    </w:p>
    <w:p w:rsidR="00246E09" w:rsidRDefault="00465707">
      <w:pPr>
        <w:jc w:val="both"/>
      </w:pPr>
      <w:r>
        <w:rPr>
          <w:rFonts w:ascii="Arial" w:hAnsi="Arial"/>
          <w:color w:val="4C545B"/>
          <w:sz w:val="15"/>
        </w:rPr>
        <w:t>Fuente: INEGI, Sistema de Cuentas Nacionales de México (SCNM), Indicador Global de la Actividad Económica (IGAE), Boletín de Indicador 400/26, 23 de junio de 2026. Cifras de abril de 2026. Próxima publicación: 23 de julio de 2026.</w:t>
      </w:r>
    </w:p>
    <w:sectPr w:rsidR="00246E09">
      <w:headerReference w:type="default" r:id="rId11"/>
      <w:footerReference w:type="even" r:id="rId12"/>
      <w:footerReference w:type="default" r:id="rId13"/>
      <w:pgSz w:w="12240" w:h="15840"/>
      <w:pgMar w:top="1134" w:right="1701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A56B9" w:rsidRDefault="008A56B9" w:rsidP="00E32E74">
      <w:r>
        <w:separator/>
      </w:r>
    </w:p>
  </w:endnote>
  <w:endnote w:type="continuationSeparator" w:id="0">
    <w:p w:rsidR="008A56B9" w:rsidRDefault="008A56B9" w:rsidP="00E32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">
    <w:altName w:val="Calibri"/>
    <w:panose1 w:val="020B0502040504020204"/>
    <w:charset w:val="00"/>
    <w:family w:val="swiss"/>
    <w:pitch w:val="variable"/>
    <w:sig w:usb0="E00882FF" w:usb1="400078FF" w:usb2="00000021" w:usb3="00000000" w:csb0="0000019F" w:csb1="00000000"/>
  </w:font>
  <w:font w:name="Montserrat Ligh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Univers (W1)">
    <w:altName w:val="Arial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44527516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:rsidR="008544E1" w:rsidRDefault="008544E1" w:rsidP="00DA379C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 w:rsidR="00CE633D"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:rsidR="008544E1" w:rsidRDefault="008544E1" w:rsidP="008544E1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D60BF7" w:rsidP="008544E1">
    <w:pPr>
      <w:ind w:right="360"/>
    </w:pPr>
    <w:r>
      <w:rPr>
        <w:noProof/>
        <w:color w:val="000000"/>
      </w:rPr>
      <w:drawing>
        <wp:anchor distT="0" distB="0" distL="114300" distR="114300" simplePos="0" relativeHeight="251660288" behindDoc="1" locked="0" layoutInCell="1" allowOverlap="1" wp14:anchorId="093B9EEA" wp14:editId="414DD1FB">
          <wp:simplePos x="0" y="0"/>
          <wp:positionH relativeFrom="page">
            <wp:posOffset>-121920</wp:posOffset>
          </wp:positionH>
          <wp:positionV relativeFrom="paragraph">
            <wp:posOffset>-45085</wp:posOffset>
          </wp:positionV>
          <wp:extent cx="7894873" cy="1293628"/>
          <wp:effectExtent l="0" t="0" r="5080" b="1905"/>
          <wp:wrapNone/>
          <wp:docPr id="441815502" name="Imagen 1" descr="Imagen que contiene Aplicación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7835576" name="Imagen 1" descr="Imagen que contiene Aplicación  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139"/>
                  <a:stretch>
                    <a:fillRect/>
                  </a:stretch>
                </pic:blipFill>
                <pic:spPr bwMode="auto">
                  <a:xfrm>
                    <a:off x="0" y="0"/>
                    <a:ext cx="7894873" cy="129362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Pr="00E7262E" w:rsidRDefault="00DB54A2" w:rsidP="00A27EAB">
    <w:pPr>
      <w:jc w:val="right"/>
    </w:pPr>
  </w:p>
  <w:p w:rsidR="00B62B90" w:rsidRDefault="00B62B90" w:rsidP="00E32E7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A56B9" w:rsidRDefault="008A56B9" w:rsidP="00E32E74">
      <w:r>
        <w:separator/>
      </w:r>
    </w:p>
  </w:footnote>
  <w:footnote w:type="continuationSeparator" w:id="0">
    <w:p w:rsidR="008A56B9" w:rsidRDefault="008A56B9" w:rsidP="00E32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EA49C5" w:rsidP="00E32E74">
    <w:r>
      <w:rPr>
        <w:noProof/>
      </w:rPr>
      <w:drawing>
        <wp:anchor distT="0" distB="0" distL="0" distR="0" simplePos="0" relativeHeight="251658240" behindDoc="1" locked="0" layoutInCell="1" hidden="0" allowOverlap="1" wp14:anchorId="3C194DD2" wp14:editId="09349DB6">
          <wp:simplePos x="0" y="0"/>
          <wp:positionH relativeFrom="page">
            <wp:posOffset>-12700</wp:posOffset>
          </wp:positionH>
          <wp:positionV relativeFrom="paragraph">
            <wp:posOffset>-436626</wp:posOffset>
          </wp:positionV>
          <wp:extent cx="7753939" cy="1257300"/>
          <wp:effectExtent l="0" t="0" r="6350" b="0"/>
          <wp:wrapNone/>
          <wp:docPr id="949743675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16596"/>
                  <a:stretch>
                    <a:fillRect/>
                  </a:stretch>
                </pic:blipFill>
                <pic:spPr>
                  <a:xfrm>
                    <a:off x="0" y="0"/>
                    <a:ext cx="7753939" cy="1257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Default="00DB54A2" w:rsidP="00E32E74"/>
  <w:p w:rsidR="00DB54A2" w:rsidRDefault="00DB54A2" w:rsidP="00E32E74"/>
  <w:p w:rsidR="00F859CD" w:rsidRDefault="00F859CD" w:rsidP="00E32E74"/>
  <w:p w:rsidR="00EA51AD" w:rsidRPr="00FE6B8B" w:rsidRDefault="00FE6B8B" w:rsidP="00FE6B8B">
    <w:pPr>
      <w:ind w:left="-426"/>
      <w:rPr>
        <w:rFonts w:ascii="Calibri" w:hAnsi="Calibri" w:cs="Calibri"/>
        <w:b/>
        <w:bCs/>
        <w:sz w:val="22"/>
        <w:szCs w:val="22"/>
      </w:rPr>
    </w:pPr>
    <w:r>
      <w:rPr>
        <w:rFonts w:ascii="Calibri" w:hAnsi="Calibri" w:cs="Calibri"/>
        <w:b/>
        <w:bCs/>
        <w:sz w:val="22"/>
        <w:szCs w:val="22"/>
      </w:rPr>
      <w:t>Subsecretaría de Industria y Comercio</w:t>
    </w:r>
    <w:r w:rsidR="00EA51AD">
      <w:rPr>
        <w:rFonts w:ascii="Noto Sans" w:hAnsi="Noto Sans" w:cs="Noto Sans"/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66058"/>
    <w:multiLevelType w:val="multilevel"/>
    <w:tmpl w:val="CF0EF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00E73"/>
    <w:multiLevelType w:val="multilevel"/>
    <w:tmpl w:val="F8E6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74F6"/>
    <w:multiLevelType w:val="hybridMultilevel"/>
    <w:tmpl w:val="BD24C636"/>
    <w:lvl w:ilvl="0" w:tplc="0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3" w15:restartNumberingAfterBreak="0">
    <w:nsid w:val="09B5062C"/>
    <w:multiLevelType w:val="multilevel"/>
    <w:tmpl w:val="E0D4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B75AF"/>
    <w:multiLevelType w:val="multilevel"/>
    <w:tmpl w:val="F990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A051B"/>
    <w:multiLevelType w:val="multilevel"/>
    <w:tmpl w:val="F70C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26045"/>
    <w:multiLevelType w:val="hybridMultilevel"/>
    <w:tmpl w:val="2886F9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B1544"/>
    <w:multiLevelType w:val="multilevel"/>
    <w:tmpl w:val="1DC4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E7BD5"/>
    <w:multiLevelType w:val="multilevel"/>
    <w:tmpl w:val="E21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70303"/>
    <w:multiLevelType w:val="hybridMultilevel"/>
    <w:tmpl w:val="77764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13076"/>
    <w:multiLevelType w:val="multilevel"/>
    <w:tmpl w:val="DC6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D72D51"/>
    <w:multiLevelType w:val="hybridMultilevel"/>
    <w:tmpl w:val="B27E3374"/>
    <w:lvl w:ilvl="0" w:tplc="3A18FC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7E7B97"/>
    <w:multiLevelType w:val="hybridMultilevel"/>
    <w:tmpl w:val="2A4A9C34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F28E7"/>
    <w:multiLevelType w:val="multilevel"/>
    <w:tmpl w:val="B01CB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0E56A7"/>
    <w:multiLevelType w:val="multilevel"/>
    <w:tmpl w:val="2B92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F13CCD"/>
    <w:multiLevelType w:val="multilevel"/>
    <w:tmpl w:val="AEEE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7731D8"/>
    <w:multiLevelType w:val="hybridMultilevel"/>
    <w:tmpl w:val="E58CE21C"/>
    <w:lvl w:ilvl="0" w:tplc="0C348DAA">
      <w:start w:val="1"/>
      <w:numFmt w:val="upperRoman"/>
      <w:pStyle w:val="Ttulo4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270ACC"/>
    <w:multiLevelType w:val="multilevel"/>
    <w:tmpl w:val="DDD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6F1DE7"/>
    <w:multiLevelType w:val="multilevel"/>
    <w:tmpl w:val="AF8E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745AEF"/>
    <w:multiLevelType w:val="multilevel"/>
    <w:tmpl w:val="77708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90047D"/>
    <w:multiLevelType w:val="hybridMultilevel"/>
    <w:tmpl w:val="A822CF98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1" w15:restartNumberingAfterBreak="0">
    <w:nsid w:val="62203C88"/>
    <w:multiLevelType w:val="multilevel"/>
    <w:tmpl w:val="CC1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8072D"/>
    <w:multiLevelType w:val="hybridMultilevel"/>
    <w:tmpl w:val="050879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157499"/>
    <w:multiLevelType w:val="multilevel"/>
    <w:tmpl w:val="C582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6C00BF"/>
    <w:multiLevelType w:val="multilevel"/>
    <w:tmpl w:val="9810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7327C8"/>
    <w:multiLevelType w:val="hybridMultilevel"/>
    <w:tmpl w:val="4BBA90A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A16731"/>
    <w:multiLevelType w:val="multilevel"/>
    <w:tmpl w:val="0A64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55585F"/>
    <w:multiLevelType w:val="multilevel"/>
    <w:tmpl w:val="EE74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0F537A"/>
    <w:multiLevelType w:val="multilevel"/>
    <w:tmpl w:val="4F3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536124"/>
    <w:multiLevelType w:val="multilevel"/>
    <w:tmpl w:val="F65C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1B2C3D"/>
    <w:multiLevelType w:val="hybridMultilevel"/>
    <w:tmpl w:val="7A1B2C3E"/>
    <w:lvl w:ilvl="0" w:tplc="F266E762">
      <w:start w:val="1"/>
      <w:numFmt w:val="bullet"/>
      <w:lvlText w:val=""/>
      <w:lvlJc w:val="left"/>
      <w:pPr>
        <w:ind w:left="432" w:hanging="288"/>
      </w:pPr>
      <w:rPr>
        <w:rFonts w:ascii="Symbol" w:hAnsi="Symbol" w:hint="default"/>
      </w:rPr>
    </w:lvl>
    <w:lvl w:ilvl="1" w:tplc="1A44F988">
      <w:numFmt w:val="decimal"/>
      <w:lvlText w:val=""/>
      <w:lvlJc w:val="left"/>
    </w:lvl>
    <w:lvl w:ilvl="2" w:tplc="784A313A">
      <w:numFmt w:val="decimal"/>
      <w:lvlText w:val=""/>
      <w:lvlJc w:val="left"/>
    </w:lvl>
    <w:lvl w:ilvl="3" w:tplc="E940B9BA">
      <w:numFmt w:val="decimal"/>
      <w:lvlText w:val=""/>
      <w:lvlJc w:val="left"/>
    </w:lvl>
    <w:lvl w:ilvl="4" w:tplc="CE9E15B0">
      <w:numFmt w:val="decimal"/>
      <w:lvlText w:val=""/>
      <w:lvlJc w:val="left"/>
    </w:lvl>
    <w:lvl w:ilvl="5" w:tplc="803CE1A8">
      <w:numFmt w:val="decimal"/>
      <w:lvlText w:val=""/>
      <w:lvlJc w:val="left"/>
    </w:lvl>
    <w:lvl w:ilvl="6" w:tplc="7EBEE4BC">
      <w:numFmt w:val="decimal"/>
      <w:lvlText w:val=""/>
      <w:lvlJc w:val="left"/>
    </w:lvl>
    <w:lvl w:ilvl="7" w:tplc="AD3C62DA">
      <w:numFmt w:val="decimal"/>
      <w:lvlText w:val=""/>
      <w:lvlJc w:val="left"/>
    </w:lvl>
    <w:lvl w:ilvl="8" w:tplc="C35E76F4">
      <w:numFmt w:val="decimal"/>
      <w:lvlText w:val=""/>
      <w:lvlJc w:val="left"/>
    </w:lvl>
  </w:abstractNum>
  <w:abstractNum w:abstractNumId="31" w15:restartNumberingAfterBreak="0">
    <w:nsid w:val="7B7C15D2"/>
    <w:multiLevelType w:val="hybridMultilevel"/>
    <w:tmpl w:val="9E9411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7C1AA1"/>
    <w:multiLevelType w:val="multilevel"/>
    <w:tmpl w:val="749C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6"/>
  </w:num>
  <w:num w:numId="3">
    <w:abstractNumId w:val="19"/>
  </w:num>
  <w:num w:numId="4">
    <w:abstractNumId w:val="32"/>
  </w:num>
  <w:num w:numId="5">
    <w:abstractNumId w:val="26"/>
  </w:num>
  <w:num w:numId="6">
    <w:abstractNumId w:val="10"/>
  </w:num>
  <w:num w:numId="7">
    <w:abstractNumId w:val="28"/>
  </w:num>
  <w:num w:numId="8">
    <w:abstractNumId w:val="8"/>
  </w:num>
  <w:num w:numId="9">
    <w:abstractNumId w:val="5"/>
  </w:num>
  <w:num w:numId="10">
    <w:abstractNumId w:val="15"/>
  </w:num>
  <w:num w:numId="11">
    <w:abstractNumId w:val="18"/>
  </w:num>
  <w:num w:numId="12">
    <w:abstractNumId w:val="17"/>
  </w:num>
  <w:num w:numId="13">
    <w:abstractNumId w:val="7"/>
  </w:num>
  <w:num w:numId="14">
    <w:abstractNumId w:val="13"/>
  </w:num>
  <w:num w:numId="15">
    <w:abstractNumId w:val="29"/>
  </w:num>
  <w:num w:numId="16">
    <w:abstractNumId w:val="0"/>
  </w:num>
  <w:num w:numId="17">
    <w:abstractNumId w:val="23"/>
  </w:num>
  <w:num w:numId="18">
    <w:abstractNumId w:val="14"/>
  </w:num>
  <w:num w:numId="19">
    <w:abstractNumId w:val="22"/>
  </w:num>
  <w:num w:numId="20">
    <w:abstractNumId w:val="25"/>
  </w:num>
  <w:num w:numId="21">
    <w:abstractNumId w:val="11"/>
  </w:num>
  <w:num w:numId="22">
    <w:abstractNumId w:val="1"/>
  </w:num>
  <w:num w:numId="23">
    <w:abstractNumId w:val="21"/>
  </w:num>
  <w:num w:numId="24">
    <w:abstractNumId w:val="24"/>
  </w:num>
  <w:num w:numId="25">
    <w:abstractNumId w:val="3"/>
  </w:num>
  <w:num w:numId="26">
    <w:abstractNumId w:val="4"/>
  </w:num>
  <w:num w:numId="27">
    <w:abstractNumId w:val="27"/>
  </w:num>
  <w:num w:numId="28">
    <w:abstractNumId w:val="9"/>
  </w:num>
  <w:num w:numId="29">
    <w:abstractNumId w:val="31"/>
  </w:num>
  <w:num w:numId="30">
    <w:abstractNumId w:val="30"/>
  </w:num>
  <w:num w:numId="31">
    <w:abstractNumId w:val="2"/>
  </w:num>
  <w:num w:numId="32">
    <w:abstractNumId w:val="20"/>
  </w:num>
  <w:num w:numId="33">
    <w:abstractNumId w:val="1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94C"/>
    <w:rsid w:val="00002027"/>
    <w:rsid w:val="00003EA0"/>
    <w:rsid w:val="0000545B"/>
    <w:rsid w:val="000258F9"/>
    <w:rsid w:val="00025A89"/>
    <w:rsid w:val="00030E8C"/>
    <w:rsid w:val="0003237D"/>
    <w:rsid w:val="000377A6"/>
    <w:rsid w:val="00041BD6"/>
    <w:rsid w:val="000438FF"/>
    <w:rsid w:val="00043F02"/>
    <w:rsid w:val="00046781"/>
    <w:rsid w:val="00050586"/>
    <w:rsid w:val="00054FB9"/>
    <w:rsid w:val="000571C6"/>
    <w:rsid w:val="000A3591"/>
    <w:rsid w:val="000A46AA"/>
    <w:rsid w:val="000A71DD"/>
    <w:rsid w:val="000D126D"/>
    <w:rsid w:val="000D5B48"/>
    <w:rsid w:val="000E1551"/>
    <w:rsid w:val="000E263D"/>
    <w:rsid w:val="001106F9"/>
    <w:rsid w:val="00113971"/>
    <w:rsid w:val="00113ADD"/>
    <w:rsid w:val="00136317"/>
    <w:rsid w:val="0013733B"/>
    <w:rsid w:val="00153B11"/>
    <w:rsid w:val="00155DFB"/>
    <w:rsid w:val="0018050E"/>
    <w:rsid w:val="00193DC0"/>
    <w:rsid w:val="00197050"/>
    <w:rsid w:val="00197ADD"/>
    <w:rsid w:val="001A6402"/>
    <w:rsid w:val="001B2972"/>
    <w:rsid w:val="001B64D3"/>
    <w:rsid w:val="001C2D90"/>
    <w:rsid w:val="001C5436"/>
    <w:rsid w:val="001D27D6"/>
    <w:rsid w:val="001D4DE9"/>
    <w:rsid w:val="001E072F"/>
    <w:rsid w:val="001F561B"/>
    <w:rsid w:val="00204B82"/>
    <w:rsid w:val="00220619"/>
    <w:rsid w:val="002360E8"/>
    <w:rsid w:val="00246E09"/>
    <w:rsid w:val="00254C67"/>
    <w:rsid w:val="00290C17"/>
    <w:rsid w:val="00294C95"/>
    <w:rsid w:val="002C459E"/>
    <w:rsid w:val="002E0889"/>
    <w:rsid w:val="002E131D"/>
    <w:rsid w:val="002E3C28"/>
    <w:rsid w:val="002F4E7A"/>
    <w:rsid w:val="00320CA1"/>
    <w:rsid w:val="00341FF9"/>
    <w:rsid w:val="00344789"/>
    <w:rsid w:val="00360F50"/>
    <w:rsid w:val="0036312B"/>
    <w:rsid w:val="003919F7"/>
    <w:rsid w:val="003B7AF4"/>
    <w:rsid w:val="003E7119"/>
    <w:rsid w:val="004135C9"/>
    <w:rsid w:val="00424E7E"/>
    <w:rsid w:val="0042728A"/>
    <w:rsid w:val="00431758"/>
    <w:rsid w:val="004362C5"/>
    <w:rsid w:val="00437209"/>
    <w:rsid w:val="00465707"/>
    <w:rsid w:val="004676E4"/>
    <w:rsid w:val="00470257"/>
    <w:rsid w:val="0047264F"/>
    <w:rsid w:val="004869A7"/>
    <w:rsid w:val="00486FFD"/>
    <w:rsid w:val="00491EE7"/>
    <w:rsid w:val="0049299F"/>
    <w:rsid w:val="00495548"/>
    <w:rsid w:val="004A74A4"/>
    <w:rsid w:val="004A78F6"/>
    <w:rsid w:val="004B221D"/>
    <w:rsid w:val="004C2B18"/>
    <w:rsid w:val="004D104B"/>
    <w:rsid w:val="004D2236"/>
    <w:rsid w:val="004E388B"/>
    <w:rsid w:val="004E776E"/>
    <w:rsid w:val="004F3817"/>
    <w:rsid w:val="004F590A"/>
    <w:rsid w:val="0050130F"/>
    <w:rsid w:val="00502F3D"/>
    <w:rsid w:val="005267AC"/>
    <w:rsid w:val="00527411"/>
    <w:rsid w:val="005279B6"/>
    <w:rsid w:val="00550647"/>
    <w:rsid w:val="00580B12"/>
    <w:rsid w:val="00587300"/>
    <w:rsid w:val="00591B3A"/>
    <w:rsid w:val="00593514"/>
    <w:rsid w:val="005A57CC"/>
    <w:rsid w:val="005D105A"/>
    <w:rsid w:val="00625F36"/>
    <w:rsid w:val="00646C52"/>
    <w:rsid w:val="00661ED1"/>
    <w:rsid w:val="006626AF"/>
    <w:rsid w:val="00662863"/>
    <w:rsid w:val="00667278"/>
    <w:rsid w:val="00671DD9"/>
    <w:rsid w:val="0068031A"/>
    <w:rsid w:val="00697E37"/>
    <w:rsid w:val="006A1F60"/>
    <w:rsid w:val="006F4646"/>
    <w:rsid w:val="00705DC8"/>
    <w:rsid w:val="007471F1"/>
    <w:rsid w:val="007759A6"/>
    <w:rsid w:val="007816C7"/>
    <w:rsid w:val="0078392B"/>
    <w:rsid w:val="0079704D"/>
    <w:rsid w:val="007B7560"/>
    <w:rsid w:val="007D06F1"/>
    <w:rsid w:val="007D3385"/>
    <w:rsid w:val="007F60B5"/>
    <w:rsid w:val="00810EC6"/>
    <w:rsid w:val="0082026B"/>
    <w:rsid w:val="00830352"/>
    <w:rsid w:val="00832176"/>
    <w:rsid w:val="0083711C"/>
    <w:rsid w:val="008544E1"/>
    <w:rsid w:val="0086418A"/>
    <w:rsid w:val="00864D64"/>
    <w:rsid w:val="00887FBD"/>
    <w:rsid w:val="00897B8A"/>
    <w:rsid w:val="008A56B9"/>
    <w:rsid w:val="008B36BF"/>
    <w:rsid w:val="008B5764"/>
    <w:rsid w:val="008D09CA"/>
    <w:rsid w:val="008F0109"/>
    <w:rsid w:val="008F2DC2"/>
    <w:rsid w:val="008F54BD"/>
    <w:rsid w:val="00927F12"/>
    <w:rsid w:val="00930605"/>
    <w:rsid w:val="009667A4"/>
    <w:rsid w:val="00981CAC"/>
    <w:rsid w:val="00994331"/>
    <w:rsid w:val="00995175"/>
    <w:rsid w:val="00997820"/>
    <w:rsid w:val="009B2B04"/>
    <w:rsid w:val="009D1660"/>
    <w:rsid w:val="009D513B"/>
    <w:rsid w:val="009D662C"/>
    <w:rsid w:val="009E6351"/>
    <w:rsid w:val="00A25E9B"/>
    <w:rsid w:val="00A27EAB"/>
    <w:rsid w:val="00A34818"/>
    <w:rsid w:val="00A503BD"/>
    <w:rsid w:val="00A73CF4"/>
    <w:rsid w:val="00A84A08"/>
    <w:rsid w:val="00A8694C"/>
    <w:rsid w:val="00A87331"/>
    <w:rsid w:val="00A91676"/>
    <w:rsid w:val="00AA572B"/>
    <w:rsid w:val="00AA5821"/>
    <w:rsid w:val="00AE45C4"/>
    <w:rsid w:val="00B00ACC"/>
    <w:rsid w:val="00B109F8"/>
    <w:rsid w:val="00B273F4"/>
    <w:rsid w:val="00B62B90"/>
    <w:rsid w:val="00B64AE2"/>
    <w:rsid w:val="00B72087"/>
    <w:rsid w:val="00B93C35"/>
    <w:rsid w:val="00B94BFE"/>
    <w:rsid w:val="00BA7AF6"/>
    <w:rsid w:val="00BB1DC9"/>
    <w:rsid w:val="00BB4307"/>
    <w:rsid w:val="00BC0BB8"/>
    <w:rsid w:val="00BC0F57"/>
    <w:rsid w:val="00BD38B1"/>
    <w:rsid w:val="00BE2C85"/>
    <w:rsid w:val="00BF5F01"/>
    <w:rsid w:val="00C0087D"/>
    <w:rsid w:val="00C122A4"/>
    <w:rsid w:val="00C176D8"/>
    <w:rsid w:val="00C2663E"/>
    <w:rsid w:val="00C33446"/>
    <w:rsid w:val="00C43081"/>
    <w:rsid w:val="00C619F7"/>
    <w:rsid w:val="00C62995"/>
    <w:rsid w:val="00C639EA"/>
    <w:rsid w:val="00C65A1B"/>
    <w:rsid w:val="00C66897"/>
    <w:rsid w:val="00C821D5"/>
    <w:rsid w:val="00C9207B"/>
    <w:rsid w:val="00CA567C"/>
    <w:rsid w:val="00CB38B3"/>
    <w:rsid w:val="00CB70C5"/>
    <w:rsid w:val="00CD4A23"/>
    <w:rsid w:val="00CD7369"/>
    <w:rsid w:val="00CE633D"/>
    <w:rsid w:val="00D10BEE"/>
    <w:rsid w:val="00D2057E"/>
    <w:rsid w:val="00D2376F"/>
    <w:rsid w:val="00D23B89"/>
    <w:rsid w:val="00D263C6"/>
    <w:rsid w:val="00D60BF7"/>
    <w:rsid w:val="00D70252"/>
    <w:rsid w:val="00D70D18"/>
    <w:rsid w:val="00D83A01"/>
    <w:rsid w:val="00D90AAA"/>
    <w:rsid w:val="00D92277"/>
    <w:rsid w:val="00D974FD"/>
    <w:rsid w:val="00DA0C65"/>
    <w:rsid w:val="00DB54A2"/>
    <w:rsid w:val="00DD2599"/>
    <w:rsid w:val="00DD4B7F"/>
    <w:rsid w:val="00DD6CF3"/>
    <w:rsid w:val="00DE76A7"/>
    <w:rsid w:val="00E0538C"/>
    <w:rsid w:val="00E1407E"/>
    <w:rsid w:val="00E32E74"/>
    <w:rsid w:val="00E56F00"/>
    <w:rsid w:val="00E61388"/>
    <w:rsid w:val="00E7262E"/>
    <w:rsid w:val="00E76409"/>
    <w:rsid w:val="00E94CD4"/>
    <w:rsid w:val="00EA2751"/>
    <w:rsid w:val="00EA49C5"/>
    <w:rsid w:val="00EA51AD"/>
    <w:rsid w:val="00EB1C36"/>
    <w:rsid w:val="00EB1FB8"/>
    <w:rsid w:val="00ED0B2E"/>
    <w:rsid w:val="00F0340D"/>
    <w:rsid w:val="00F05F40"/>
    <w:rsid w:val="00F06026"/>
    <w:rsid w:val="00F16AAF"/>
    <w:rsid w:val="00F231FC"/>
    <w:rsid w:val="00F367B6"/>
    <w:rsid w:val="00F37BF3"/>
    <w:rsid w:val="00F43BA1"/>
    <w:rsid w:val="00F45090"/>
    <w:rsid w:val="00F53CD8"/>
    <w:rsid w:val="00F715E8"/>
    <w:rsid w:val="00F73ED8"/>
    <w:rsid w:val="00F83769"/>
    <w:rsid w:val="00F859CD"/>
    <w:rsid w:val="00F95ABF"/>
    <w:rsid w:val="00FA6B54"/>
    <w:rsid w:val="00FB178F"/>
    <w:rsid w:val="00FD0DC2"/>
    <w:rsid w:val="00FE2C1E"/>
    <w:rsid w:val="00FE6B8B"/>
    <w:rsid w:val="00FF0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3AC3F2"/>
  <w15:docId w15:val="{788DCC13-AF70-4DF6-8663-0D0C6439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4CD4"/>
    <w:rPr>
      <w:rFonts w:ascii="Times New Roman" w:eastAsia="Times New Roman" w:hAnsi="Times New Roman" w:cs="Times New Roman"/>
    </w:rPr>
  </w:style>
  <w:style w:type="paragraph" w:styleId="Ttulo1">
    <w:name w:val="heading 1"/>
    <w:basedOn w:val="Normal"/>
    <w:next w:val="Normal"/>
    <w:uiPriority w:val="9"/>
    <w:qFormat/>
    <w:rsid w:val="00CD7369"/>
    <w:pPr>
      <w:jc w:val="center"/>
      <w:outlineLvl w:val="0"/>
    </w:pPr>
    <w:rPr>
      <w:rFonts w:eastAsia="Noto Sans" w:cs="Noto Sans"/>
      <w:b/>
      <w:color w:val="670E35"/>
    </w:rPr>
  </w:style>
  <w:style w:type="paragraph" w:styleId="Ttulo2">
    <w:name w:val="heading 2"/>
    <w:basedOn w:val="Normal"/>
    <w:next w:val="Normal"/>
    <w:uiPriority w:val="9"/>
    <w:unhideWhenUsed/>
    <w:qFormat/>
    <w:rsid w:val="00D70252"/>
    <w:pPr>
      <w:jc w:val="center"/>
      <w:outlineLvl w:val="1"/>
    </w:pPr>
    <w:rPr>
      <w:rFonts w:eastAsia="Montserrat Light" w:cs="Montserrat Light"/>
      <w:b/>
      <w:color w:val="666666"/>
    </w:rPr>
  </w:style>
  <w:style w:type="paragraph" w:styleId="Ttulo3">
    <w:name w:val="heading 3"/>
    <w:basedOn w:val="Normal"/>
    <w:next w:val="Normal"/>
    <w:uiPriority w:val="9"/>
    <w:unhideWhenUsed/>
    <w:qFormat/>
    <w:rsid w:val="00CD7369"/>
    <w:pPr>
      <w:shd w:val="clear" w:color="auto" w:fill="670E35"/>
      <w:outlineLvl w:val="2"/>
    </w:pPr>
    <w:rPr>
      <w:b/>
      <w:color w:val="FFFFFF"/>
    </w:rPr>
  </w:style>
  <w:style w:type="paragraph" w:styleId="Ttulo4">
    <w:name w:val="heading 4"/>
    <w:basedOn w:val="Normal"/>
    <w:next w:val="Normal"/>
    <w:uiPriority w:val="9"/>
    <w:unhideWhenUsed/>
    <w:qFormat/>
    <w:rsid w:val="00D70252"/>
    <w:pPr>
      <w:keepNext/>
      <w:keepLines/>
      <w:numPr>
        <w:numId w:val="1"/>
      </w:numPr>
      <w:spacing w:before="240" w:after="40"/>
      <w:ind w:left="709" w:hanging="709"/>
      <w:outlineLvl w:val="3"/>
    </w:pPr>
    <w:rPr>
      <w:b/>
    </w:rPr>
  </w:style>
  <w:style w:type="paragraph" w:styleId="Ttulo5">
    <w:name w:val="heading 5"/>
    <w:basedOn w:val="Ttulo2"/>
    <w:next w:val="Normal"/>
    <w:uiPriority w:val="9"/>
    <w:unhideWhenUsed/>
    <w:qFormat/>
    <w:rsid w:val="00D70252"/>
    <w:pPr>
      <w:jc w:val="right"/>
      <w:outlineLvl w:val="4"/>
    </w:pPr>
    <w:rPr>
      <w:b w:val="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A73D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73D65"/>
    <w:rPr>
      <w:rFonts w:eastAsiaTheme="minorEastAs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3D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D65"/>
    <w:rPr>
      <w:rFonts w:eastAsiaTheme="minorEastAsia"/>
      <w:lang w:val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C84662"/>
    <w:pPr>
      <w:spacing w:before="100" w:beforeAutospacing="1" w:after="100" w:afterAutospacing="1"/>
    </w:pPr>
  </w:style>
  <w:style w:type="paragraph" w:styleId="Prrafodelista">
    <w:name w:val="List Paragraph"/>
    <w:basedOn w:val="Normal"/>
    <w:uiPriority w:val="34"/>
    <w:qFormat/>
    <w:rsid w:val="001E119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1E119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E119D"/>
    <w:rPr>
      <w:rFonts w:ascii="Segoe UI" w:eastAsiaTheme="minorEastAsia" w:hAnsi="Segoe UI" w:cs="Segoe UI"/>
      <w:sz w:val="18"/>
      <w:szCs w:val="18"/>
      <w:lang w:val="es-ES"/>
    </w:rPr>
  </w:style>
  <w:style w:type="character" w:styleId="Hipervnculo">
    <w:name w:val="Hyperlink"/>
    <w:basedOn w:val="Fuentedeprrafopredeter"/>
    <w:uiPriority w:val="99"/>
    <w:unhideWhenUsed/>
    <w:rsid w:val="00021984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8D09CA"/>
    <w:rPr>
      <w:b/>
      <w:bCs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D09CA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D09CA"/>
    <w:rPr>
      <w:rFonts w:ascii="Montserrat" w:eastAsia="Montserrat" w:hAnsi="Montserrat" w:cs="Montserra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8D09CA"/>
    <w:rPr>
      <w:vertAlign w:val="superscript"/>
    </w:rPr>
  </w:style>
  <w:style w:type="table" w:styleId="Tablaconcuadrcula">
    <w:name w:val="Table Grid"/>
    <w:basedOn w:val="Tablanormal"/>
    <w:uiPriority w:val="39"/>
    <w:rsid w:val="00E764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3">
    <w:name w:val="Grid Table 4 Accent 3"/>
    <w:basedOn w:val="Tablanormal"/>
    <w:uiPriority w:val="49"/>
    <w:rsid w:val="00C176D8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10EC6"/>
    <w:rPr>
      <w:color w:val="666666"/>
    </w:rPr>
  </w:style>
  <w:style w:type="character" w:styleId="Mencinsinresolver">
    <w:name w:val="Unresolved Mention"/>
    <w:basedOn w:val="Fuentedeprrafopredeter"/>
    <w:uiPriority w:val="99"/>
    <w:semiHidden/>
    <w:unhideWhenUsed/>
    <w:rsid w:val="0013733B"/>
    <w:rPr>
      <w:color w:val="605E5C"/>
      <w:shd w:val="clear" w:color="auto" w:fill="E1DFDD"/>
    </w:rPr>
  </w:style>
  <w:style w:type="paragraph" w:customStyle="1" w:styleId="n01">
    <w:name w:val="n01"/>
    <w:basedOn w:val="Normal"/>
    <w:rsid w:val="00431758"/>
    <w:pPr>
      <w:keepLines/>
      <w:spacing w:before="240"/>
      <w:ind w:left="720" w:hanging="720"/>
    </w:pPr>
    <w:rPr>
      <w:rFonts w:ascii="Univers (W1)" w:hAnsi="Univers (W1)" w:cs="Arial"/>
      <w:color w:val="800080"/>
      <w:lang w:val="es-ES_tradnl" w:eastAsia="es-ES"/>
    </w:rPr>
  </w:style>
  <w:style w:type="table" w:styleId="Tablaconcuadrcula1clara-nfasis6">
    <w:name w:val="Grid Table 1 Light Accent 6"/>
    <w:basedOn w:val="Tablanormal"/>
    <w:uiPriority w:val="46"/>
    <w:rsid w:val="00054FB9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6">
    <w:name w:val="Grid Table 2 Accent 6"/>
    <w:basedOn w:val="Tablanormal"/>
    <w:uiPriority w:val="47"/>
    <w:rsid w:val="00054FB9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merodepgina">
    <w:name w:val="page number"/>
    <w:basedOn w:val="Fuentedeprrafopredeter"/>
    <w:uiPriority w:val="99"/>
    <w:semiHidden/>
    <w:unhideWhenUsed/>
    <w:rsid w:val="008544E1"/>
  </w:style>
  <w:style w:type="character" w:styleId="Hipervnculovisitado">
    <w:name w:val="FollowedHyperlink"/>
    <w:basedOn w:val="Fuentedeprrafopredeter"/>
    <w:uiPriority w:val="99"/>
    <w:semiHidden/>
    <w:unhideWhenUsed/>
    <w:rsid w:val="00502F3D"/>
    <w:rPr>
      <w:color w:val="96607D"/>
      <w:u w:val="single"/>
    </w:rPr>
  </w:style>
  <w:style w:type="paragraph" w:customStyle="1" w:styleId="msonormal0">
    <w:name w:val="msonormal"/>
    <w:basedOn w:val="Normal"/>
    <w:rsid w:val="00502F3D"/>
    <w:pPr>
      <w:spacing w:before="100" w:beforeAutospacing="1" w:after="100" w:afterAutospacing="1"/>
    </w:pPr>
  </w:style>
  <w:style w:type="paragraph" w:customStyle="1" w:styleId="xl65">
    <w:name w:val="xl65"/>
    <w:basedOn w:val="Normal"/>
    <w:rsid w:val="00502F3D"/>
    <w:pPr>
      <w:spacing w:before="100" w:beforeAutospacing="1" w:after="100" w:afterAutospacing="1"/>
    </w:pPr>
  </w:style>
  <w:style w:type="paragraph" w:customStyle="1" w:styleId="xl66">
    <w:name w:val="xl66"/>
    <w:basedOn w:val="Normal"/>
    <w:rsid w:val="00502F3D"/>
    <w:pPr>
      <w:spacing w:before="100" w:beforeAutospacing="1" w:after="100" w:afterAutospacing="1"/>
    </w:pPr>
    <w:rPr>
      <w:rFonts w:ascii="Calibri" w:hAnsi="Calibri" w:cs="Calibri"/>
      <w:color w:val="000000"/>
    </w:rPr>
  </w:style>
  <w:style w:type="table" w:styleId="Tablaconcuadrcula4-nfasis6">
    <w:name w:val="Grid Table 4 Accent 6"/>
    <w:basedOn w:val="Tablanormal"/>
    <w:uiPriority w:val="49"/>
    <w:rsid w:val="00502F3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xl67">
    <w:name w:val="xl67"/>
    <w:basedOn w:val="Normal"/>
    <w:rsid w:val="00E94CD4"/>
    <w:pPr>
      <w:spacing w:before="100" w:beforeAutospacing="1" w:after="100" w:afterAutospacing="1"/>
    </w:pPr>
  </w:style>
  <w:style w:type="paragraph" w:customStyle="1" w:styleId="xl68">
    <w:name w:val="xl68"/>
    <w:basedOn w:val="Normal"/>
    <w:rsid w:val="00E94CD4"/>
    <w:pPr>
      <w:spacing w:before="100" w:beforeAutospacing="1" w:after="100" w:afterAutospacing="1"/>
    </w:pPr>
    <w:rPr>
      <w:rFonts w:ascii="Calibri" w:hAnsi="Calibri" w:cs="Calibri"/>
      <w:color w:val="000000"/>
    </w:rPr>
  </w:style>
  <w:style w:type="paragraph" w:customStyle="1" w:styleId="pdq2pgselectionanchorcontainer">
    <w:name w:val="pdq2pg_selectionanchorcontainer"/>
    <w:basedOn w:val="Normal"/>
    <w:rsid w:val="00360F50"/>
    <w:pPr>
      <w:spacing w:before="100" w:beforeAutospacing="1" w:after="100" w:afterAutospacing="1"/>
    </w:pPr>
    <w:rPr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8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9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4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4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20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1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29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42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2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677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0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62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5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9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97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7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76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6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795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87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5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1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5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7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492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0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2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77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1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9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658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1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FpWPCfcsQFbrBypFpD4BWtRFLg==">CgMxLjA4AHIhMWpKWC1ZV1ZyUWxfelVTd2oxcUhWdVVqaW9sTHRWRGpD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9C0D08D-9791-6C4C-9EFB-F4FACC659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585</Words>
  <Characters>3218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Ximena Escobedo Juárez</dc:creator>
  <cp:lastModifiedBy>maria eugenia garcia macias</cp:lastModifiedBy>
  <cp:revision>18</cp:revision>
  <cp:lastPrinted>2026-06-17T17:31:00Z</cp:lastPrinted>
  <dcterms:created xsi:type="dcterms:W3CDTF">2026-06-17T17:31:00Z</dcterms:created>
  <dcterms:modified xsi:type="dcterms:W3CDTF">2026-07-15T22:22:00Z</dcterms:modified>
</cp:coreProperties>
</file>